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pStyle w:val="9"/>
        <w:ind w:left="0" w:leftChars="0" w:firstLine="0" w:firstLineChars="0"/>
        <w:rPr>
          <w:rFonts w:eastAsia="仿宋"/>
          <w:sz w:val="44"/>
          <w:szCs w:val="44"/>
        </w:rPr>
      </w:pPr>
    </w:p>
    <w:p>
      <w:pPr>
        <w:ind w:firstLine="1040"/>
        <w:rPr>
          <w:rFonts w:eastAsia="仿宋"/>
          <w:sz w:val="44"/>
          <w:szCs w:val="44"/>
        </w:rPr>
      </w:pPr>
    </w:p>
    <w:p>
      <w:pPr>
        <w:adjustRightInd w:val="0"/>
        <w:snapToGrid w:val="0"/>
        <w:spacing w:line="288" w:lineRule="auto"/>
        <w:rPr>
          <w:rFonts w:hint="eastAsia" w:ascii="仿宋_GB2312" w:eastAsia="仿宋_GB2312"/>
          <w:sz w:val="36"/>
          <w:szCs w:val="36"/>
        </w:rPr>
      </w:pPr>
    </w:p>
    <w:p>
      <w:pPr>
        <w:adjustRightInd w:val="0"/>
        <w:snapToGrid w:val="0"/>
        <w:spacing w:line="288" w:lineRule="auto"/>
        <w:ind w:firstLine="1080" w:firstLineChars="300"/>
        <w:rPr>
          <w:rFonts w:hint="default" w:ascii="仿宋_GB2312" w:eastAsia="仿宋_GB2312"/>
          <w:sz w:val="36"/>
          <w:szCs w:val="36"/>
          <w:u w:val="single"/>
          <w:lang w:val="en-US" w:eastAsia="zh-CN"/>
        </w:rPr>
      </w:pPr>
      <w:r>
        <w:rPr>
          <w:rFonts w:hint="eastAsia" w:ascii="仿宋_GB2312" w:eastAsia="仿宋_GB2312"/>
          <w:sz w:val="36"/>
          <w:szCs w:val="36"/>
        </w:rPr>
        <w:t>项目名称：</w:t>
      </w:r>
      <w:r>
        <w:rPr>
          <w:rFonts w:hint="default" w:ascii="仿宋_GB2312" w:eastAsia="仿宋_GB2312"/>
          <w:sz w:val="36"/>
          <w:szCs w:val="36"/>
          <w:u w:val="single"/>
          <w:lang w:val="en-US" w:eastAsia="zh-CN"/>
        </w:rPr>
        <w:t>2025</w:t>
      </w:r>
      <w:r>
        <w:rPr>
          <w:rFonts w:hint="eastAsia" w:ascii="仿宋_GB2312" w:eastAsia="仿宋_GB2312"/>
          <w:sz w:val="36"/>
          <w:szCs w:val="36"/>
          <w:u w:val="single"/>
          <w:lang w:val="en-US" w:eastAsia="zh-CN"/>
        </w:rPr>
        <w:t xml:space="preserve">年若羌县瓦石峡镇标准化屠 </w:t>
      </w:r>
    </w:p>
    <w:p>
      <w:pPr>
        <w:adjustRightInd w:val="0"/>
        <w:snapToGrid w:val="0"/>
        <w:spacing w:line="288" w:lineRule="auto"/>
        <w:ind w:firstLine="2880" w:firstLineChars="800"/>
        <w:rPr>
          <w:rFonts w:hint="default" w:ascii="仿宋_GB2312" w:eastAsia="仿宋_GB2312"/>
          <w:sz w:val="36"/>
          <w:szCs w:val="36"/>
          <w:u w:val="single"/>
          <w:lang w:val="en-US"/>
        </w:rPr>
      </w:pPr>
      <w:r>
        <w:rPr>
          <w:rFonts w:hint="eastAsia" w:ascii="仿宋_GB2312" w:eastAsia="仿宋_GB2312"/>
          <w:sz w:val="36"/>
          <w:szCs w:val="36"/>
          <w:u w:val="single"/>
          <w:lang w:val="en-US" w:eastAsia="zh-CN"/>
        </w:rPr>
        <w:t xml:space="preserve">宰点建设项目                  </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lang w:val="en-US" w:eastAsia="zh-CN"/>
        </w:rPr>
        <w:t>若羌县瓦石峡镇人民政府</w:t>
      </w: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default" w:ascii="仿宋_GB2312" w:eastAsia="仿宋_GB2312"/>
          <w:sz w:val="36"/>
          <w:szCs w:val="36"/>
          <w:u w:val="single"/>
          <w:lang w:val="en-US" w:eastAsia="zh-CN"/>
        </w:rPr>
        <w:t>2025年</w:t>
      </w:r>
      <w:r>
        <w:rPr>
          <w:rFonts w:hint="eastAsia" w:ascii="仿宋_GB2312" w:eastAsia="仿宋_GB2312"/>
          <w:sz w:val="36"/>
          <w:szCs w:val="36"/>
          <w:u w:val="single"/>
          <w:lang w:val="en-US" w:eastAsia="zh-CN"/>
        </w:rPr>
        <w:t>7</w:t>
      </w:r>
      <w:r>
        <w:rPr>
          <w:rFonts w:hint="default" w:ascii="仿宋_GB2312" w:eastAsia="仿宋_GB2312"/>
          <w:sz w:val="36"/>
          <w:szCs w:val="36"/>
          <w:u w:val="single"/>
          <w:lang w:val="en-US" w:eastAsia="zh-CN"/>
        </w:rPr>
        <w:t>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rPr>
          <w:rFonts w:hint="eastAsia" w:ascii="仿宋_GB2312" w:eastAsia="仿宋_GB2312"/>
          <w:sz w:val="36"/>
          <w:szCs w:val="36"/>
        </w:rPr>
      </w:pPr>
    </w:p>
    <w:bookmarkEnd w:id="0"/>
    <w:p>
      <w:pPr>
        <w:pStyle w:val="19"/>
        <w:jc w:val="center"/>
        <w:outlineLvl w:val="0"/>
        <w:rPr>
          <w:rFonts w:hint="eastAsia" w:ascii="楷体_GB2312" w:eastAsia="楷体_GB2312"/>
          <w:sz w:val="36"/>
          <w:szCs w:val="36"/>
        </w:rPr>
      </w:pPr>
      <w:r>
        <w:rPr>
          <w:rFonts w:hint="eastAsia" w:ascii="楷体_GB2312" w:eastAsia="楷体_GB2312"/>
          <w:sz w:val="36"/>
          <w:szCs w:val="36"/>
        </w:rPr>
        <w:t>中华人民共和国生态环境部制</w:t>
      </w:r>
    </w:p>
    <w:p>
      <w:pPr>
        <w:pStyle w:val="19"/>
        <w:jc w:val="center"/>
        <w:outlineLvl w:val="0"/>
        <w:rPr>
          <w:rFonts w:hint="default" w:ascii="楷体_GB2312" w:eastAsia="楷体_GB2312"/>
          <w:sz w:val="36"/>
          <w:szCs w:val="36"/>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一、建设项目基本情况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88"/>
        <w:gridCol w:w="1794"/>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建设项目名称</w:t>
            </w:r>
          </w:p>
        </w:tc>
        <w:tc>
          <w:tcPr>
            <w:tcW w:w="6488" w:type="dxa"/>
            <w:gridSpan w:val="3"/>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2025年若羌县瓦石峡镇标准化屠宰点建设项目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项目代码</w:t>
            </w:r>
          </w:p>
        </w:tc>
        <w:tc>
          <w:tcPr>
            <w:tcW w:w="6488" w:type="dxa"/>
            <w:gridSpan w:val="3"/>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2503-652824-04-01-267791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建设单位联系人</w:t>
            </w:r>
          </w:p>
        </w:tc>
        <w:tc>
          <w:tcPr>
            <w:tcW w:w="1637"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p>
        </w:tc>
        <w:tc>
          <w:tcPr>
            <w:tcW w:w="2212"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联系方式</w:t>
            </w:r>
          </w:p>
        </w:tc>
        <w:tc>
          <w:tcPr>
            <w:tcW w:w="2639"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建设地点</w:t>
            </w:r>
          </w:p>
        </w:tc>
        <w:tc>
          <w:tcPr>
            <w:tcW w:w="6488" w:type="dxa"/>
            <w:gridSpan w:val="3"/>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新疆维吾尔自治区巴音郭楞蒙古自治州</w:t>
            </w:r>
            <w:r>
              <w:rPr>
                <w:rFonts w:hint="eastAsia" w:ascii="Times New Roman" w:hAnsi="Times New Roman" w:cs="Times New Roman"/>
                <w:szCs w:val="21"/>
                <w:lang w:val="en-US" w:eastAsia="zh-CN"/>
              </w:rPr>
              <w:t>若羌县瓦石峡镇</w:t>
            </w:r>
            <w:bookmarkStart w:id="38" w:name="_GoBack"/>
            <w:bookmarkEnd w:id="3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地理坐标</w:t>
            </w:r>
          </w:p>
        </w:tc>
        <w:tc>
          <w:tcPr>
            <w:tcW w:w="6488"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lang w:val="en-US" w:eastAsia="zh-CN"/>
              </w:rPr>
              <w:t>E87°21′11.813″，N38°40′1.247″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国民经济</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行业类别</w:t>
            </w:r>
          </w:p>
        </w:tc>
        <w:tc>
          <w:tcPr>
            <w:tcW w:w="1637"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C1351牲畜屠宰</w:t>
            </w:r>
          </w:p>
        </w:tc>
        <w:tc>
          <w:tcPr>
            <w:tcW w:w="2212" w:type="dxa"/>
            <w:noWrap w:val="0"/>
            <w:vAlign w:val="center"/>
          </w:tcPr>
          <w:p>
            <w:pPr>
              <w:adjustRightInd w:val="0"/>
              <w:snapToGrid w:val="0"/>
              <w:jc w:val="center"/>
              <w:rPr>
                <w:rFonts w:hint="default" w:ascii="Times New Roman" w:hAnsi="Times New Roman" w:cs="Times New Roman"/>
                <w:szCs w:val="21"/>
              </w:rPr>
            </w:pPr>
            <w:bookmarkStart w:id="1" w:name="_Hlk49843745"/>
            <w:r>
              <w:rPr>
                <w:rFonts w:hint="default" w:ascii="Times New Roman" w:hAnsi="Times New Roman" w:cs="Times New Roman"/>
                <w:szCs w:val="21"/>
              </w:rPr>
              <w:t>建设项目</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行业类别</w:t>
            </w:r>
            <w:bookmarkEnd w:id="1"/>
          </w:p>
        </w:tc>
        <w:tc>
          <w:tcPr>
            <w:tcW w:w="2639" w:type="dxa"/>
            <w:noWrap w:val="0"/>
            <w:vAlign w:val="center"/>
          </w:tcPr>
          <w:p>
            <w:pPr>
              <w:keepNext w:val="0"/>
              <w:keepLines w:val="0"/>
              <w:widowControl/>
              <w:suppressLineNumbers w:val="0"/>
              <w:jc w:val="left"/>
              <w:rPr>
                <w:rFonts w:hint="default" w:ascii="Times New Roman" w:hAnsi="Times New Roman" w:cs="Times New Roman"/>
                <w:szCs w:val="21"/>
                <w:lang w:val="en-US"/>
              </w:rPr>
            </w:pPr>
            <w:r>
              <w:rPr>
                <w:rFonts w:hint="default" w:ascii="Times New Roman" w:hAnsi="Times New Roman" w:cs="Times New Roman"/>
                <w:szCs w:val="21"/>
                <w:lang w:val="en-US" w:eastAsia="zh-CN"/>
              </w:rPr>
              <w:t>十、农副食品加工业13-18.屠宰及肉类加工135*-其他屠宰；年加工2万吨及以上的肉类加工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建设性质</w:t>
            </w:r>
          </w:p>
        </w:tc>
        <w:tc>
          <w:tcPr>
            <w:tcW w:w="1637" w:type="dxa"/>
            <w:noWrap w:val="0"/>
            <w:vAlign w:val="center"/>
          </w:tcPr>
          <w:p>
            <w:pPr>
              <w:jc w:val="left"/>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rPr>
              <w:t>新建（迁建）</w:t>
            </w:r>
          </w:p>
          <w:p>
            <w:pPr>
              <w:jc w:val="left"/>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改建</w:t>
            </w:r>
          </w:p>
          <w:p>
            <w:pPr>
              <w:jc w:val="left"/>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扩建</w:t>
            </w:r>
          </w:p>
          <w:p>
            <w:pPr>
              <w:jc w:val="left"/>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技术改造</w:t>
            </w:r>
          </w:p>
        </w:tc>
        <w:tc>
          <w:tcPr>
            <w:tcW w:w="2212"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建设项目</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申报情形</w:t>
            </w:r>
          </w:p>
        </w:tc>
        <w:tc>
          <w:tcPr>
            <w:tcW w:w="2639" w:type="dxa"/>
            <w:noWrap w:val="0"/>
            <w:vAlign w:val="center"/>
          </w:tcPr>
          <w:p>
            <w:pPr>
              <w:jc w:val="left"/>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rPr>
              <w:t>首次申报项目</w:t>
            </w:r>
          </w:p>
          <w:p>
            <w:pPr>
              <w:jc w:val="left"/>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不予批准后再次申报项目</w:t>
            </w:r>
          </w:p>
          <w:p>
            <w:pPr>
              <w:jc w:val="left"/>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超五年重新审核项目</w:t>
            </w:r>
          </w:p>
          <w:p>
            <w:pPr>
              <w:jc w:val="left"/>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项目审批（核准/</w:t>
            </w:r>
          </w:p>
          <w:p>
            <w:pPr>
              <w:adjustRightInd w:val="0"/>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备案）部门（选填）</w:t>
            </w:r>
          </w:p>
        </w:tc>
        <w:tc>
          <w:tcPr>
            <w:tcW w:w="1637" w:type="dxa"/>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w:t>
            </w:r>
          </w:p>
        </w:tc>
        <w:tc>
          <w:tcPr>
            <w:tcW w:w="2212" w:type="dxa"/>
            <w:noWrap w:val="0"/>
            <w:vAlign w:val="center"/>
          </w:tcPr>
          <w:p>
            <w:pPr>
              <w:adjustRightInd w:val="0"/>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项目审批（核准/</w:t>
            </w:r>
          </w:p>
          <w:p>
            <w:pPr>
              <w:adjustRightInd w:val="0"/>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备案）文号（选填）</w:t>
            </w:r>
          </w:p>
        </w:tc>
        <w:tc>
          <w:tcPr>
            <w:tcW w:w="2639" w:type="dxa"/>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总投资（万元）</w:t>
            </w:r>
          </w:p>
        </w:tc>
        <w:tc>
          <w:tcPr>
            <w:tcW w:w="1637"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280</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环保投资（万元）</w:t>
            </w:r>
          </w:p>
        </w:tc>
        <w:tc>
          <w:tcPr>
            <w:tcW w:w="263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环保投资占比（%）</w:t>
            </w:r>
          </w:p>
        </w:tc>
        <w:tc>
          <w:tcPr>
            <w:tcW w:w="1637"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12.5</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highlight w:val="none"/>
              </w:rPr>
              <w:t>施工工期</w:t>
            </w:r>
          </w:p>
        </w:tc>
        <w:tc>
          <w:tcPr>
            <w:tcW w:w="263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是否开工建设</w:t>
            </w:r>
          </w:p>
        </w:tc>
        <w:tc>
          <w:tcPr>
            <w:tcW w:w="1637" w:type="dxa"/>
            <w:noWrap w:val="0"/>
            <w:vAlign w:val="center"/>
          </w:tcPr>
          <w:p>
            <w:pPr>
              <w:adjustRightInd w:val="0"/>
              <w:snapToGrid w:val="0"/>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否</w:t>
            </w:r>
          </w:p>
          <w:p>
            <w:pPr>
              <w:adjustRightInd w:val="0"/>
              <w:snapToGrid w:val="0"/>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是</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spacing w:val="-6"/>
                <w:szCs w:val="21"/>
              </w:rPr>
            </w:pPr>
            <w:r>
              <w:rPr>
                <w:rFonts w:hint="default" w:ascii="Times New Roman" w:hAnsi="Times New Roman" w:cs="Times New Roman"/>
                <w:spacing w:val="-6"/>
                <w:szCs w:val="21"/>
              </w:rPr>
              <w:t>用地（用海）</w:t>
            </w:r>
          </w:p>
          <w:p>
            <w:pPr>
              <w:adjustRightInd w:val="0"/>
              <w:snapToGrid w:val="0"/>
              <w:jc w:val="center"/>
              <w:rPr>
                <w:rFonts w:hint="default" w:ascii="Times New Roman" w:hAnsi="Times New Roman" w:cs="Times New Roman"/>
                <w:szCs w:val="21"/>
              </w:rPr>
            </w:pPr>
            <w:r>
              <w:rPr>
                <w:rFonts w:hint="default" w:ascii="Times New Roman" w:hAnsi="Times New Roman" w:cs="Times New Roman"/>
                <w:spacing w:val="-6"/>
                <w:szCs w:val="21"/>
              </w:rPr>
              <w:t>面积（m</w:t>
            </w:r>
            <w:r>
              <w:rPr>
                <w:rFonts w:hint="default" w:ascii="Times New Roman" w:hAnsi="Times New Roman" w:cs="Times New Roman"/>
                <w:spacing w:val="-6"/>
                <w:szCs w:val="21"/>
                <w:vertAlign w:val="superscript"/>
              </w:rPr>
              <w:t>2</w:t>
            </w:r>
            <w:r>
              <w:rPr>
                <w:rFonts w:hint="default" w:ascii="Times New Roman" w:hAnsi="Times New Roman" w:cs="Times New Roman"/>
                <w:spacing w:val="-6"/>
                <w:szCs w:val="21"/>
              </w:rPr>
              <w:t>）</w:t>
            </w:r>
          </w:p>
        </w:tc>
        <w:tc>
          <w:tcPr>
            <w:tcW w:w="263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382" w:type="dxa"/>
            <w:gridSpan w:val="2"/>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专项评价设置情况</w:t>
            </w:r>
          </w:p>
        </w:tc>
        <w:tc>
          <w:tcPr>
            <w:tcW w:w="6488" w:type="dxa"/>
            <w:gridSpan w:val="3"/>
            <w:noWrap w:val="0"/>
            <w:vAlign w:val="center"/>
          </w:tcPr>
          <w:p>
            <w:pPr>
              <w:autoSpaceDE w:val="0"/>
              <w:autoSpaceDN w:val="0"/>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382" w:type="dxa"/>
            <w:gridSpan w:val="2"/>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szCs w:val="21"/>
              </w:rPr>
              <w:t>规划情况</w:t>
            </w:r>
          </w:p>
        </w:tc>
        <w:tc>
          <w:tcPr>
            <w:tcW w:w="6488" w:type="dxa"/>
            <w:gridSpan w:val="3"/>
            <w:noWrap w:val="0"/>
            <w:vAlign w:val="center"/>
          </w:tcPr>
          <w:p>
            <w:pPr>
              <w:autoSpaceDE w:val="0"/>
              <w:autoSpaceDN w:val="0"/>
              <w:adjustRightInd w:val="0"/>
              <w:snapToGrid w:val="0"/>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382" w:type="dxa"/>
            <w:gridSpan w:val="2"/>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规划环境影响</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szCs w:val="21"/>
              </w:rPr>
              <w:t>评价情况</w:t>
            </w:r>
          </w:p>
        </w:tc>
        <w:tc>
          <w:tcPr>
            <w:tcW w:w="6488" w:type="dxa"/>
            <w:gridSpan w:val="3"/>
            <w:noWrap w:val="0"/>
            <w:vAlign w:val="center"/>
          </w:tcPr>
          <w:p>
            <w:pPr>
              <w:autoSpaceDE w:val="0"/>
              <w:autoSpaceDN w:val="0"/>
              <w:adjustRightInd w:val="0"/>
              <w:snapToGrid w:val="0"/>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2382" w:type="dxa"/>
            <w:gridSpan w:val="2"/>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规划及规划环境</w:t>
            </w:r>
          </w:p>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影响评价符合性分析</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cs="Times New Roman"/>
                <w:kern w:val="0"/>
                <w:sz w:val="21"/>
                <w:szCs w:val="21"/>
              </w:rPr>
            </w:pPr>
            <w:r>
              <w:rPr>
                <w:rFonts w:hint="default" w:ascii="Times New Roman" w:hAnsi="Times New Roman" w:eastAsia="宋体" w:cs="Times New Roman"/>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32" w:hRule="atLeast"/>
          <w:jc w:val="center"/>
        </w:trPr>
        <w:tc>
          <w:tcPr>
            <w:tcW w:w="588" w:type="dxa"/>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其他符合性分析</w:t>
            </w:r>
          </w:p>
        </w:tc>
        <w:tc>
          <w:tcPr>
            <w:tcW w:w="8282" w:type="dxa"/>
            <w:gridSpan w:val="4"/>
            <w:noWrap w:val="0"/>
            <w:vAlign w:val="center"/>
          </w:tcPr>
          <w:p>
            <w:pPr>
              <w:pStyle w:val="2"/>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1.产业政策符合性</w:t>
            </w:r>
          </w:p>
          <w:p>
            <w:pPr>
              <w:pStyle w:val="7"/>
              <w:bidi w:val="0"/>
              <w:rPr>
                <w:rFonts w:hint="default" w:ascii="Times New Roman" w:hAnsi="Times New Roman" w:cs="Times New Roman"/>
              </w:rPr>
            </w:pPr>
            <w:r>
              <w:rPr>
                <w:rFonts w:hint="default" w:ascii="Times New Roman" w:hAnsi="Times New Roman" w:cs="Times New Roman"/>
                <w:lang w:val="en-US" w:eastAsia="zh-CN"/>
              </w:rPr>
              <w:t>项目设计生产能力为</w:t>
            </w:r>
            <w:r>
              <w:rPr>
                <w:rFonts w:hint="default" w:ascii="Times New Roman" w:hAnsi="Times New Roman" w:cs="Times New Roman"/>
                <w:highlight w:val="none"/>
                <w:lang w:val="en-US" w:eastAsia="zh-CN"/>
              </w:rPr>
              <w:t>年屠宰</w:t>
            </w:r>
            <w:r>
              <w:rPr>
                <w:rFonts w:hint="eastAsia" w:cs="Times New Roman"/>
                <w:highlight w:val="none"/>
                <w:lang w:val="en-US" w:eastAsia="zh-CN"/>
              </w:rPr>
              <w:t>18000</w:t>
            </w:r>
            <w:r>
              <w:rPr>
                <w:rFonts w:hint="default" w:ascii="Times New Roman" w:hAnsi="Times New Roman" w:cs="Times New Roman"/>
                <w:highlight w:val="none"/>
                <w:lang w:val="en-US" w:eastAsia="zh-CN"/>
              </w:rPr>
              <w:t>只羊、</w:t>
            </w:r>
            <w:r>
              <w:rPr>
                <w:rFonts w:hint="eastAsia" w:cs="Times New Roman"/>
                <w:highlight w:val="none"/>
                <w:lang w:val="en-US" w:eastAsia="zh-CN"/>
              </w:rPr>
              <w:t>1800</w:t>
            </w:r>
            <w:r>
              <w:rPr>
                <w:rFonts w:hint="default" w:ascii="Times New Roman" w:hAnsi="Times New Roman" w:cs="Times New Roman"/>
                <w:highlight w:val="none"/>
                <w:lang w:val="en-US" w:eastAsia="zh-CN"/>
              </w:rPr>
              <w:t>头牛</w:t>
            </w:r>
            <w:r>
              <w:rPr>
                <w:rFonts w:hint="default" w:ascii="Times New Roman" w:hAnsi="Times New Roman" w:cs="Times New Roman"/>
                <w:lang w:val="en-US" w:eastAsia="zh-CN"/>
              </w:rPr>
              <w:t>。项目区位于巴音郭楞蒙古自治州若羌县瓦石峡镇，属于少数民族地区。根据《产业结构调整指导目录（2024年本）》，不属于限制类中第十二项轻工-24项“年屠宰生猪15万头及以下、肉牛1万头及以下、肉羊15万只及以下、活禽1000万只及以下的屠宰建设项目（少数民族地区除外）”，也不属于淘汰类中第十二轻工-第29项“猪、牛、羊、禽手工屠宰工艺”，为允许类。不属于《市场准入负面清单（2025年版）》的项目。符合相关要求。同时项目所采用的生产工艺设备均未被列入限制类和淘汰类，</w:t>
            </w:r>
            <w:r>
              <w:rPr>
                <w:rFonts w:hint="default" w:ascii="Times New Roman" w:hAnsi="Times New Roman" w:cs="Times New Roman"/>
              </w:rPr>
              <w:t>本项目的建设符合国家产业政策要求。</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2.用地规划符合性</w:t>
            </w:r>
          </w:p>
          <w:p>
            <w:pPr>
              <w:pStyle w:val="7"/>
              <w:bidi w:val="0"/>
              <w:rPr>
                <w:rFonts w:hint="default" w:ascii="Times New Roman" w:hAnsi="Times New Roman" w:cs="Times New Roman"/>
                <w:highlight w:val="none"/>
                <w:lang w:val="en-US" w:eastAsia="zh-CN"/>
              </w:rPr>
            </w:pPr>
            <w:r>
              <w:rPr>
                <w:rFonts w:hint="default" w:ascii="Times New Roman" w:hAnsi="Times New Roman" w:cs="Times New Roman"/>
                <w:lang w:val="en-US" w:eastAsia="zh-CN"/>
              </w:rPr>
              <w:t>本项目位于新疆维吾尔自治区巴音郭楞蒙古自治州若羌县</w:t>
            </w:r>
            <w:r>
              <w:rPr>
                <w:rFonts w:hint="default" w:ascii="Times New Roman" w:hAnsi="Times New Roman" w:cs="Times New Roman"/>
                <w:highlight w:val="none"/>
                <w:lang w:val="en-US" w:eastAsia="zh-CN"/>
              </w:rPr>
              <w:t>瓦石峡镇苏贝什路以西，G315国道以南1.7公里处</w:t>
            </w:r>
            <w:r>
              <w:rPr>
                <w:rFonts w:hint="eastAsia" w:cs="Times New Roman"/>
                <w:lang w:val="en-US" w:eastAsia="zh-CN"/>
              </w:rPr>
              <w:t>。</w:t>
            </w:r>
            <w:r>
              <w:rPr>
                <w:rFonts w:hint="default" w:ascii="Times New Roman" w:hAnsi="Times New Roman" w:cs="Times New Roman"/>
                <w:lang w:val="en-US" w:eastAsia="zh-CN"/>
              </w:rPr>
              <w:t>项目于</w:t>
            </w:r>
            <w:r>
              <w:rPr>
                <w:rFonts w:hint="default" w:ascii="Times New Roman" w:hAnsi="Times New Roman" w:cs="Times New Roman"/>
                <w:highlight w:val="none"/>
                <w:lang w:val="en-US" w:eastAsia="zh-CN"/>
              </w:rPr>
              <w:t>2025年5月13日取得建设项目用地预审与选址意见书，用字第652824202500019号</w:t>
            </w:r>
            <w:r>
              <w:rPr>
                <w:rFonts w:hint="eastAsia" w:cs="Times New Roman"/>
                <w:highlight w:val="none"/>
                <w:lang w:val="en-US" w:eastAsia="zh-CN"/>
              </w:rPr>
              <w:t>；于2025年7月10日取得若羌县瓦石峡镇人民政府开具的《关于2025年若羌县瓦石峡镇标准化屠宰点建设项目符合乡镇国土空间总体规划的情况说明》</w:t>
            </w:r>
            <w:r>
              <w:rPr>
                <w:rFonts w:hint="eastAsia"/>
                <w:lang w:eastAsia="zh-CN"/>
              </w:rPr>
              <w:t>，</w:t>
            </w:r>
            <w:r>
              <w:rPr>
                <w:rFonts w:hint="eastAsia"/>
                <w:lang w:val="en-US" w:eastAsia="zh-CN"/>
              </w:rPr>
              <w:t>根据《若羌县瓦石峡镇国土空间总体规划（2021-2035年）》，</w:t>
            </w:r>
            <w:r>
              <w:rPr>
                <w:rFonts w:hint="eastAsia" w:cs="Times New Roman"/>
                <w:highlight w:val="none"/>
                <w:lang w:val="en-US" w:eastAsia="zh-CN"/>
              </w:rPr>
              <w:t>本项目区位于瓦石峡镇乡村发展区，符合规划。</w:t>
            </w:r>
          </w:p>
          <w:p>
            <w:pPr>
              <w:pStyle w:val="2"/>
              <w:bidi w:val="0"/>
              <w:rPr>
                <w:rFonts w:hint="eastAsia"/>
                <w:lang w:val="en-US" w:eastAsia="zh-CN"/>
              </w:rPr>
            </w:pPr>
            <w:r>
              <w:rPr>
                <w:rFonts w:hint="eastAsia"/>
                <w:lang w:val="en-US" w:eastAsia="zh-CN"/>
              </w:rPr>
              <w:t>3.项目选址合理性分析</w:t>
            </w:r>
          </w:p>
          <w:p>
            <w:pPr>
              <w:pStyle w:val="7"/>
              <w:bidi w:val="0"/>
              <w:rPr>
                <w:rFonts w:hint="default"/>
                <w:lang w:val="en-US" w:eastAsia="zh-CN"/>
              </w:rPr>
            </w:pPr>
            <w:r>
              <w:rPr>
                <w:rFonts w:hint="default"/>
                <w:lang w:val="en-US" w:eastAsia="zh-CN"/>
              </w:rPr>
              <w:t>本项目选址位于若羌县瓦石峡镇苏贝什路以西，G315国道以南1.7公里处，项目中心点坐标：</w:t>
            </w:r>
            <w:r>
              <w:rPr>
                <w:rFonts w:hint="default"/>
                <w:highlight w:val="none"/>
                <w:lang w:val="en-US" w:eastAsia="zh-CN"/>
              </w:rPr>
              <w:t>东经8</w:t>
            </w:r>
            <w:r>
              <w:rPr>
                <w:rFonts w:hint="eastAsia"/>
                <w:highlight w:val="none"/>
                <w:lang w:val="en-US" w:eastAsia="zh-CN"/>
              </w:rPr>
              <w:t>7</w:t>
            </w:r>
            <w:r>
              <w:rPr>
                <w:rFonts w:hint="default"/>
                <w:highlight w:val="none"/>
                <w:lang w:val="en-US" w:eastAsia="zh-CN"/>
              </w:rPr>
              <w:t>°</w:t>
            </w:r>
            <w:r>
              <w:rPr>
                <w:rFonts w:hint="eastAsia"/>
                <w:highlight w:val="none"/>
                <w:lang w:val="en-US" w:eastAsia="zh-CN"/>
              </w:rPr>
              <w:t>21</w:t>
            </w:r>
            <w:r>
              <w:rPr>
                <w:rFonts w:hint="default"/>
                <w:highlight w:val="none"/>
                <w:lang w:val="en-US" w:eastAsia="zh-CN"/>
              </w:rPr>
              <w:t>′</w:t>
            </w:r>
            <w:r>
              <w:rPr>
                <w:rFonts w:hint="eastAsia"/>
                <w:highlight w:val="none"/>
                <w:lang w:val="en-US" w:eastAsia="zh-CN"/>
              </w:rPr>
              <w:t>11.813</w:t>
            </w:r>
            <w:r>
              <w:rPr>
                <w:rFonts w:hint="default"/>
                <w:highlight w:val="none"/>
                <w:lang w:val="en-US" w:eastAsia="zh-CN"/>
              </w:rPr>
              <w:t>″，北纬</w:t>
            </w:r>
            <w:r>
              <w:rPr>
                <w:rFonts w:hint="eastAsia"/>
                <w:highlight w:val="none"/>
                <w:lang w:val="en-US" w:eastAsia="zh-CN"/>
              </w:rPr>
              <w:t>38</w:t>
            </w:r>
            <w:r>
              <w:rPr>
                <w:rFonts w:hint="default"/>
                <w:highlight w:val="none"/>
                <w:lang w:val="en-US" w:eastAsia="zh-CN"/>
              </w:rPr>
              <w:t>°</w:t>
            </w:r>
            <w:r>
              <w:rPr>
                <w:rFonts w:hint="eastAsia"/>
                <w:highlight w:val="none"/>
                <w:lang w:val="en-US" w:eastAsia="zh-CN"/>
              </w:rPr>
              <w:t>40</w:t>
            </w:r>
            <w:r>
              <w:rPr>
                <w:rFonts w:hint="default"/>
                <w:highlight w:val="none"/>
                <w:lang w:val="en-US" w:eastAsia="zh-CN"/>
              </w:rPr>
              <w:t>′</w:t>
            </w:r>
            <w:r>
              <w:rPr>
                <w:rFonts w:hint="eastAsia"/>
                <w:highlight w:val="none"/>
                <w:lang w:val="en-US" w:eastAsia="zh-CN"/>
              </w:rPr>
              <w:t>1.247</w:t>
            </w:r>
            <w:r>
              <w:rPr>
                <w:rFonts w:hint="default"/>
                <w:highlight w:val="none"/>
                <w:lang w:val="en-US" w:eastAsia="zh-CN"/>
              </w:rPr>
              <w:t>″</w:t>
            </w:r>
            <w:r>
              <w:rPr>
                <w:rFonts w:hint="default"/>
                <w:lang w:val="en-US" w:eastAsia="zh-CN"/>
              </w:rPr>
              <w:t>。项目总占地面积</w:t>
            </w:r>
            <w:r>
              <w:rPr>
                <w:rFonts w:hint="eastAsia"/>
                <w:lang w:val="en-US" w:eastAsia="zh-CN"/>
              </w:rPr>
              <w:t>0.21</w:t>
            </w:r>
            <w:r>
              <w:rPr>
                <w:rFonts w:hint="default"/>
                <w:lang w:val="en-US" w:eastAsia="zh-CN"/>
              </w:rPr>
              <w:t>公顷。</w:t>
            </w:r>
          </w:p>
          <w:p>
            <w:pPr>
              <w:pStyle w:val="7"/>
              <w:keepNext w:val="0"/>
              <w:keepLines w:val="0"/>
              <w:pageBreakBefore w:val="0"/>
              <w:widowControl/>
              <w:kinsoku/>
              <w:wordWrap w:val="0"/>
              <w:overflowPunct/>
              <w:topLinePunct w:val="0"/>
              <w:autoSpaceDE/>
              <w:autoSpaceDN/>
              <w:bidi w:val="0"/>
              <w:adjustRightInd/>
              <w:snapToGrid w:val="0"/>
              <w:textAlignment w:val="auto"/>
              <w:rPr>
                <w:rFonts w:hint="default"/>
                <w:lang w:val="en-US" w:eastAsia="zh-CN"/>
              </w:rPr>
            </w:pPr>
            <w:r>
              <w:rPr>
                <w:rFonts w:hint="default"/>
                <w:lang w:val="en-US" w:eastAsia="zh-CN"/>
              </w:rPr>
              <w:t>根据现场</w:t>
            </w:r>
            <w:r>
              <w:rPr>
                <w:rFonts w:hint="eastAsia"/>
                <w:lang w:val="en-US" w:eastAsia="zh-CN"/>
              </w:rPr>
              <w:t>踏勘</w:t>
            </w:r>
            <w:r>
              <w:rPr>
                <w:rFonts w:hint="default"/>
                <w:lang w:val="en-US" w:eastAsia="zh-CN"/>
              </w:rPr>
              <w:t>，项目区南侧为空地，</w:t>
            </w:r>
            <w:r>
              <w:rPr>
                <w:rFonts w:hint="eastAsia"/>
                <w:lang w:val="en-US" w:eastAsia="zh-CN"/>
              </w:rPr>
              <w:t>北侧为废弃养殖圈，</w:t>
            </w:r>
            <w:r>
              <w:rPr>
                <w:rFonts w:hint="default"/>
                <w:lang w:val="en-US" w:eastAsia="zh-CN"/>
              </w:rPr>
              <w:t>东、西侧为农田。项目区周边无动物诊疗场所、生活饮用水源地、动物饲养场、养殖小区、动物集贸市场、种畜禽场、动物隔离场所及无害化处理场所</w:t>
            </w:r>
            <w:r>
              <w:rPr>
                <w:rFonts w:hint="eastAsia"/>
                <w:lang w:val="en-US" w:eastAsia="zh-CN"/>
              </w:rPr>
              <w:t>，</w:t>
            </w:r>
            <w:r>
              <w:rPr>
                <w:rFonts w:hint="default"/>
                <w:lang w:val="en-US" w:eastAsia="zh-CN"/>
              </w:rPr>
              <w:t>符合《动物防疫条件审查办法》（</w:t>
            </w:r>
            <w:r>
              <w:rPr>
                <w:rFonts w:hint="eastAsia"/>
                <w:lang w:val="en-US" w:eastAsia="zh-CN"/>
              </w:rPr>
              <w:t>农业农村部</w:t>
            </w:r>
            <w:r>
              <w:rPr>
                <w:rFonts w:hint="default"/>
                <w:lang w:val="en-US" w:eastAsia="zh-CN"/>
              </w:rPr>
              <w:t>令20</w:t>
            </w:r>
            <w:r>
              <w:rPr>
                <w:rFonts w:hint="eastAsia"/>
                <w:lang w:val="en-US" w:eastAsia="zh-CN"/>
              </w:rPr>
              <w:t>22</w:t>
            </w:r>
            <w:r>
              <w:rPr>
                <w:rFonts w:hint="default"/>
                <w:lang w:val="en-US" w:eastAsia="zh-CN"/>
              </w:rPr>
              <w:t>年第</w:t>
            </w:r>
            <w:r>
              <w:rPr>
                <w:rFonts w:hint="eastAsia"/>
                <w:lang w:val="en-US" w:eastAsia="zh-CN"/>
              </w:rPr>
              <w:t>8</w:t>
            </w:r>
            <w:r>
              <w:rPr>
                <w:rFonts w:hint="default"/>
                <w:lang w:val="en-US" w:eastAsia="zh-CN"/>
              </w:rPr>
              <w:t>号）</w:t>
            </w:r>
            <w:r>
              <w:rPr>
                <w:rFonts w:hint="eastAsia"/>
                <w:lang w:val="en-US" w:eastAsia="zh-CN"/>
              </w:rPr>
              <w:t>；</w:t>
            </w:r>
            <w:r>
              <w:rPr>
                <w:rFonts w:hint="default"/>
                <w:lang w:val="en-US" w:eastAsia="zh-CN"/>
              </w:rPr>
              <w:t>符合《食品安全国家标准畜禽屠宰加工卫生规范》（GB12694-2016）选址要求。</w:t>
            </w:r>
          </w:p>
          <w:p>
            <w:pPr>
              <w:pStyle w:val="7"/>
              <w:bidi w:val="0"/>
              <w:rPr>
                <w:rFonts w:hint="default" w:ascii="Times New Roman" w:hAnsi="Times New Roman" w:cs="Times New Roman"/>
                <w:highlight w:val="none"/>
                <w:lang w:val="en-US" w:eastAsia="zh-CN"/>
              </w:rPr>
            </w:pPr>
            <w:r>
              <w:rPr>
                <w:rFonts w:hint="eastAsia"/>
                <w:lang w:val="en-US" w:eastAsia="zh-CN"/>
              </w:rPr>
              <w:t>综上，</w:t>
            </w:r>
            <w:r>
              <w:rPr>
                <w:rFonts w:hint="default"/>
                <w:lang w:val="en-US" w:eastAsia="zh-CN"/>
              </w:rPr>
              <w:t>项目选址不涉及生态保护红线、自然保护区、自然公园、重要湿地、天然林等生态敏感区，根据《若羌县瓦石峡镇国土空间总体规划（2021-2035年）》，本项目区位于瓦石峡镇乡村发展区，符合规划</w:t>
            </w:r>
            <w:r>
              <w:rPr>
                <w:rFonts w:hint="eastAsia"/>
                <w:lang w:val="en-US" w:eastAsia="zh-CN"/>
              </w:rPr>
              <w:t>。</w:t>
            </w:r>
          </w:p>
          <w:p>
            <w:pPr>
              <w:pStyle w:val="2"/>
              <w:bidi w:val="0"/>
              <w:rPr>
                <w:rFonts w:hint="default" w:ascii="Times New Roman" w:hAnsi="Times New Roman" w:cs="Times New Roman"/>
              </w:rPr>
            </w:pPr>
            <w:r>
              <w:rPr>
                <w:rFonts w:hint="eastAsia"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lang w:eastAsia="zh-CN"/>
              </w:rPr>
              <w:t>“</w:t>
            </w:r>
            <w:r>
              <w:rPr>
                <w:rFonts w:hint="default" w:ascii="Times New Roman" w:hAnsi="Times New Roman" w:cs="Times New Roman"/>
                <w:lang w:val="en-US" w:eastAsia="zh-CN"/>
              </w:rPr>
              <w:t>生态环境分区管控</w:t>
            </w:r>
            <w:r>
              <w:rPr>
                <w:rFonts w:hint="default" w:ascii="Times New Roman" w:hAnsi="Times New Roman" w:cs="Times New Roman"/>
                <w:lang w:eastAsia="zh-CN"/>
              </w:rPr>
              <w:t>”</w:t>
            </w:r>
            <w:r>
              <w:rPr>
                <w:rFonts w:hint="default" w:ascii="Times New Roman" w:hAnsi="Times New Roman" w:cs="Times New Roman"/>
                <w:lang w:val="en-US" w:eastAsia="zh-CN"/>
              </w:rPr>
              <w:t>要求</w:t>
            </w:r>
            <w:r>
              <w:rPr>
                <w:rFonts w:hint="default" w:ascii="Times New Roman" w:hAnsi="Times New Roman" w:cs="Times New Roman"/>
              </w:rPr>
              <w:t>符合性分析</w:t>
            </w:r>
          </w:p>
          <w:p>
            <w:pPr>
              <w:pStyle w:val="2"/>
              <w:bidi w:val="0"/>
              <w:rPr>
                <w:rFonts w:hint="default" w:ascii="Times New Roman" w:hAnsi="Times New Roman" w:cs="Times New Roman"/>
                <w:lang w:val="en-US" w:eastAsia="zh-CN"/>
              </w:rPr>
            </w:pPr>
            <w:r>
              <w:rPr>
                <w:rFonts w:hint="eastAsia" w:cs="Times New Roman"/>
                <w:lang w:val="en-US" w:eastAsia="zh-CN"/>
              </w:rPr>
              <w:t>4</w:t>
            </w:r>
            <w:r>
              <w:rPr>
                <w:rFonts w:hint="default" w:ascii="Times New Roman" w:hAnsi="Times New Roman" w:cs="Times New Roman"/>
                <w:lang w:val="en-US" w:eastAsia="zh-CN"/>
              </w:rPr>
              <w:t>.1《新疆维吾尔自治区七大片区“三线一单”生态环境分区管控要求》（2021年版）符合性分析</w:t>
            </w:r>
          </w:p>
          <w:p>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根据新疆维吾尔自治区生态环境厅2021年7月发布的《关于印发〈新疆维吾尔自治区七大片区“三线一单”生态环境分区管控要求〉的通知》（新环环评发〔2021〕162号），本项目所在区域属于天山南坡片区，该片区管控要求见下表。</w:t>
            </w:r>
          </w:p>
          <w:p>
            <w:pPr>
              <w:pStyle w:val="49"/>
              <w:bidi w:val="0"/>
              <w:rPr>
                <w:rFonts w:hint="default"/>
                <w:lang w:val="en-US" w:eastAsia="zh-CN"/>
              </w:rPr>
            </w:pPr>
            <w:r>
              <w:rPr>
                <w:rFonts w:hint="default" w:ascii="Times New Roman" w:hAnsi="Times New Roman" w:cs="Times New Roman"/>
                <w:lang w:val="en-US" w:eastAsia="zh-CN"/>
              </w:rPr>
              <w:t>表1-1   《新疆维吾尔自治区七大片区“三线一单”</w:t>
            </w:r>
            <w:r>
              <w:rPr>
                <w:rFonts w:hint="eastAsia"/>
                <w:lang w:val="en-US" w:eastAsia="zh-CN"/>
              </w:rPr>
              <w:t>生态环境分区管控要求》符合性分析</w:t>
            </w:r>
          </w:p>
          <w:tbl>
            <w:tblPr>
              <w:tblStyle w:val="25"/>
              <w:tblW w:w="8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823"/>
              <w:gridCol w:w="266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restart"/>
                  <w:noWrap w:val="0"/>
                  <w:vAlign w:val="center"/>
                </w:tcPr>
                <w:p>
                  <w:pPr>
                    <w:bidi w:val="0"/>
                    <w:jc w:val="center"/>
                    <w:rPr>
                      <w:rFonts w:hint="default"/>
                      <w:sz w:val="21"/>
                      <w:szCs w:val="21"/>
                      <w:lang w:val="en-US" w:eastAsia="zh-CN"/>
                    </w:rPr>
                  </w:pPr>
                  <w:r>
                    <w:rPr>
                      <w:rFonts w:hint="eastAsia"/>
                      <w:sz w:val="21"/>
                      <w:szCs w:val="21"/>
                      <w:lang w:val="en-US" w:eastAsia="zh-CN"/>
                    </w:rPr>
                    <w:t>天山南坡片区总体管控要求</w:t>
                  </w:r>
                </w:p>
              </w:tc>
              <w:tc>
                <w:tcPr>
                  <w:tcW w:w="3823" w:type="dxa"/>
                  <w:noWrap w:val="0"/>
                  <w:vAlign w:val="center"/>
                </w:tcPr>
                <w:p>
                  <w:pPr>
                    <w:bidi w:val="0"/>
                    <w:jc w:val="center"/>
                    <w:rPr>
                      <w:rFonts w:hint="default"/>
                      <w:sz w:val="21"/>
                      <w:szCs w:val="21"/>
                      <w:lang w:val="en-US" w:eastAsia="zh-CN"/>
                    </w:rPr>
                  </w:pPr>
                  <w:r>
                    <w:rPr>
                      <w:rFonts w:hint="eastAsia"/>
                      <w:sz w:val="21"/>
                      <w:szCs w:val="21"/>
                      <w:lang w:val="en-US" w:eastAsia="zh-CN"/>
                    </w:rPr>
                    <w:t>管控要求</w:t>
                  </w:r>
                </w:p>
              </w:tc>
              <w:tc>
                <w:tcPr>
                  <w:tcW w:w="2663" w:type="dxa"/>
                  <w:noWrap w:val="0"/>
                  <w:vAlign w:val="center"/>
                </w:tcPr>
                <w:p>
                  <w:pPr>
                    <w:bidi w:val="0"/>
                    <w:jc w:val="center"/>
                    <w:rPr>
                      <w:rFonts w:hint="default"/>
                      <w:sz w:val="21"/>
                      <w:szCs w:val="21"/>
                      <w:lang w:val="en-US" w:eastAsia="zh-CN"/>
                    </w:rPr>
                  </w:pPr>
                  <w:r>
                    <w:rPr>
                      <w:rFonts w:hint="eastAsia"/>
                      <w:sz w:val="21"/>
                      <w:szCs w:val="21"/>
                      <w:lang w:val="en-US" w:eastAsia="zh-CN"/>
                    </w:rPr>
                    <w:t>本项目情况</w:t>
                  </w:r>
                </w:p>
              </w:tc>
              <w:tc>
                <w:tcPr>
                  <w:tcW w:w="743" w:type="dxa"/>
                  <w:noWrap w:val="0"/>
                  <w:vAlign w:val="center"/>
                </w:tcPr>
                <w:p>
                  <w:pPr>
                    <w:bidi w:val="0"/>
                    <w:jc w:val="center"/>
                    <w:rPr>
                      <w:rFonts w:hint="default"/>
                      <w:sz w:val="21"/>
                      <w:szCs w:val="21"/>
                      <w:lang w:val="en-US" w:eastAsia="zh-CN"/>
                    </w:rPr>
                  </w:pPr>
                  <w:r>
                    <w:rPr>
                      <w:rFonts w:hint="eastAsia"/>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noWrap w:val="0"/>
                  <w:vAlign w:val="center"/>
                </w:tcPr>
                <w:p>
                  <w:pPr>
                    <w:bidi w:val="0"/>
                    <w:jc w:val="center"/>
                    <w:rPr>
                      <w:rFonts w:hint="default"/>
                      <w:sz w:val="21"/>
                      <w:szCs w:val="21"/>
                      <w:lang w:val="en-US" w:eastAsia="zh-CN"/>
                    </w:rPr>
                  </w:pPr>
                </w:p>
              </w:tc>
              <w:tc>
                <w:tcPr>
                  <w:tcW w:w="3823" w:type="dxa"/>
                  <w:noWrap w:val="0"/>
                  <w:vAlign w:val="center"/>
                </w:tcPr>
                <w:p>
                  <w:pPr>
                    <w:bidi w:val="0"/>
                    <w:jc w:val="both"/>
                    <w:rPr>
                      <w:rFonts w:hint="default"/>
                      <w:sz w:val="21"/>
                      <w:szCs w:val="21"/>
                      <w:lang w:val="en-US" w:eastAsia="zh-CN"/>
                    </w:rPr>
                  </w:pPr>
                  <w:r>
                    <w:rPr>
                      <w:rFonts w:hint="eastAsia"/>
                      <w:sz w:val="21"/>
                      <w:szCs w:val="21"/>
                      <w:lang w:val="en-US" w:eastAsia="zh-CN"/>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2663" w:type="dxa"/>
                  <w:noWrap w:val="0"/>
                  <w:vAlign w:val="center"/>
                </w:tcPr>
                <w:p>
                  <w:pPr>
                    <w:bidi w:val="0"/>
                    <w:jc w:val="both"/>
                    <w:rPr>
                      <w:rFonts w:hint="default"/>
                      <w:sz w:val="21"/>
                      <w:szCs w:val="21"/>
                      <w:lang w:val="en-US" w:eastAsia="zh-CN"/>
                    </w:rPr>
                  </w:pPr>
                  <w:r>
                    <w:rPr>
                      <w:rFonts w:hint="eastAsia"/>
                      <w:sz w:val="21"/>
                      <w:szCs w:val="21"/>
                      <w:lang w:val="en-US" w:eastAsia="zh-CN"/>
                    </w:rPr>
                    <w:t>本项目不涉及高山冰川、森林和草原，项目区内无野生动物。</w:t>
                  </w:r>
                </w:p>
              </w:tc>
              <w:tc>
                <w:tcPr>
                  <w:tcW w:w="743" w:type="dxa"/>
                  <w:noWrap w:val="0"/>
                  <w:vAlign w:val="center"/>
                </w:tcPr>
                <w:p>
                  <w:pPr>
                    <w:bidi w:val="0"/>
                    <w:jc w:val="center"/>
                    <w:rPr>
                      <w:rFonts w:hint="default"/>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noWrap w:val="0"/>
                  <w:vAlign w:val="center"/>
                </w:tcPr>
                <w:p>
                  <w:pPr>
                    <w:bidi w:val="0"/>
                    <w:jc w:val="center"/>
                    <w:rPr>
                      <w:rFonts w:hint="eastAsia"/>
                      <w:sz w:val="21"/>
                      <w:szCs w:val="21"/>
                      <w:lang w:val="en-US" w:eastAsia="zh-CN"/>
                    </w:rPr>
                  </w:pPr>
                </w:p>
              </w:tc>
              <w:tc>
                <w:tcPr>
                  <w:tcW w:w="3823" w:type="dxa"/>
                  <w:noWrap w:val="0"/>
                  <w:vAlign w:val="center"/>
                </w:tcPr>
                <w:p>
                  <w:pPr>
                    <w:bidi w:val="0"/>
                    <w:jc w:val="both"/>
                    <w:rPr>
                      <w:rFonts w:hint="eastAsia"/>
                      <w:sz w:val="21"/>
                      <w:szCs w:val="21"/>
                      <w:lang w:val="en-US" w:eastAsia="zh-CN"/>
                    </w:rPr>
                  </w:pPr>
                  <w:r>
                    <w:rPr>
                      <w:rFonts w:hint="eastAsia"/>
                      <w:sz w:val="21"/>
                      <w:szCs w:val="21"/>
                      <w:lang w:val="en-US" w:eastAsia="zh-CN"/>
                    </w:rPr>
                    <w:t>重点做好塔里木盆地北缘荒漠化防治。加强荒漠植被及河岸荒漠林保护，规范油气勘探开发作业，建立油田和公路扰动区域工程与生物相结合的防风固沙体系，逐步形成生态屏障。推进塔里木河流域用水结构调整，维护塔里木河、博斯腾湖基本生态用水。</w:t>
                  </w:r>
                </w:p>
              </w:tc>
              <w:tc>
                <w:tcPr>
                  <w:tcW w:w="2663" w:type="dxa"/>
                  <w:noWrap w:val="0"/>
                  <w:vAlign w:val="center"/>
                </w:tcPr>
                <w:p>
                  <w:pPr>
                    <w:bidi w:val="0"/>
                    <w:jc w:val="both"/>
                    <w:rPr>
                      <w:rFonts w:hint="default"/>
                      <w:sz w:val="21"/>
                      <w:szCs w:val="21"/>
                      <w:lang w:val="en-US" w:eastAsia="zh-CN"/>
                    </w:rPr>
                  </w:pPr>
                  <w:r>
                    <w:rPr>
                      <w:rFonts w:hint="eastAsia"/>
                      <w:sz w:val="21"/>
                      <w:szCs w:val="21"/>
                      <w:lang w:val="en-US" w:eastAsia="zh-CN"/>
                    </w:rPr>
                    <w:t>本项目不涉及油气勘探开发，不涉及塔里木河、博斯腾湖生态用水。</w:t>
                  </w:r>
                </w:p>
              </w:tc>
              <w:tc>
                <w:tcPr>
                  <w:tcW w:w="743" w:type="dxa"/>
                  <w:noWrap w:val="0"/>
                  <w:vAlign w:val="center"/>
                </w:tcPr>
                <w:p>
                  <w:pPr>
                    <w:bidi w:val="0"/>
                    <w:jc w:val="center"/>
                    <w:rPr>
                      <w:rFonts w:hint="eastAsia"/>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noWrap w:val="0"/>
                  <w:vAlign w:val="center"/>
                </w:tcPr>
                <w:p>
                  <w:pPr>
                    <w:bidi w:val="0"/>
                    <w:jc w:val="center"/>
                    <w:rPr>
                      <w:rFonts w:hint="eastAsia"/>
                      <w:sz w:val="21"/>
                      <w:szCs w:val="21"/>
                      <w:lang w:val="en-US" w:eastAsia="zh-CN"/>
                    </w:rPr>
                  </w:pPr>
                </w:p>
              </w:tc>
              <w:tc>
                <w:tcPr>
                  <w:tcW w:w="3823" w:type="dxa"/>
                  <w:noWrap w:val="0"/>
                  <w:vAlign w:val="center"/>
                </w:tcPr>
                <w:p>
                  <w:pPr>
                    <w:bidi w:val="0"/>
                    <w:jc w:val="both"/>
                    <w:rPr>
                      <w:rFonts w:hint="eastAsia"/>
                      <w:sz w:val="21"/>
                      <w:szCs w:val="21"/>
                      <w:lang w:val="en-US" w:eastAsia="zh-CN"/>
                    </w:rPr>
                  </w:pPr>
                  <w:r>
                    <w:rPr>
                      <w:rFonts w:hint="eastAsia"/>
                      <w:sz w:val="21"/>
                      <w:szCs w:val="21"/>
                      <w:lang w:val="en-US" w:eastAsia="zh-CN"/>
                    </w:rPr>
                    <w:t>加强塔里木河流域水环境风险管控。加大博斯腾湖污染源头达标排放治理和监督力度，实施博斯腾湖综合治理。加强油（气）资源开发区土壤环境污染综合整治。强化涉重金属行业污染防控与工业废物处理处置。</w:t>
                  </w:r>
                </w:p>
              </w:tc>
              <w:tc>
                <w:tcPr>
                  <w:tcW w:w="2663" w:type="dxa"/>
                  <w:noWrap w:val="0"/>
                  <w:vAlign w:val="center"/>
                </w:tcPr>
                <w:p>
                  <w:pPr>
                    <w:bidi w:val="0"/>
                    <w:jc w:val="both"/>
                    <w:rPr>
                      <w:rFonts w:hint="default"/>
                      <w:sz w:val="21"/>
                      <w:szCs w:val="21"/>
                      <w:lang w:val="en-US" w:eastAsia="zh-CN"/>
                    </w:rPr>
                  </w:pPr>
                  <w:r>
                    <w:rPr>
                      <w:rFonts w:hint="eastAsia"/>
                      <w:sz w:val="21"/>
                      <w:szCs w:val="21"/>
                      <w:lang w:val="en-US" w:eastAsia="zh-CN"/>
                    </w:rPr>
                    <w:t>本项目生产废水经污水处理站处理后拉运至若羌县污水处理厂，不外排，不涉及塔里木河流域和博斯腾湖，不涉及油（气）资源开发和重金属行业。</w:t>
                  </w:r>
                </w:p>
              </w:tc>
              <w:tc>
                <w:tcPr>
                  <w:tcW w:w="743" w:type="dxa"/>
                  <w:noWrap w:val="0"/>
                  <w:vAlign w:val="center"/>
                </w:tcPr>
                <w:p>
                  <w:pPr>
                    <w:bidi w:val="0"/>
                    <w:jc w:val="center"/>
                    <w:rPr>
                      <w:rFonts w:hint="eastAsia"/>
                      <w:sz w:val="21"/>
                      <w:szCs w:val="21"/>
                      <w:lang w:val="en-US" w:eastAsia="zh-CN"/>
                    </w:rPr>
                  </w:pPr>
                  <w:r>
                    <w:rPr>
                      <w:rFonts w:hint="eastAsia"/>
                      <w:sz w:val="21"/>
                      <w:szCs w:val="21"/>
                      <w:lang w:val="en-US" w:eastAsia="zh-CN"/>
                    </w:rPr>
                    <w:t>符合</w:t>
                  </w:r>
                </w:p>
              </w:tc>
            </w:tr>
          </w:tbl>
          <w:p>
            <w:pPr>
              <w:pStyle w:val="2"/>
              <w:keepNext/>
              <w:keepLines w:val="0"/>
              <w:pageBreakBefore w:val="0"/>
              <w:widowControl w:val="0"/>
              <w:kinsoku/>
              <w:wordWrap w:val="0"/>
              <w:overflowPunct w:val="0"/>
              <w:topLinePunct w:val="0"/>
              <w:autoSpaceDE/>
              <w:autoSpaceDN/>
              <w:bidi w:val="0"/>
              <w:adjustRightInd/>
              <w:snapToGrid w:val="0"/>
              <w:ind w:left="0" w:firstLine="0"/>
              <w:jc w:val="left"/>
              <w:textAlignment w:val="auto"/>
              <w:rPr>
                <w:rFonts w:hint="default"/>
                <w:lang w:val="en-US" w:eastAsia="zh-CN"/>
              </w:rPr>
            </w:pPr>
            <w:r>
              <w:rPr>
                <w:rFonts w:hint="eastAsia"/>
                <w:lang w:val="en-US" w:eastAsia="zh-CN"/>
              </w:rPr>
              <w:t>4.2《关于印发〈新疆维吾尔自治区生态环境分区管控动态更新成果〉的通知》（新环环评发〔2024〕157号）符合性分析</w:t>
            </w:r>
          </w:p>
          <w:p>
            <w:pPr>
              <w:pStyle w:val="7"/>
              <w:bidi w:val="0"/>
              <w:rPr>
                <w:rFonts w:hint="default"/>
                <w:lang w:val="en-US" w:eastAsia="zh-CN"/>
              </w:rPr>
            </w:pPr>
            <w:r>
              <w:rPr>
                <w:rFonts w:hint="default"/>
                <w:lang w:val="en-US" w:eastAsia="zh-CN"/>
              </w:rPr>
              <w:t>项目与《关于印发〈新疆维吾尔自治区生态环境分区管控动态更新成果〉的通知》（新环环评发〔2024〕157号）符合性分析详见下表。</w:t>
            </w:r>
          </w:p>
          <w:p>
            <w:pPr>
              <w:pStyle w:val="49"/>
              <w:bidi w:val="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 xml:space="preserve">1-2   </w:t>
            </w:r>
            <w:r>
              <w:rPr>
                <w:rFonts w:hint="default" w:ascii="Times New Roman" w:hAnsi="Times New Roman" w:cs="Times New Roman"/>
              </w:rPr>
              <w:t>《新疆维吾尔自治区“三线一单”生态环境分区管控方案》符合</w:t>
            </w:r>
            <w:r>
              <w:rPr>
                <w:rFonts w:hint="eastAsia" w:ascii="Times New Roman" w:hAnsi="Times New Roman" w:cs="Times New Roman"/>
                <w:lang w:val="en-US" w:eastAsia="zh-CN"/>
              </w:rPr>
              <w:t>性</w:t>
            </w:r>
            <w:r>
              <w:rPr>
                <w:rFonts w:hint="default" w:ascii="Times New Roman" w:hAnsi="Times New Roman" w:cs="Times New Roman"/>
              </w:rPr>
              <w:t>分析</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36"/>
              <w:gridCol w:w="2825"/>
              <w:gridCol w:w="306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1" w:type="pct"/>
                  <w:gridSpan w:val="3"/>
                  <w:noWrap w:val="0"/>
                  <w:vAlign w:val="center"/>
                </w:tcPr>
                <w:p>
                  <w:pPr>
                    <w:pStyle w:val="69"/>
                    <w:bidi w:val="0"/>
                    <w:rPr>
                      <w:rFonts w:hint="default"/>
                      <w:lang w:val="en-US" w:eastAsia="zh-CN"/>
                    </w:rPr>
                  </w:pPr>
                  <w:r>
                    <w:rPr>
                      <w:rFonts w:hint="eastAsia"/>
                      <w:lang w:val="en-US" w:eastAsia="zh-CN"/>
                    </w:rPr>
                    <w:t>管控要求</w:t>
                  </w:r>
                </w:p>
              </w:tc>
              <w:tc>
                <w:tcPr>
                  <w:tcW w:w="1902" w:type="pct"/>
                  <w:noWrap w:val="0"/>
                  <w:vAlign w:val="center"/>
                </w:tcPr>
                <w:p>
                  <w:pPr>
                    <w:pStyle w:val="69"/>
                    <w:bidi w:val="0"/>
                    <w:rPr>
                      <w:rFonts w:hint="default"/>
                      <w:lang w:val="en-US" w:eastAsia="zh-CN"/>
                    </w:rPr>
                  </w:pPr>
                  <w:r>
                    <w:rPr>
                      <w:rFonts w:hint="eastAsia"/>
                      <w:lang w:val="en-US" w:eastAsia="zh-CN"/>
                    </w:rPr>
                    <w:t>本项目情况</w:t>
                  </w:r>
                </w:p>
              </w:tc>
              <w:tc>
                <w:tcPr>
                  <w:tcW w:w="435" w:type="pct"/>
                  <w:noWrap w:val="0"/>
                  <w:vAlign w:val="center"/>
                </w:tcPr>
                <w:p>
                  <w:pPr>
                    <w:pStyle w:val="69"/>
                    <w:bidi w:val="0"/>
                    <w:rPr>
                      <w:rFonts w:hint="default"/>
                      <w:lang w:val="en-US" w:eastAsia="zh-CN"/>
                    </w:rPr>
                  </w:pPr>
                  <w:r>
                    <w:rPr>
                      <w:rFonts w:hint="eastAsia"/>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Merge w:val="restart"/>
                  <w:noWrap w:val="0"/>
                  <w:vAlign w:val="center"/>
                </w:tcPr>
                <w:p>
                  <w:pPr>
                    <w:pStyle w:val="69"/>
                    <w:bidi w:val="0"/>
                    <w:rPr>
                      <w:rFonts w:hint="default"/>
                      <w:lang w:val="en-US" w:eastAsia="zh-CN"/>
                    </w:rPr>
                  </w:pPr>
                  <w:r>
                    <w:rPr>
                      <w:rFonts w:hint="default"/>
                      <w:lang w:val="en-US" w:eastAsia="zh-CN"/>
                    </w:rPr>
                    <w:t>A1</w:t>
                  </w:r>
                  <w:r>
                    <w:rPr>
                      <w:rFonts w:hint="eastAsia"/>
                      <w:lang w:val="en-US" w:eastAsia="zh-CN"/>
                    </w:rPr>
                    <w:t>空间布局约束</w:t>
                  </w:r>
                </w:p>
              </w:tc>
              <w:tc>
                <w:tcPr>
                  <w:tcW w:w="457" w:type="pct"/>
                  <w:vMerge w:val="restart"/>
                  <w:noWrap w:val="0"/>
                  <w:vAlign w:val="center"/>
                </w:tcPr>
                <w:p>
                  <w:pPr>
                    <w:pStyle w:val="69"/>
                    <w:bidi w:val="0"/>
                    <w:rPr>
                      <w:rFonts w:hint="default"/>
                      <w:lang w:val="en-US" w:eastAsia="zh-CN"/>
                    </w:rPr>
                  </w:pPr>
                  <w:r>
                    <w:rPr>
                      <w:rFonts w:hint="default"/>
                      <w:lang w:val="en-US" w:eastAsia="zh-CN"/>
                    </w:rPr>
                    <w:t>A1.1禁止开发建设的活动</w:t>
                  </w:r>
                </w:p>
              </w:tc>
              <w:tc>
                <w:tcPr>
                  <w:tcW w:w="1754" w:type="pct"/>
                  <w:noWrap w:val="0"/>
                  <w:vAlign w:val="center"/>
                </w:tcPr>
                <w:p>
                  <w:pPr>
                    <w:pStyle w:val="69"/>
                    <w:bidi w:val="0"/>
                    <w:jc w:val="both"/>
                    <w:rPr>
                      <w:rFonts w:hint="default"/>
                      <w:lang w:val="en-US" w:eastAsia="zh-CN"/>
                    </w:rPr>
                  </w:pPr>
                  <w:r>
                    <w:rPr>
                      <w:rFonts w:hint="default"/>
                      <w:lang w:val="en-US" w:eastAsia="zh-CN"/>
                    </w:rPr>
                    <w:t>〔A1.1-1〕禁止新建、扩建《产业结构调整指导目录</w:t>
                  </w:r>
                  <w:r>
                    <w:rPr>
                      <w:rFonts w:hint="eastAsia"/>
                      <w:lang w:val="en-US" w:eastAsia="zh-CN"/>
                    </w:rPr>
                    <w:t>（</w:t>
                  </w:r>
                  <w:r>
                    <w:rPr>
                      <w:rFonts w:hint="default"/>
                      <w:lang w:val="en-US" w:eastAsia="zh-CN"/>
                    </w:rPr>
                    <w:t>2024年本</w:t>
                  </w:r>
                  <w:r>
                    <w:rPr>
                      <w:rFonts w:hint="eastAsia"/>
                      <w:lang w:val="en-US" w:eastAsia="zh-CN"/>
                    </w:rPr>
                    <w:t>）</w:t>
                  </w:r>
                  <w:r>
                    <w:rPr>
                      <w:rFonts w:hint="default"/>
                      <w:lang w:val="en-US" w:eastAsia="zh-CN"/>
                    </w:rPr>
                    <w:t>》中淘汰类项目。禁止引入《市场准入负面清单</w:t>
                  </w:r>
                  <w:r>
                    <w:rPr>
                      <w:rFonts w:hint="eastAsia"/>
                      <w:lang w:val="en-US" w:eastAsia="zh-CN"/>
                    </w:rPr>
                    <w:t>（</w:t>
                  </w:r>
                  <w:r>
                    <w:rPr>
                      <w:rFonts w:hint="default"/>
                      <w:lang w:val="en-US" w:eastAsia="zh-CN"/>
                    </w:rPr>
                    <w:t>2022年版</w:t>
                  </w:r>
                  <w:r>
                    <w:rPr>
                      <w:rFonts w:hint="eastAsia"/>
                      <w:lang w:val="en-US" w:eastAsia="zh-CN"/>
                    </w:rPr>
                    <w:t>）》</w:t>
                  </w:r>
                  <w:r>
                    <w:rPr>
                      <w:rFonts w:hint="default"/>
                      <w:lang w:val="en-US" w:eastAsia="zh-CN"/>
                    </w:rPr>
                    <w:t>禁止准入类事项。</w:t>
                  </w:r>
                </w:p>
              </w:tc>
              <w:tc>
                <w:tcPr>
                  <w:tcW w:w="1902" w:type="pct"/>
                  <w:noWrap w:val="0"/>
                  <w:vAlign w:val="center"/>
                </w:tcPr>
                <w:p>
                  <w:pPr>
                    <w:pStyle w:val="69"/>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不属于限制类中第十二项轻工-24项“年屠宰生猪15万头及以下、肉牛1万头及以下、肉羊15万只及以下、活禽1000万只及以下的屠宰建设项目（少数民族地区除外）”，也不属于淘汰类中第十二轻工-第29项“猪、牛、羊、禽手工屠宰工艺”</w:t>
                  </w:r>
                  <w:r>
                    <w:rPr>
                      <w:rFonts w:hint="default"/>
                    </w:rPr>
                    <w:t>；</w:t>
                  </w:r>
                  <w:r>
                    <w:rPr>
                      <w:rFonts w:hint="eastAsia"/>
                      <w:lang w:val="en-US" w:eastAsia="zh-CN"/>
                    </w:rPr>
                    <w:t>不属于</w:t>
                  </w:r>
                  <w:r>
                    <w:rPr>
                      <w:rFonts w:hint="default"/>
                      <w:lang w:val="en-US" w:eastAsia="zh-CN"/>
                    </w:rPr>
                    <w:t>《市场准入负面清单</w:t>
                  </w:r>
                  <w:r>
                    <w:rPr>
                      <w:rFonts w:hint="eastAsia"/>
                      <w:lang w:val="en-US" w:eastAsia="zh-CN"/>
                    </w:rPr>
                    <w:t>（</w:t>
                  </w:r>
                  <w:r>
                    <w:rPr>
                      <w:rFonts w:hint="default"/>
                      <w:lang w:val="en-US" w:eastAsia="zh-CN"/>
                    </w:rPr>
                    <w:t>202</w:t>
                  </w:r>
                  <w:r>
                    <w:rPr>
                      <w:rFonts w:hint="eastAsia"/>
                      <w:lang w:val="en-US" w:eastAsia="zh-CN"/>
                    </w:rPr>
                    <w:t>5</w:t>
                  </w:r>
                  <w:r>
                    <w:rPr>
                      <w:rFonts w:hint="default"/>
                      <w:lang w:val="en-US" w:eastAsia="zh-CN"/>
                    </w:rPr>
                    <w:t>年版</w:t>
                  </w:r>
                  <w:r>
                    <w:rPr>
                      <w:rFonts w:hint="eastAsia"/>
                      <w:lang w:val="en-US" w:eastAsia="zh-CN"/>
                    </w:rPr>
                    <w:t>）》的项目。</w:t>
                  </w:r>
                  <w:r>
                    <w:rPr>
                      <w:rFonts w:hint="default"/>
                    </w:rPr>
                    <w:t>符合</w:t>
                  </w:r>
                  <w:r>
                    <w:rPr>
                      <w:rFonts w:hint="eastAsia"/>
                      <w:lang w:val="en-US" w:eastAsia="zh-CN"/>
                    </w:rPr>
                    <w:t>相关要求</w:t>
                  </w:r>
                  <w:r>
                    <w:rPr>
                      <w:rFonts w:hint="eastAsia"/>
                      <w:lang w:eastAsia="zh-CN"/>
                    </w:rPr>
                    <w:t>。</w:t>
                  </w:r>
                </w:p>
              </w:tc>
              <w:tc>
                <w:tcPr>
                  <w:tcW w:w="435" w:type="pct"/>
                  <w:noWrap w:val="0"/>
                  <w:vAlign w:val="center"/>
                </w:tcPr>
                <w:p>
                  <w:pPr>
                    <w:pStyle w:val="69"/>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Merge w:val="continue"/>
                  <w:noWrap w:val="0"/>
                  <w:vAlign w:val="center"/>
                </w:tcPr>
                <w:p>
                  <w:pPr>
                    <w:pStyle w:val="69"/>
                    <w:bidi w:val="0"/>
                    <w:rPr>
                      <w:rFonts w:hint="eastAsia"/>
                    </w:rPr>
                  </w:pPr>
                </w:p>
              </w:tc>
              <w:tc>
                <w:tcPr>
                  <w:tcW w:w="457" w:type="pct"/>
                  <w:vMerge w:val="continue"/>
                  <w:noWrap w:val="0"/>
                  <w:vAlign w:val="center"/>
                </w:tcPr>
                <w:p>
                  <w:pPr>
                    <w:pStyle w:val="69"/>
                    <w:bidi w:val="0"/>
                    <w:rPr>
                      <w:rFonts w:hint="default"/>
                      <w:lang w:val="en-US" w:eastAsia="zh-CN"/>
                    </w:rPr>
                  </w:pPr>
                </w:p>
              </w:tc>
              <w:tc>
                <w:tcPr>
                  <w:tcW w:w="1754" w:type="pct"/>
                  <w:noWrap w:val="0"/>
                  <w:vAlign w:val="center"/>
                </w:tcPr>
                <w:p>
                  <w:pPr>
                    <w:pStyle w:val="69"/>
                    <w:bidi w:val="0"/>
                    <w:jc w:val="both"/>
                    <w:rPr>
                      <w:rFonts w:hint="default"/>
                      <w:lang w:val="en-US" w:eastAsia="zh-CN"/>
                    </w:rPr>
                  </w:pPr>
                  <w:r>
                    <w:rPr>
                      <w:rFonts w:hint="default"/>
                      <w:lang w:val="en-US" w:eastAsia="zh-CN"/>
                    </w:rPr>
                    <w:t>〔A1.1-</w:t>
                  </w:r>
                  <w:r>
                    <w:rPr>
                      <w:rFonts w:hint="eastAsia"/>
                      <w:lang w:val="en-US" w:eastAsia="zh-CN"/>
                    </w:rPr>
                    <w:t>6</w:t>
                  </w:r>
                  <w:r>
                    <w:rPr>
                      <w:rFonts w:hint="default"/>
                      <w:lang w:val="en-US" w:eastAsia="zh-CN"/>
                    </w:rPr>
                    <w:t>〕禁止在</w:t>
                  </w:r>
                  <w:r>
                    <w:rPr>
                      <w:rFonts w:hint="eastAsia"/>
                      <w:lang w:val="en-US" w:eastAsia="zh-CN"/>
                    </w:rPr>
                    <w:t>自治区行政区域内引进能（水）耗不符合相关国家标准中准入要求且污染物排放和环境风险防控不符合国家（地方）标准及有关产业准入条件的高污染（排放）、高能（水）耗、高环境风险的工业项目。</w:t>
                  </w:r>
                </w:p>
              </w:tc>
              <w:tc>
                <w:tcPr>
                  <w:tcW w:w="1902" w:type="pct"/>
                  <w:noWrap w:val="0"/>
                  <w:vAlign w:val="center"/>
                </w:tcPr>
                <w:p>
                  <w:pPr>
                    <w:pStyle w:val="69"/>
                    <w:bidi w:val="0"/>
                    <w:jc w:val="both"/>
                    <w:rPr>
                      <w:rFonts w:hint="default"/>
                      <w:lang w:val="en-US" w:eastAsia="zh-CN"/>
                    </w:rPr>
                  </w:pPr>
                  <w:r>
                    <w:rPr>
                      <w:rFonts w:hint="eastAsia"/>
                      <w:lang w:val="en-US" w:eastAsia="zh-CN"/>
                    </w:rPr>
                    <w:t>本项目属于牲畜屠宰项目，不属于高污染（排放）、高能（水）耗、高环境风险的工业项目。</w:t>
                  </w:r>
                </w:p>
              </w:tc>
              <w:tc>
                <w:tcPr>
                  <w:tcW w:w="435" w:type="pct"/>
                  <w:noWrap w:val="0"/>
                  <w:vAlign w:val="center"/>
                </w:tcPr>
                <w:p>
                  <w:pPr>
                    <w:pStyle w:val="69"/>
                    <w:bidi w:val="0"/>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pPr>
                    <w:pStyle w:val="69"/>
                    <w:bidi w:val="0"/>
                    <w:rPr>
                      <w:rFonts w:hint="default"/>
                      <w:lang w:val="en-US" w:eastAsia="zh-CN"/>
                    </w:rPr>
                  </w:pPr>
                  <w:r>
                    <w:rPr>
                      <w:rFonts w:hint="default"/>
                      <w:lang w:val="en-US" w:eastAsia="zh-CN"/>
                    </w:rPr>
                    <w:t>A2污染物排放管控</w:t>
                  </w:r>
                </w:p>
              </w:tc>
              <w:tc>
                <w:tcPr>
                  <w:tcW w:w="457" w:type="pct"/>
                  <w:noWrap w:val="0"/>
                  <w:vAlign w:val="center"/>
                </w:tcPr>
                <w:p>
                  <w:pPr>
                    <w:pStyle w:val="69"/>
                    <w:bidi w:val="0"/>
                    <w:rPr>
                      <w:rFonts w:hint="default"/>
                      <w:lang w:val="en-US" w:eastAsia="zh-CN"/>
                    </w:rPr>
                  </w:pPr>
                  <w:r>
                    <w:rPr>
                      <w:rFonts w:hint="default"/>
                      <w:lang w:val="en-US" w:eastAsia="zh-CN"/>
                    </w:rPr>
                    <w:t>A2</w:t>
                  </w:r>
                  <w:r>
                    <w:rPr>
                      <w:rFonts w:hint="eastAsia"/>
                      <w:lang w:val="en-US" w:eastAsia="zh-CN"/>
                    </w:rPr>
                    <w:t>.1污染物削减/替代要求</w:t>
                  </w:r>
                </w:p>
              </w:tc>
              <w:tc>
                <w:tcPr>
                  <w:tcW w:w="1754" w:type="pct"/>
                  <w:noWrap w:val="0"/>
                  <w:vAlign w:val="center"/>
                </w:tcPr>
                <w:p>
                  <w:pPr>
                    <w:pStyle w:val="69"/>
                    <w:bidi w:val="0"/>
                    <w:jc w:val="both"/>
                    <w:rPr>
                      <w:rFonts w:hint="default"/>
                      <w:lang w:val="en-US" w:eastAsia="zh-CN"/>
                    </w:rPr>
                  </w:pPr>
                  <w:r>
                    <w:rPr>
                      <w:rFonts w:hint="default"/>
                      <w:lang w:val="en-US" w:eastAsia="zh-CN"/>
                    </w:rPr>
                    <w:t>〔A2.</w:t>
                  </w:r>
                  <w:r>
                    <w:rPr>
                      <w:rFonts w:hint="eastAsia"/>
                      <w:lang w:val="en-US" w:eastAsia="zh-CN"/>
                    </w:rPr>
                    <w:t>1</w:t>
                  </w:r>
                  <w:r>
                    <w:rPr>
                      <w:rFonts w:hint="default"/>
                      <w:lang w:val="en-US" w:eastAsia="zh-CN"/>
                    </w:rPr>
                    <w:t>-</w:t>
                  </w:r>
                  <w:r>
                    <w:rPr>
                      <w:rFonts w:hint="eastAsia"/>
                      <w:lang w:val="en-US" w:eastAsia="zh-CN"/>
                    </w:rPr>
                    <w:t>1</w:t>
                  </w:r>
                  <w:r>
                    <w:rPr>
                      <w:rFonts w:hint="default"/>
                      <w:lang w:val="en-US" w:eastAsia="zh-CN"/>
                    </w:rPr>
                    <w:t>〕</w:t>
                  </w:r>
                  <w:r>
                    <w:rPr>
                      <w:rFonts w:hint="eastAsia"/>
                      <w:lang w:val="en-US" w:eastAsia="zh-CN"/>
                    </w:rPr>
                    <w:t>新、改、扩建重点行业建设项目应符合“三线一单”、产业政策、区域环评、规划环评和行业环境准入管控要求。重点区域的新、改、扩建重点行业建设项目应遵循重点重金属污染物排放“减量替代”原则。</w:t>
                  </w:r>
                </w:p>
              </w:tc>
              <w:tc>
                <w:tcPr>
                  <w:tcW w:w="1902" w:type="pct"/>
                  <w:noWrap w:val="0"/>
                  <w:vAlign w:val="center"/>
                </w:tcPr>
                <w:p>
                  <w:pPr>
                    <w:pStyle w:val="69"/>
                    <w:bidi w:val="0"/>
                    <w:jc w:val="both"/>
                    <w:rPr>
                      <w:rFonts w:hint="default"/>
                      <w:lang w:val="en-US" w:eastAsia="zh-CN"/>
                    </w:rPr>
                  </w:pPr>
                  <w:r>
                    <w:rPr>
                      <w:rFonts w:hint="eastAsia"/>
                      <w:lang w:val="en-US" w:eastAsia="zh-CN"/>
                    </w:rPr>
                    <w:t>本项目为新建项目，不属于重点区域，项目建设符合“三线一单”、产业政策、区域环评、规划环评和行业环境准入管控要求。</w:t>
                  </w:r>
                </w:p>
              </w:tc>
              <w:tc>
                <w:tcPr>
                  <w:tcW w:w="435" w:type="pct"/>
                  <w:noWrap w:val="0"/>
                  <w:vAlign w:val="center"/>
                </w:tcPr>
                <w:p>
                  <w:pPr>
                    <w:pStyle w:val="69"/>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pPr>
                    <w:pStyle w:val="69"/>
                    <w:bidi w:val="0"/>
                    <w:rPr>
                      <w:rFonts w:hint="default"/>
                      <w:lang w:val="en-US" w:eastAsia="zh-CN"/>
                    </w:rPr>
                  </w:pPr>
                  <w:r>
                    <w:rPr>
                      <w:rFonts w:hint="eastAsia"/>
                      <w:lang w:val="en-US" w:eastAsia="zh-CN"/>
                    </w:rPr>
                    <w:t>A3环境风险防控</w:t>
                  </w:r>
                </w:p>
              </w:tc>
              <w:tc>
                <w:tcPr>
                  <w:tcW w:w="457" w:type="pct"/>
                  <w:noWrap w:val="0"/>
                  <w:vAlign w:val="center"/>
                </w:tcPr>
                <w:p>
                  <w:pPr>
                    <w:pStyle w:val="69"/>
                    <w:bidi w:val="0"/>
                    <w:rPr>
                      <w:rFonts w:hint="default"/>
                      <w:lang w:val="en-US" w:eastAsia="zh-CN"/>
                    </w:rPr>
                  </w:pPr>
                  <w:r>
                    <w:rPr>
                      <w:rFonts w:hint="eastAsia"/>
                      <w:lang w:val="en-US" w:eastAsia="zh-CN"/>
                    </w:rPr>
                    <w:t>A3.2联防联控要求</w:t>
                  </w:r>
                </w:p>
              </w:tc>
              <w:tc>
                <w:tcPr>
                  <w:tcW w:w="1754" w:type="pct"/>
                  <w:noWrap w:val="0"/>
                  <w:vAlign w:val="center"/>
                </w:tcPr>
                <w:p>
                  <w:pPr>
                    <w:pStyle w:val="69"/>
                    <w:bidi w:val="0"/>
                    <w:jc w:val="both"/>
                    <w:rPr>
                      <w:rFonts w:hint="default"/>
                      <w:lang w:val="en-US" w:eastAsia="zh-CN"/>
                    </w:rPr>
                  </w:pPr>
                  <w:r>
                    <w:rPr>
                      <w:rFonts w:hint="default"/>
                      <w:lang w:val="en-US" w:eastAsia="zh-CN"/>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1902" w:type="pct"/>
                  <w:noWrap w:val="0"/>
                  <w:vAlign w:val="center"/>
                </w:tcPr>
                <w:p>
                  <w:pPr>
                    <w:pStyle w:val="69"/>
                    <w:bidi w:val="0"/>
                    <w:jc w:val="both"/>
                    <w:rPr>
                      <w:rFonts w:hint="default"/>
                      <w:lang w:val="en-US" w:eastAsia="zh-CN"/>
                    </w:rPr>
                  </w:pPr>
                  <w:r>
                    <w:rPr>
                      <w:rFonts w:hint="default"/>
                      <w:lang w:val="en-US" w:eastAsia="zh-CN"/>
                    </w:rPr>
                    <w:t>本项目建立环境突发事件应急管理领导机构、完善环境突发应急预案体系、配备完善应急物资等手段来加强环境风险防控</w:t>
                  </w:r>
                  <w:r>
                    <w:rPr>
                      <w:rFonts w:hint="eastAsia"/>
                      <w:lang w:val="en-US" w:eastAsia="zh-CN"/>
                    </w:rPr>
                    <w:t>，</w:t>
                  </w:r>
                  <w:r>
                    <w:rPr>
                      <w:rFonts w:hint="default"/>
                      <w:lang w:val="en-US" w:eastAsia="zh-CN"/>
                    </w:rPr>
                    <w:t>加强应急物资储备及应急物资信息化建设</w:t>
                  </w:r>
                  <w:r>
                    <w:rPr>
                      <w:rFonts w:hint="eastAsia"/>
                      <w:lang w:val="en-US" w:eastAsia="zh-CN"/>
                    </w:rPr>
                    <w:t>，</w:t>
                  </w:r>
                  <w:r>
                    <w:rPr>
                      <w:rFonts w:hint="default"/>
                      <w:lang w:val="en-US" w:eastAsia="zh-CN"/>
                    </w:rPr>
                    <w:t>增强实战能力。</w:t>
                  </w:r>
                </w:p>
              </w:tc>
              <w:tc>
                <w:tcPr>
                  <w:tcW w:w="435" w:type="pct"/>
                  <w:noWrap w:val="0"/>
                  <w:vAlign w:val="center"/>
                </w:tcPr>
                <w:p>
                  <w:pPr>
                    <w:pStyle w:val="69"/>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 w:type="pct"/>
                  <w:noWrap w:val="0"/>
                  <w:vAlign w:val="center"/>
                </w:tcPr>
                <w:p>
                  <w:pPr>
                    <w:pStyle w:val="69"/>
                    <w:bidi w:val="0"/>
                    <w:rPr>
                      <w:rFonts w:hint="default"/>
                      <w:lang w:val="en-US" w:eastAsia="zh-CN"/>
                    </w:rPr>
                  </w:pPr>
                  <w:r>
                    <w:rPr>
                      <w:rFonts w:hint="eastAsia"/>
                      <w:lang w:val="en-US" w:eastAsia="zh-CN"/>
                    </w:rPr>
                    <w:t>A4资源利用要求</w:t>
                  </w:r>
                </w:p>
              </w:tc>
              <w:tc>
                <w:tcPr>
                  <w:tcW w:w="457" w:type="pct"/>
                  <w:noWrap w:val="0"/>
                  <w:vAlign w:val="center"/>
                </w:tcPr>
                <w:p>
                  <w:pPr>
                    <w:pStyle w:val="69"/>
                    <w:bidi w:val="0"/>
                    <w:rPr>
                      <w:rFonts w:hint="default"/>
                      <w:lang w:val="en-US" w:eastAsia="zh-CN"/>
                    </w:rPr>
                  </w:pPr>
                  <w:r>
                    <w:rPr>
                      <w:rFonts w:hint="eastAsia"/>
                      <w:lang w:val="en-US" w:eastAsia="zh-CN"/>
                    </w:rPr>
                    <w:t>A4.3能源利用</w:t>
                  </w:r>
                </w:p>
              </w:tc>
              <w:tc>
                <w:tcPr>
                  <w:tcW w:w="1754" w:type="pct"/>
                  <w:noWrap w:val="0"/>
                  <w:vAlign w:val="center"/>
                </w:tcPr>
                <w:p>
                  <w:pPr>
                    <w:pStyle w:val="69"/>
                    <w:bidi w:val="0"/>
                    <w:jc w:val="both"/>
                    <w:rPr>
                      <w:rFonts w:hint="default"/>
                      <w:lang w:val="en-US" w:eastAsia="zh-CN"/>
                    </w:rPr>
                  </w:pPr>
                  <w:r>
                    <w:rPr>
                      <w:rFonts w:hint="default"/>
                      <w:lang w:val="en-US" w:eastAsia="zh-CN"/>
                    </w:rPr>
                    <w:t>〔A4.3-</w:t>
                  </w:r>
                  <w:r>
                    <w:rPr>
                      <w:rFonts w:hint="eastAsia"/>
                      <w:lang w:val="en-US" w:eastAsia="zh-CN"/>
                    </w:rPr>
                    <w:t>5</w:t>
                  </w:r>
                  <w:r>
                    <w:rPr>
                      <w:rFonts w:hint="default"/>
                      <w:lang w:val="en-US" w:eastAsia="zh-CN"/>
                    </w:rPr>
                    <w:t>〕</w:t>
                  </w:r>
                  <w:r>
                    <w:rPr>
                      <w:rFonts w:hint="eastAsia"/>
                      <w:lang w:val="en-US" w:eastAsia="zh-CN"/>
                    </w:rPr>
                    <w:t>以碳达峰碳中和工作为引领，着力提高能源资源利用效率。引导重点行业深入实施清洁生产改造，钢铁、建材、石油化工等重点行业以及其他行业重点用能单位持续开展节能降耗。</w:t>
                  </w:r>
                </w:p>
              </w:tc>
              <w:tc>
                <w:tcPr>
                  <w:tcW w:w="1902" w:type="pct"/>
                  <w:noWrap w:val="0"/>
                  <w:vAlign w:val="center"/>
                </w:tcPr>
                <w:p>
                  <w:pPr>
                    <w:pStyle w:val="69"/>
                    <w:bidi w:val="0"/>
                    <w:jc w:val="both"/>
                    <w:rPr>
                      <w:rFonts w:hint="default"/>
                      <w:lang w:val="en-US" w:eastAsia="zh-CN"/>
                    </w:rPr>
                  </w:pPr>
                  <w:r>
                    <w:rPr>
                      <w:rFonts w:hint="eastAsia"/>
                      <w:highlight w:val="none"/>
                      <w:lang w:val="en-US" w:eastAsia="zh-CN"/>
                    </w:rPr>
                    <w:t>本项目营运期生产过程使用低能耗设备，提高能源资源利用效率</w:t>
                  </w:r>
                  <w:r>
                    <w:rPr>
                      <w:rFonts w:hint="eastAsia"/>
                      <w:lang w:val="en-US" w:eastAsia="zh-CN"/>
                    </w:rPr>
                    <w:t>。</w:t>
                  </w:r>
                </w:p>
              </w:tc>
              <w:tc>
                <w:tcPr>
                  <w:tcW w:w="435" w:type="pct"/>
                  <w:noWrap w:val="0"/>
                  <w:vAlign w:val="center"/>
                </w:tcPr>
                <w:p>
                  <w:pPr>
                    <w:pStyle w:val="69"/>
                    <w:bidi w:val="0"/>
                    <w:rPr>
                      <w:rFonts w:hint="default"/>
                      <w:lang w:val="en-US" w:eastAsia="zh-CN"/>
                    </w:rPr>
                  </w:pPr>
                  <w:r>
                    <w:rPr>
                      <w:rFonts w:hint="eastAsia"/>
                      <w:lang w:val="en-US" w:eastAsia="zh-CN"/>
                    </w:rPr>
                    <w:t>符合</w:t>
                  </w:r>
                </w:p>
              </w:tc>
            </w:tr>
          </w:tbl>
          <w:p>
            <w:pPr>
              <w:pStyle w:val="2"/>
              <w:bidi w:val="0"/>
              <w:rPr>
                <w:rFonts w:hint="default"/>
                <w:lang w:val="en-US" w:eastAsia="zh-CN"/>
              </w:rPr>
            </w:pPr>
            <w:r>
              <w:rPr>
                <w:rFonts w:hint="eastAsia"/>
                <w:lang w:val="en-US" w:eastAsia="zh-CN"/>
              </w:rPr>
              <w:t>4</w:t>
            </w:r>
            <w:r>
              <w:rPr>
                <w:rFonts w:hint="default"/>
                <w:lang w:val="en-US" w:eastAsia="zh-CN"/>
              </w:rPr>
              <w:t>.</w:t>
            </w:r>
            <w:r>
              <w:rPr>
                <w:rFonts w:hint="eastAsia"/>
                <w:lang w:val="en-US" w:eastAsia="zh-CN"/>
              </w:rPr>
              <w:t>3</w:t>
            </w:r>
            <w:r>
              <w:rPr>
                <w:rFonts w:hint="default"/>
                <w:lang w:val="en-US" w:eastAsia="zh-CN"/>
              </w:rPr>
              <w:t>《巴音郭楞蒙古自治州“三线一单”生态环境分区管控动态更新成果（2023年）》符合性分析</w:t>
            </w:r>
          </w:p>
          <w:p>
            <w:pPr>
              <w:pStyle w:val="7"/>
              <w:bidi w:val="0"/>
              <w:rPr>
                <w:rFonts w:hint="default" w:ascii="Times New Roman" w:hAnsi="Times New Roman" w:cs="Times New Roman"/>
                <w:b/>
                <w:bCs/>
                <w:szCs w:val="24"/>
                <w:lang w:val="en-US" w:eastAsia="zh-CN"/>
              </w:rPr>
            </w:pPr>
            <w:r>
              <w:rPr>
                <w:rFonts w:hint="default"/>
                <w:lang w:val="en-US" w:eastAsia="zh-CN"/>
              </w:rPr>
              <w:t>本工程建设地点位于若羌县瓦石峡</w:t>
            </w:r>
            <w:r>
              <w:rPr>
                <w:rFonts w:hint="eastAsia"/>
                <w:lang w:val="en-US" w:eastAsia="zh-CN"/>
              </w:rPr>
              <w:t>镇</w:t>
            </w:r>
            <w:r>
              <w:rPr>
                <w:rFonts w:hint="default"/>
                <w:lang w:eastAsia="zh-CN"/>
              </w:rPr>
              <w:t>，</w:t>
            </w:r>
            <w:r>
              <w:rPr>
                <w:rFonts w:hint="default"/>
                <w:lang w:val="en-US" w:eastAsia="zh-CN"/>
              </w:rPr>
              <w:t>根据《巴音郭楞蒙古自治州“三线一单”生态环境分区管控动态更新成果（2023年）》（巴政办发〔2024〕32号），本工程所在环境管控单元管控要求详见下表。</w:t>
            </w:r>
          </w:p>
          <w:p>
            <w:pPr>
              <w:pStyle w:val="49"/>
              <w:bidi w:val="0"/>
              <w:rPr>
                <w:rFonts w:hint="default" w:ascii="Times New Roman" w:hAnsi="Times New Roman" w:cs="Times New Roman"/>
                <w:b/>
                <w:bCs/>
                <w:szCs w:val="24"/>
                <w:lang w:val="en-US" w:eastAsia="zh-CN"/>
              </w:rPr>
            </w:pPr>
            <w:r>
              <w:rPr>
                <w:rFonts w:hint="default" w:ascii="Times New Roman" w:hAnsi="Times New Roman" w:cs="Times New Roman"/>
                <w:lang w:val="en-US" w:eastAsia="zh-CN"/>
              </w:rPr>
              <w:t>表1-</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《巴音郭楞蒙古自治州生态环境准入清单》符合性分析</w:t>
            </w:r>
          </w:p>
          <w:tbl>
            <w:tblPr>
              <w:tblStyle w:val="25"/>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88"/>
              <w:gridCol w:w="3487"/>
              <w:gridCol w:w="242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gridSpan w:val="2"/>
                  <w:noWrap w:val="0"/>
                  <w:vAlign w:val="center"/>
                </w:tcPr>
                <w:p>
                  <w:pPr>
                    <w:pStyle w:val="73"/>
                    <w:bidi w:val="0"/>
                    <w:rPr>
                      <w:rFonts w:hint="eastAsia"/>
                      <w:lang w:val="en-US" w:eastAsia="zh-CN"/>
                    </w:rPr>
                  </w:pPr>
                  <w:r>
                    <w:rPr>
                      <w:rFonts w:hint="default"/>
                      <w:lang w:val="en-US" w:eastAsia="zh-CN"/>
                    </w:rPr>
                    <w:t>环境管控单元编码</w:t>
                  </w:r>
                </w:p>
              </w:tc>
              <w:tc>
                <w:tcPr>
                  <w:tcW w:w="3487" w:type="dxa"/>
                  <w:noWrap w:val="0"/>
                  <w:vAlign w:val="center"/>
                </w:tcPr>
                <w:p>
                  <w:pPr>
                    <w:pStyle w:val="73"/>
                    <w:bidi w:val="0"/>
                    <w:rPr>
                      <w:rFonts w:hint="eastAsia"/>
                      <w:lang w:val="en-US" w:eastAsia="zh-CN"/>
                    </w:rPr>
                  </w:pPr>
                  <w:r>
                    <w:rPr>
                      <w:rFonts w:hint="default"/>
                      <w:lang w:val="en-US" w:eastAsia="zh-CN"/>
                    </w:rPr>
                    <w:t>ZH65282430001</w:t>
                  </w:r>
                </w:p>
              </w:tc>
              <w:tc>
                <w:tcPr>
                  <w:tcW w:w="2425" w:type="dxa"/>
                  <w:vMerge w:val="restart"/>
                  <w:noWrap w:val="0"/>
                  <w:vAlign w:val="center"/>
                </w:tcPr>
                <w:p>
                  <w:pPr>
                    <w:pStyle w:val="73"/>
                    <w:bidi w:val="0"/>
                    <w:rPr>
                      <w:rFonts w:hint="eastAsia"/>
                      <w:lang w:eastAsia="zh-CN"/>
                    </w:rPr>
                  </w:pPr>
                  <w:r>
                    <w:rPr>
                      <w:rFonts w:hint="eastAsia"/>
                      <w:lang w:val="en-US" w:eastAsia="zh-CN"/>
                    </w:rPr>
                    <w:t>本项目情况</w:t>
                  </w:r>
                </w:p>
              </w:tc>
              <w:tc>
                <w:tcPr>
                  <w:tcW w:w="716" w:type="dxa"/>
                  <w:vMerge w:val="restart"/>
                  <w:noWrap w:val="0"/>
                  <w:vAlign w:val="center"/>
                </w:tcPr>
                <w:p>
                  <w:pPr>
                    <w:pStyle w:val="73"/>
                    <w:bidi w:val="0"/>
                    <w:rPr>
                      <w:rFonts w:hint="default"/>
                      <w:lang w:val="en-US" w:eastAsia="zh-CN"/>
                    </w:rPr>
                  </w:pPr>
                  <w:r>
                    <w:rPr>
                      <w:rFonts w:hint="eastAsia"/>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gridSpan w:val="2"/>
                  <w:noWrap w:val="0"/>
                  <w:vAlign w:val="center"/>
                </w:tcPr>
                <w:p>
                  <w:pPr>
                    <w:pStyle w:val="73"/>
                    <w:bidi w:val="0"/>
                    <w:rPr>
                      <w:rFonts w:hint="eastAsia"/>
                      <w:lang w:val="en-US" w:eastAsia="zh-CN"/>
                    </w:rPr>
                  </w:pPr>
                  <w:r>
                    <w:rPr>
                      <w:rFonts w:hint="eastAsia"/>
                      <w:lang w:val="en-US" w:eastAsia="zh-CN"/>
                    </w:rPr>
                    <w:t>环境管控单元名称</w:t>
                  </w:r>
                </w:p>
              </w:tc>
              <w:tc>
                <w:tcPr>
                  <w:tcW w:w="3487" w:type="dxa"/>
                  <w:noWrap w:val="0"/>
                  <w:vAlign w:val="center"/>
                </w:tcPr>
                <w:p>
                  <w:pPr>
                    <w:pStyle w:val="73"/>
                    <w:bidi w:val="0"/>
                    <w:rPr>
                      <w:rFonts w:hint="eastAsia"/>
                      <w:lang w:val="en-US" w:eastAsia="zh-CN"/>
                    </w:rPr>
                  </w:pPr>
                  <w:r>
                    <w:rPr>
                      <w:rFonts w:hint="eastAsia"/>
                    </w:rPr>
                    <w:t>若羌县一般管控区</w:t>
                  </w:r>
                </w:p>
              </w:tc>
              <w:tc>
                <w:tcPr>
                  <w:tcW w:w="2425" w:type="dxa"/>
                  <w:vMerge w:val="continue"/>
                  <w:noWrap w:val="0"/>
                  <w:vAlign w:val="center"/>
                </w:tcPr>
                <w:p>
                  <w:pPr>
                    <w:pStyle w:val="73"/>
                    <w:bidi w:val="0"/>
                    <w:rPr>
                      <w:rFonts w:hint="eastAsia"/>
                      <w:lang w:eastAsia="zh-CN"/>
                    </w:rPr>
                  </w:pPr>
                </w:p>
              </w:tc>
              <w:tc>
                <w:tcPr>
                  <w:tcW w:w="716" w:type="dxa"/>
                  <w:vMerge w:val="continue"/>
                  <w:noWrap w:val="0"/>
                  <w:vAlign w:val="center"/>
                </w:tcPr>
                <w:p>
                  <w:pPr>
                    <w:pStyle w:val="73"/>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gridSpan w:val="2"/>
                  <w:noWrap w:val="0"/>
                  <w:vAlign w:val="center"/>
                </w:tcPr>
                <w:p>
                  <w:pPr>
                    <w:pStyle w:val="73"/>
                    <w:bidi w:val="0"/>
                    <w:rPr>
                      <w:rFonts w:hint="eastAsia"/>
                      <w:lang w:val="en-US" w:eastAsia="zh-CN"/>
                    </w:rPr>
                  </w:pPr>
                  <w:r>
                    <w:t>环境管控单元类别</w:t>
                  </w:r>
                </w:p>
              </w:tc>
              <w:tc>
                <w:tcPr>
                  <w:tcW w:w="3487" w:type="dxa"/>
                  <w:noWrap w:val="0"/>
                  <w:vAlign w:val="center"/>
                </w:tcPr>
                <w:p>
                  <w:pPr>
                    <w:pStyle w:val="73"/>
                    <w:bidi w:val="0"/>
                    <w:rPr>
                      <w:rFonts w:hint="eastAsia"/>
                      <w:lang w:val="en-US" w:eastAsia="zh-CN"/>
                    </w:rPr>
                  </w:pPr>
                  <w:r>
                    <w:rPr>
                      <w:rFonts w:hint="default"/>
                      <w:lang w:val="en-US" w:eastAsia="zh-CN"/>
                    </w:rPr>
                    <w:t>一般管控单元</w:t>
                  </w:r>
                </w:p>
              </w:tc>
              <w:tc>
                <w:tcPr>
                  <w:tcW w:w="2425" w:type="dxa"/>
                  <w:vMerge w:val="continue"/>
                  <w:noWrap w:val="0"/>
                  <w:vAlign w:val="center"/>
                </w:tcPr>
                <w:p>
                  <w:pPr>
                    <w:pStyle w:val="73"/>
                    <w:bidi w:val="0"/>
                    <w:rPr>
                      <w:rFonts w:hint="eastAsia"/>
                      <w:lang w:eastAsia="zh-CN"/>
                    </w:rPr>
                  </w:pPr>
                </w:p>
              </w:tc>
              <w:tc>
                <w:tcPr>
                  <w:tcW w:w="716" w:type="dxa"/>
                  <w:vMerge w:val="continue"/>
                  <w:noWrap w:val="0"/>
                  <w:vAlign w:val="center"/>
                </w:tcPr>
                <w:p>
                  <w:pPr>
                    <w:pStyle w:val="73"/>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Merge w:val="restart"/>
                  <w:noWrap w:val="0"/>
                  <w:vAlign w:val="center"/>
                </w:tcPr>
                <w:p>
                  <w:pPr>
                    <w:pStyle w:val="73"/>
                    <w:bidi w:val="0"/>
                  </w:pPr>
                  <w:r>
                    <w:rPr>
                      <w:rFonts w:hint="eastAsia"/>
                      <w:lang w:val="en-US" w:eastAsia="zh-CN"/>
                    </w:rPr>
                    <w:t>管控要求</w:t>
                  </w:r>
                </w:p>
              </w:tc>
              <w:tc>
                <w:tcPr>
                  <w:tcW w:w="688" w:type="dxa"/>
                  <w:noWrap w:val="0"/>
                  <w:vAlign w:val="center"/>
                </w:tcPr>
                <w:p>
                  <w:pPr>
                    <w:pStyle w:val="73"/>
                    <w:bidi w:val="0"/>
                    <w:rPr>
                      <w:rFonts w:hint="eastAsia"/>
                      <w:lang w:val="en-US" w:eastAsia="zh-CN"/>
                    </w:rPr>
                  </w:pPr>
                  <w:r>
                    <w:rPr>
                      <w:rFonts w:hint="default"/>
                      <w:lang w:val="en-US" w:eastAsia="zh-CN"/>
                    </w:rPr>
                    <w:t>空间布局约束</w:t>
                  </w:r>
                </w:p>
              </w:tc>
              <w:tc>
                <w:tcPr>
                  <w:tcW w:w="3487" w:type="dxa"/>
                  <w:noWrap w:val="0"/>
                  <w:vAlign w:val="center"/>
                </w:tcPr>
                <w:p>
                  <w:pPr>
                    <w:pStyle w:val="73"/>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建设项目用地原则上不得占用基本农田，确需占用基本农田的建设项目须符合《中华人民共和国基本农田保护条例》中相关要求，占用耕地、林地或草地的建设项目须按照国家、自治区相关补偿要求进行补偿。</w:t>
                  </w:r>
                </w:p>
              </w:tc>
              <w:tc>
                <w:tcPr>
                  <w:tcW w:w="2425" w:type="dxa"/>
                  <w:noWrap w:val="0"/>
                  <w:vAlign w:val="center"/>
                </w:tcPr>
                <w:p>
                  <w:pPr>
                    <w:pStyle w:val="73"/>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本项目已取得建设项目用地预审与选址意见书，用字第652824202500019号，项目不占用耕地、林地或草地。符合相关要求。</w:t>
                  </w:r>
                </w:p>
              </w:tc>
              <w:tc>
                <w:tcPr>
                  <w:tcW w:w="716" w:type="dxa"/>
                  <w:noWrap w:val="0"/>
                  <w:vAlign w:val="center"/>
                </w:tcPr>
                <w:p>
                  <w:pPr>
                    <w:pStyle w:val="73"/>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Merge w:val="continue"/>
                  <w:noWrap w:val="0"/>
                  <w:vAlign w:val="center"/>
                </w:tcPr>
                <w:p>
                  <w:pPr>
                    <w:pStyle w:val="73"/>
                    <w:bidi w:val="0"/>
                    <w:rPr>
                      <w:rFonts w:hint="eastAsia"/>
                      <w:lang w:val="en-US" w:eastAsia="zh-CN"/>
                    </w:rPr>
                  </w:pPr>
                </w:p>
              </w:tc>
              <w:tc>
                <w:tcPr>
                  <w:tcW w:w="688" w:type="dxa"/>
                  <w:noWrap w:val="0"/>
                  <w:vAlign w:val="center"/>
                </w:tcPr>
                <w:p>
                  <w:pPr>
                    <w:pStyle w:val="73"/>
                    <w:bidi w:val="0"/>
                    <w:rPr>
                      <w:rFonts w:hint="default"/>
                      <w:lang w:val="en-US" w:eastAsia="zh-CN"/>
                    </w:rPr>
                  </w:pPr>
                  <w:r>
                    <w:rPr>
                      <w:rFonts w:hint="default"/>
                      <w:lang w:val="en-US" w:eastAsia="zh-CN"/>
                    </w:rPr>
                    <w:t>污染物排放管控</w:t>
                  </w:r>
                </w:p>
              </w:tc>
              <w:tc>
                <w:tcPr>
                  <w:tcW w:w="3487" w:type="dxa"/>
                  <w:noWrap w:val="0"/>
                  <w:vAlign w:val="center"/>
                </w:tcPr>
                <w:p>
                  <w:pPr>
                    <w:pStyle w:val="73"/>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强化畜禽粪污资源化利用，改善养殖场通风环境，提高畜禽粪污综合利用率，减少氨挥发排放。鼓励和支持散养密集区实行畜禽粪污分户收集、集中处理。</w:t>
                  </w:r>
                </w:p>
              </w:tc>
              <w:tc>
                <w:tcPr>
                  <w:tcW w:w="2425" w:type="dxa"/>
                  <w:noWrap w:val="0"/>
                  <w:vAlign w:val="center"/>
                </w:tcPr>
                <w:p>
                  <w:pPr>
                    <w:pStyle w:val="73"/>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本项目为牲畜屠宰项目，牛羊待宰圈内会产生粪便，全部外售综合利用。符合相关要求。</w:t>
                  </w:r>
                </w:p>
              </w:tc>
              <w:tc>
                <w:tcPr>
                  <w:tcW w:w="716" w:type="dxa"/>
                  <w:noWrap w:val="0"/>
                  <w:vAlign w:val="center"/>
                </w:tcPr>
                <w:p>
                  <w:pPr>
                    <w:pStyle w:val="73"/>
                    <w:bidi w:val="0"/>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Merge w:val="continue"/>
                  <w:noWrap w:val="0"/>
                  <w:vAlign w:val="center"/>
                </w:tcPr>
                <w:p>
                  <w:pPr>
                    <w:pStyle w:val="73"/>
                    <w:bidi w:val="0"/>
                    <w:rPr>
                      <w:rFonts w:hint="eastAsia"/>
                      <w:lang w:val="en-US" w:eastAsia="zh-CN"/>
                    </w:rPr>
                  </w:pPr>
                </w:p>
              </w:tc>
              <w:tc>
                <w:tcPr>
                  <w:tcW w:w="688" w:type="dxa"/>
                  <w:noWrap w:val="0"/>
                  <w:vAlign w:val="center"/>
                </w:tcPr>
                <w:p>
                  <w:pPr>
                    <w:pStyle w:val="73"/>
                    <w:bidi w:val="0"/>
                    <w:rPr>
                      <w:rFonts w:hint="default"/>
                      <w:lang w:val="en-US" w:eastAsia="zh-CN"/>
                    </w:rPr>
                  </w:pPr>
                  <w:r>
                    <w:rPr>
                      <w:rFonts w:hint="default"/>
                      <w:lang w:val="en-US" w:eastAsia="zh-CN"/>
                    </w:rPr>
                    <w:t>环境风险防控</w:t>
                  </w:r>
                </w:p>
              </w:tc>
              <w:tc>
                <w:tcPr>
                  <w:tcW w:w="3487" w:type="dxa"/>
                  <w:noWrap w:val="0"/>
                  <w:vAlign w:val="center"/>
                </w:tcPr>
                <w:p>
                  <w:pPr>
                    <w:pStyle w:val="73"/>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加强对矿山、油田等矿产资源开采影响区域内未利用地的环境监管，发现土壤污染问题的，要坚决查处，并及时督促有关单位采取有效防治措施消除或减轻污染。</w:t>
                  </w:r>
                </w:p>
              </w:tc>
              <w:tc>
                <w:tcPr>
                  <w:tcW w:w="2425" w:type="dxa"/>
                  <w:noWrap w:val="0"/>
                  <w:vAlign w:val="center"/>
                </w:tcPr>
                <w:p>
                  <w:pPr>
                    <w:pStyle w:val="73"/>
                    <w:keepNext w:val="0"/>
                    <w:keepLines w:val="0"/>
                    <w:pageBreakBefore w:val="0"/>
                    <w:widowControl w:val="0"/>
                    <w:kinsoku/>
                    <w:wordWrap w:val="0"/>
                    <w:overflowPunct/>
                    <w:topLinePunct w:val="0"/>
                    <w:autoSpaceDE/>
                    <w:autoSpaceDN/>
                    <w:bidi w:val="0"/>
                    <w:adjustRightInd/>
                    <w:snapToGrid/>
                    <w:jc w:val="both"/>
                    <w:textAlignment w:val="auto"/>
                    <w:rPr>
                      <w:rFonts w:hint="default" w:eastAsia="宋体"/>
                      <w:lang w:val="en-US" w:eastAsia="zh-CN"/>
                    </w:rPr>
                  </w:pPr>
                  <w:r>
                    <w:rPr>
                      <w:rFonts w:hint="eastAsia"/>
                      <w:lang w:val="en-US" w:eastAsia="zh-CN"/>
                    </w:rPr>
                    <w:t>本项目不涉及矿山、油田等矿产资源开采。</w:t>
                  </w:r>
                </w:p>
              </w:tc>
              <w:tc>
                <w:tcPr>
                  <w:tcW w:w="716" w:type="dxa"/>
                  <w:noWrap w:val="0"/>
                  <w:vAlign w:val="center"/>
                </w:tcPr>
                <w:p>
                  <w:pPr>
                    <w:pStyle w:val="73"/>
                    <w:bidi w:val="0"/>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Merge w:val="continue"/>
                  <w:noWrap w:val="0"/>
                  <w:vAlign w:val="center"/>
                </w:tcPr>
                <w:p>
                  <w:pPr>
                    <w:pStyle w:val="73"/>
                    <w:bidi w:val="0"/>
                    <w:rPr>
                      <w:rFonts w:hint="eastAsia"/>
                      <w:lang w:val="en-US" w:eastAsia="zh-CN"/>
                    </w:rPr>
                  </w:pPr>
                </w:p>
              </w:tc>
              <w:tc>
                <w:tcPr>
                  <w:tcW w:w="688" w:type="dxa"/>
                  <w:noWrap w:val="0"/>
                  <w:vAlign w:val="center"/>
                </w:tcPr>
                <w:p>
                  <w:pPr>
                    <w:pStyle w:val="73"/>
                    <w:bidi w:val="0"/>
                    <w:rPr>
                      <w:rFonts w:hint="default"/>
                      <w:lang w:val="en-US" w:eastAsia="zh-CN"/>
                    </w:rPr>
                  </w:pPr>
                  <w:r>
                    <w:rPr>
                      <w:rFonts w:hint="default"/>
                      <w:lang w:val="en-US" w:eastAsia="zh-CN"/>
                    </w:rPr>
                    <w:t>资源利用效率</w:t>
                  </w:r>
                </w:p>
              </w:tc>
              <w:tc>
                <w:tcPr>
                  <w:tcW w:w="3487" w:type="dxa"/>
                  <w:noWrap w:val="0"/>
                  <w:vAlign w:val="center"/>
                </w:tcPr>
                <w:p>
                  <w:pPr>
                    <w:pStyle w:val="73"/>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1.全面推进秸秆综合利用，鼓励秸秆资源化、饲料化、肥料化利用，推动秸秆还田与离田收集。</w:t>
                  </w:r>
                </w:p>
                <w:p>
                  <w:pPr>
                    <w:pStyle w:val="73"/>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2.减少化肥农药使用量，增加有机肥使用量，实现化肥农药使用量负增长。</w:t>
                  </w:r>
                </w:p>
              </w:tc>
              <w:tc>
                <w:tcPr>
                  <w:tcW w:w="2425" w:type="dxa"/>
                  <w:noWrap w:val="0"/>
                  <w:vAlign w:val="center"/>
                </w:tcPr>
                <w:p>
                  <w:pPr>
                    <w:pStyle w:val="73"/>
                    <w:keepNext w:val="0"/>
                    <w:keepLines w:val="0"/>
                    <w:pageBreakBefore w:val="0"/>
                    <w:widowControl w:val="0"/>
                    <w:kinsoku/>
                    <w:wordWrap w:val="0"/>
                    <w:overflowPunct/>
                    <w:topLinePunct w:val="0"/>
                    <w:autoSpaceDE/>
                    <w:autoSpaceDN/>
                    <w:bidi w:val="0"/>
                    <w:adjustRightInd/>
                    <w:snapToGrid/>
                    <w:jc w:val="both"/>
                    <w:textAlignment w:val="auto"/>
                    <w:rPr>
                      <w:rFonts w:hint="default" w:eastAsia="宋体"/>
                      <w:lang w:val="en-US" w:eastAsia="zh-CN"/>
                    </w:rPr>
                  </w:pPr>
                  <w:r>
                    <w:rPr>
                      <w:rFonts w:hint="default"/>
                    </w:rPr>
                    <w:t>本项目</w:t>
                  </w:r>
                  <w:r>
                    <w:rPr>
                      <w:rFonts w:hint="eastAsia"/>
                      <w:lang w:val="en-US" w:eastAsia="zh-CN"/>
                    </w:rPr>
                    <w:t>不涉及秸秆和化肥农药利用。</w:t>
                  </w:r>
                </w:p>
              </w:tc>
              <w:tc>
                <w:tcPr>
                  <w:tcW w:w="716" w:type="dxa"/>
                  <w:noWrap w:val="0"/>
                  <w:vAlign w:val="center"/>
                </w:tcPr>
                <w:p>
                  <w:pPr>
                    <w:pStyle w:val="73"/>
                    <w:bidi w:val="0"/>
                    <w:rPr>
                      <w:rFonts w:hint="eastAsia"/>
                      <w:lang w:eastAsia="zh-CN"/>
                    </w:rPr>
                  </w:pPr>
                  <w:r>
                    <w:rPr>
                      <w:rFonts w:hint="eastAsia"/>
                      <w:lang w:val="en-US" w:eastAsia="zh-CN"/>
                    </w:rPr>
                    <w:t>符合</w:t>
                  </w:r>
                </w:p>
              </w:tc>
            </w:tr>
          </w:tbl>
          <w:p>
            <w:pPr>
              <w:pStyle w:val="2"/>
              <w:bidi w:val="0"/>
              <w:rPr>
                <w:rFonts w:hint="default"/>
                <w:lang w:val="en-US" w:eastAsia="zh-CN"/>
              </w:rPr>
            </w:pPr>
            <w:r>
              <w:rPr>
                <w:rFonts w:hint="eastAsia"/>
                <w:lang w:val="en-US" w:eastAsia="zh-CN"/>
              </w:rPr>
              <w:t>5</w:t>
            </w:r>
            <w:r>
              <w:rPr>
                <w:rFonts w:hint="default"/>
                <w:lang w:val="en-US" w:eastAsia="zh-CN"/>
              </w:rPr>
              <w:t>.环境管理政策</w:t>
            </w:r>
            <w:r>
              <w:rPr>
                <w:rFonts w:hint="eastAsia"/>
                <w:lang w:val="en-US" w:eastAsia="zh-CN"/>
              </w:rPr>
              <w:t>、环境保护规划符合性</w:t>
            </w:r>
            <w:r>
              <w:rPr>
                <w:rFonts w:hint="default"/>
                <w:lang w:val="en-US" w:eastAsia="zh-CN"/>
              </w:rPr>
              <w:t>分析</w:t>
            </w:r>
          </w:p>
          <w:p>
            <w:pPr>
              <w:pStyle w:val="7"/>
              <w:bidi w:val="0"/>
              <w:rPr>
                <w:rFonts w:hint="default"/>
                <w:lang w:val="en-US" w:eastAsia="zh-CN"/>
              </w:rPr>
            </w:pPr>
            <w:r>
              <w:rPr>
                <w:rFonts w:hint="default"/>
                <w:lang w:val="en-US" w:eastAsia="zh-CN"/>
              </w:rPr>
              <w:t>本项目环境管理政策</w:t>
            </w:r>
            <w:r>
              <w:rPr>
                <w:rFonts w:hint="eastAsia"/>
                <w:lang w:val="en-US" w:eastAsia="zh-CN"/>
              </w:rPr>
              <w:t>、环境保护规划</w:t>
            </w:r>
            <w:r>
              <w:rPr>
                <w:rFonts w:hint="default"/>
                <w:lang w:val="en-US" w:eastAsia="zh-CN"/>
              </w:rPr>
              <w:t>分析见下表。</w:t>
            </w:r>
          </w:p>
          <w:p>
            <w:pPr>
              <w:pStyle w:val="49"/>
              <w:bidi w:val="0"/>
              <w:rPr>
                <w:rFonts w:hint="default" w:ascii="Times New Roman" w:hAnsi="Times New Roman" w:cs="Times New Roman"/>
                <w:highlight w:val="none"/>
              </w:rPr>
            </w:pPr>
            <w:r>
              <w:rPr>
                <w:rFonts w:hint="default" w:ascii="Times New Roman" w:hAnsi="Times New Roman" w:cs="Times New Roman"/>
                <w:highlight w:val="none"/>
              </w:rPr>
              <w:t>表</w:t>
            </w:r>
            <w:r>
              <w:rPr>
                <w:rFonts w:hint="default" w:ascii="Times New Roman" w:hAnsi="Times New Roman" w:cs="Times New Roman"/>
                <w:highlight w:val="none"/>
                <w:lang w:val="en-US" w:eastAsia="zh-CN"/>
              </w:rPr>
              <w:t xml:space="preserve">1-4   </w:t>
            </w:r>
            <w:r>
              <w:rPr>
                <w:rFonts w:hint="default" w:ascii="Times New Roman" w:hAnsi="Times New Roman" w:cs="Times New Roman"/>
                <w:highlight w:val="none"/>
              </w:rPr>
              <w:t>环境管理政策</w:t>
            </w:r>
            <w:r>
              <w:rPr>
                <w:rFonts w:hint="eastAsia" w:ascii="Times New Roman" w:hAnsi="Times New Roman" w:cs="Times New Roman"/>
                <w:highlight w:val="none"/>
                <w:lang w:eastAsia="zh-CN"/>
              </w:rPr>
              <w:t>、</w:t>
            </w:r>
            <w:r>
              <w:rPr>
                <w:rFonts w:hint="eastAsia"/>
                <w:lang w:val="en-US" w:eastAsia="zh-CN"/>
              </w:rPr>
              <w:t>环境保护规划</w:t>
            </w:r>
            <w:r>
              <w:rPr>
                <w:rFonts w:hint="default" w:ascii="Times New Roman" w:hAnsi="Times New Roman" w:cs="Times New Roman"/>
                <w:highlight w:val="none"/>
                <w:lang w:val="en-US" w:eastAsia="zh-CN"/>
              </w:rPr>
              <w:t>符合</w:t>
            </w:r>
            <w:r>
              <w:rPr>
                <w:rFonts w:hint="default" w:ascii="Times New Roman" w:hAnsi="Times New Roman" w:cs="Times New Roman"/>
                <w:highlight w:val="none"/>
              </w:rPr>
              <w:t>性分析</w:t>
            </w:r>
          </w:p>
          <w:tbl>
            <w:tblPr>
              <w:tblStyle w:val="25"/>
              <w:tblW w:w="8141"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873"/>
              <w:gridCol w:w="256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9"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文件</w:t>
                  </w:r>
                </w:p>
              </w:tc>
              <w:tc>
                <w:tcPr>
                  <w:tcW w:w="1764"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highlight w:val="none"/>
                    </w:rPr>
                  </w:pPr>
                  <w:r>
                    <w:rPr>
                      <w:rFonts w:hint="default"/>
                      <w:highlight w:val="none"/>
                    </w:rPr>
                    <w:t>环境管理政策要求</w:t>
                  </w:r>
                </w:p>
              </w:tc>
              <w:tc>
                <w:tcPr>
                  <w:tcW w:w="1573"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本项目情况</w:t>
                  </w:r>
                </w:p>
              </w:tc>
              <w:tc>
                <w:tcPr>
                  <w:tcW w:w="372"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eastAsia="zh-CN"/>
                    </w:rPr>
                    <w:t>中华人民共和国</w:t>
                  </w:r>
                  <w:r>
                    <w:rPr>
                      <w:rFonts w:hint="eastAsia"/>
                    </w:rPr>
                    <w:t>大气污染防治法》</w:t>
                  </w:r>
                  <w:r>
                    <w:rPr>
                      <w:rFonts w:hint="eastAsia"/>
                      <w:lang w:eastAsia="zh-CN"/>
                    </w:rPr>
                    <w:t>（</w:t>
                  </w:r>
                  <w:r>
                    <w:rPr>
                      <w:rFonts w:hint="eastAsia"/>
                      <w:lang w:val="en-US" w:eastAsia="zh-CN"/>
                    </w:rPr>
                    <w:t>2018-11-13</w:t>
                  </w:r>
                  <w:r>
                    <w:rPr>
                      <w:rFonts w:hint="eastAsia"/>
                      <w:lang w:eastAsia="zh-CN"/>
                    </w:rPr>
                    <w:t>）</w:t>
                  </w:r>
                </w:p>
              </w:tc>
              <w:tc>
                <w:tcPr>
                  <w:tcW w:w="1764"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eastAsia"/>
                      <w:lang w:eastAsia="zh-CN"/>
                    </w:rPr>
                  </w:pPr>
                  <w:r>
                    <w:rPr>
                      <w:rFonts w:hint="eastAsia"/>
                    </w:rPr>
                    <w:t>第七条：企业事业单位和其他生产经营者，应当采取有效措施，防止、减少大气污染，对所造成的损害依法承担责任</w:t>
                  </w:r>
                  <w:r>
                    <w:rPr>
                      <w:rFonts w:hint="eastAsia"/>
                      <w:lang w:eastAsia="zh-CN"/>
                    </w:rPr>
                    <w:t>。</w:t>
                  </w:r>
                </w:p>
              </w:tc>
              <w:tc>
                <w:tcPr>
                  <w:tcW w:w="1573"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eastAsia"/>
                      <w:lang w:eastAsia="zh-CN"/>
                    </w:rPr>
                  </w:pPr>
                  <w:r>
                    <w:rPr>
                      <w:rFonts w:hint="default"/>
                      <w:lang w:val="en-US" w:eastAsia="zh-CN"/>
                    </w:rPr>
                    <w:t>本项目生产过程中产生的废气较少，待宰圈及屠宰车间恶臭气体采取喷洒生物除臭剂、干清粪、定时清洗、增加通风次数等方式降低恶臭污染物</w:t>
                  </w:r>
                  <w:r>
                    <w:rPr>
                      <w:rFonts w:hint="eastAsia"/>
                      <w:lang w:val="en-US" w:eastAsia="zh-CN"/>
                    </w:rPr>
                    <w:t>的措施后</w:t>
                  </w:r>
                  <w:r>
                    <w:rPr>
                      <w:rFonts w:hint="default"/>
                      <w:lang w:val="en-US" w:eastAsia="zh-CN"/>
                    </w:rPr>
                    <w:t>通过无组织排放。</w:t>
                  </w:r>
                </w:p>
              </w:tc>
              <w:tc>
                <w:tcPr>
                  <w:tcW w:w="372"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《中华人民共和国噪声污染防治法》</w:t>
                  </w:r>
                  <w:r>
                    <w:rPr>
                      <w:rFonts w:hint="eastAsia"/>
                      <w:lang w:eastAsia="zh-CN"/>
                    </w:rPr>
                    <w:t>（</w:t>
                  </w:r>
                  <w:r>
                    <w:rPr>
                      <w:rFonts w:hint="eastAsia"/>
                      <w:lang w:val="en-US" w:eastAsia="zh-CN"/>
                    </w:rPr>
                    <w:t>2021-12-25</w:t>
                  </w:r>
                  <w:r>
                    <w:rPr>
                      <w:rFonts w:hint="eastAsia"/>
                      <w:lang w:eastAsia="zh-CN"/>
                    </w:rPr>
                    <w:t>）</w:t>
                  </w:r>
                </w:p>
              </w:tc>
              <w:tc>
                <w:tcPr>
                  <w:tcW w:w="1764"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rPr>
                  </w:pPr>
                  <w:r>
                    <w:rPr>
                      <w:rFonts w:hint="default"/>
                    </w:rPr>
                    <w:t>第三十六条</w:t>
                  </w:r>
                  <w:r>
                    <w:rPr>
                      <w:rFonts w:hint="eastAsia"/>
                      <w:lang w:eastAsia="zh-CN"/>
                    </w:rPr>
                    <w:t>：</w:t>
                  </w:r>
                  <w:r>
                    <w:rPr>
                      <w:rFonts w:hint="default"/>
                    </w:rPr>
                    <w:t>排放工业噪声的企业事业单位和其他生产经营者，应当采取有效措施，减少振动、降低噪声，依法取得排污许可证或者填报排污登记表。</w:t>
                  </w:r>
                </w:p>
              </w:tc>
              <w:tc>
                <w:tcPr>
                  <w:tcW w:w="1573"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default"/>
                    </w:rPr>
                    <w:t>对各类主要噪声源采用低噪声源设备、减振、隔声等措施</w:t>
                  </w:r>
                  <w:r>
                    <w:rPr>
                      <w:rFonts w:hint="eastAsia"/>
                      <w:lang w:eastAsia="zh-CN"/>
                    </w:rPr>
                    <w:t>，</w:t>
                  </w:r>
                  <w:r>
                    <w:rPr>
                      <w:rFonts w:hint="eastAsia"/>
                      <w:lang w:val="en-US" w:eastAsia="zh-CN"/>
                    </w:rPr>
                    <w:t>符合相关标准。企业在生产前完成排污许可证的申请。</w:t>
                  </w:r>
                </w:p>
              </w:tc>
              <w:tc>
                <w:tcPr>
                  <w:tcW w:w="372"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《中华人民共和国固体废物污染环境防治法》</w:t>
                  </w:r>
                  <w:r>
                    <w:rPr>
                      <w:rFonts w:hint="eastAsia"/>
                      <w:lang w:eastAsia="zh-CN"/>
                    </w:rPr>
                    <w:t>（</w:t>
                  </w:r>
                  <w:r>
                    <w:rPr>
                      <w:rFonts w:hint="eastAsia"/>
                      <w:lang w:val="en-US" w:eastAsia="zh-CN"/>
                    </w:rPr>
                    <w:t>2020-04-30</w:t>
                  </w:r>
                  <w:r>
                    <w:rPr>
                      <w:rFonts w:hint="eastAsia"/>
                      <w:lang w:eastAsia="zh-CN"/>
                    </w:rPr>
                    <w:t>）</w:t>
                  </w:r>
                </w:p>
              </w:tc>
              <w:tc>
                <w:tcPr>
                  <w:tcW w:w="1764"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rPr>
                  </w:pPr>
                  <w:r>
                    <w:rPr>
                      <w:rFonts w:hint="eastAsia"/>
                    </w:rPr>
                    <w:t>第十九条：收集、贮存、运输、利用、处置固体废物的单位和其他生产经营者，应当加强对相关设施、设备和场所的管理和维护，保证其正常运行和使用。</w:t>
                  </w:r>
                </w:p>
              </w:tc>
              <w:tc>
                <w:tcPr>
                  <w:tcW w:w="1573"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本项目待宰圈粪便、污水处理站产生的栅渣、污泥等作为肥料外售综合利用；</w:t>
                  </w:r>
                  <w:r>
                    <w:rPr>
                      <w:rFonts w:hint="eastAsia"/>
                      <w:highlight w:val="none"/>
                      <w:lang w:val="en-US" w:eastAsia="zh-CN"/>
                    </w:rPr>
                    <w:t>检疫不合格牛羊和屠宰废物采</w:t>
                  </w:r>
                  <w:r>
                    <w:rPr>
                      <w:rFonts w:hint="eastAsia"/>
                      <w:lang w:val="en-US" w:eastAsia="zh-CN"/>
                    </w:rPr>
                    <w:t>用深埋法无害化处理，废弃卫生检疫用品拉运至一般固废处置场所。</w:t>
                  </w:r>
                </w:p>
              </w:tc>
              <w:tc>
                <w:tcPr>
                  <w:tcW w:w="372"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《中华人民共和国水污染防治法》</w:t>
                  </w:r>
                  <w:r>
                    <w:rPr>
                      <w:rFonts w:hint="eastAsia"/>
                      <w:lang w:eastAsia="zh-CN"/>
                    </w:rPr>
                    <w:t>（</w:t>
                  </w:r>
                  <w:r>
                    <w:rPr>
                      <w:rFonts w:hint="eastAsia"/>
                      <w:lang w:val="en-US" w:eastAsia="zh-CN"/>
                    </w:rPr>
                    <w:t>2018-01-01</w:t>
                  </w:r>
                  <w:r>
                    <w:rPr>
                      <w:rFonts w:hint="eastAsia"/>
                      <w:lang w:eastAsia="zh-CN"/>
                    </w:rPr>
                    <w:t>）</w:t>
                  </w:r>
                </w:p>
              </w:tc>
              <w:tc>
                <w:tcPr>
                  <w:tcW w:w="1764"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rPr>
                  </w:pPr>
                  <w:r>
                    <w:rPr>
                      <w:rFonts w:hint="eastAsia"/>
                    </w:rPr>
                    <w:t>第五十条</w:t>
                  </w:r>
                  <w:r>
                    <w:rPr>
                      <w:rFonts w:hint="eastAsia"/>
                      <w:lang w:eastAsia="zh-CN"/>
                    </w:rPr>
                    <w:t>：</w:t>
                  </w:r>
                  <w:r>
                    <w:rPr>
                      <w:rFonts w:hint="eastAsia"/>
                    </w:rPr>
                    <w:t>向城镇污水集中处理设施排放水污染物，应当符合国家或者地方规定的水污染物排放标准。</w:t>
                  </w:r>
                </w:p>
              </w:tc>
              <w:tc>
                <w:tcPr>
                  <w:tcW w:w="1573"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本项目生产废水经污水处理站处理后达到《肉类加工工业水污染物排放标准》（GB13457-92）表3的三级标准值后由吸污车拉运至若羌县污水处理厂。</w:t>
                  </w:r>
                </w:p>
              </w:tc>
              <w:tc>
                <w:tcPr>
                  <w:tcW w:w="372"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rPr>
                  </w:pPr>
                  <w:r>
                    <w:rPr>
                      <w:rFonts w:hint="eastAsia"/>
                      <w:lang w:val="en-US" w:eastAsia="zh-CN"/>
                    </w:rPr>
                    <w:t>《国务院关于印发空气质量持续改善行动计划的通知》（国发</w:t>
                  </w:r>
                  <w:r>
                    <w:rPr>
                      <w:rFonts w:hint="default"/>
                      <w:lang w:val="en-US" w:eastAsia="zh-CN"/>
                    </w:rPr>
                    <w:t>〔2023〕24</w:t>
                  </w:r>
                  <w:r>
                    <w:rPr>
                      <w:rFonts w:hint="eastAsia"/>
                      <w:lang w:val="en-US" w:eastAsia="zh-CN"/>
                    </w:rPr>
                    <w:t>号）</w:t>
                  </w:r>
                </w:p>
              </w:tc>
              <w:tc>
                <w:tcPr>
                  <w:tcW w:w="1764"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rPr>
                  </w:pPr>
                  <w:r>
                    <w:rPr>
                      <w:rFonts w:hint="default"/>
                    </w:rPr>
                    <w:t>（四）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w:t>
                  </w:r>
                </w:p>
              </w:tc>
              <w:tc>
                <w:tcPr>
                  <w:tcW w:w="1573"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rPr>
                  </w:pPr>
                  <w:r>
                    <w:rPr>
                      <w:rFonts w:hint="default"/>
                    </w:rPr>
                    <w:t>本项目属于《产业结构调整指导目录（2024年本）》中</w:t>
                  </w:r>
                  <w:r>
                    <w:rPr>
                      <w:rFonts w:hint="eastAsia"/>
                      <w:lang w:val="en-US" w:eastAsia="zh-CN"/>
                    </w:rPr>
                    <w:t>允许</w:t>
                  </w:r>
                  <w:r>
                    <w:rPr>
                      <w:rFonts w:hint="default"/>
                    </w:rPr>
                    <w:t>类</w:t>
                  </w:r>
                  <w:r>
                    <w:rPr>
                      <w:rFonts w:hint="eastAsia"/>
                      <w:lang w:eastAsia="zh-CN"/>
                    </w:rPr>
                    <w:t>，</w:t>
                  </w:r>
                  <w:r>
                    <w:rPr>
                      <w:rFonts w:hint="default"/>
                    </w:rPr>
                    <w:t>不属于《市场准入负面清单（202</w:t>
                  </w:r>
                  <w:r>
                    <w:rPr>
                      <w:rFonts w:hint="eastAsia"/>
                      <w:lang w:val="en-US" w:eastAsia="zh-CN"/>
                    </w:rPr>
                    <w:t>5</w:t>
                  </w:r>
                  <w:r>
                    <w:rPr>
                      <w:rFonts w:hint="default"/>
                    </w:rPr>
                    <w:t>年版）》的项目。符合国家产业政策。</w:t>
                  </w:r>
                </w:p>
              </w:tc>
              <w:tc>
                <w:tcPr>
                  <w:tcW w:w="372"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89"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《新疆生态环境保护“十四五”规划》</w:t>
                  </w:r>
                  <w:r>
                    <w:rPr>
                      <w:rFonts w:hint="eastAsia" w:ascii="Times New Roman" w:hAnsi="Times New Roman" w:eastAsia="宋体" w:cs="Times New Roman"/>
                      <w:lang w:eastAsia="zh-CN"/>
                    </w:rPr>
                    <w:t>《巴音郭楞蒙古自治州生态环境“十四五”规划》</w:t>
                  </w:r>
                  <w:r>
                    <w:rPr>
                      <w:rFonts w:hint="eastAsia" w:ascii="Times New Roman" w:hAnsi="Times New Roman" w:eastAsia="宋体" w:cs="Times New Roman"/>
                      <w:lang w:val="en-US" w:eastAsia="zh-CN"/>
                    </w:rPr>
                    <w:t>《若羌县生态环境保护“十四五”规划》</w:t>
                  </w:r>
                </w:p>
              </w:tc>
              <w:tc>
                <w:tcPr>
                  <w:tcW w:w="1764"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rPr>
                  </w:pPr>
                  <w:r>
                    <w:rPr>
                      <w:rFonts w:hint="default" w:ascii="Times New Roman" w:hAnsi="Times New Roman" w:eastAsia="宋体" w:cs="Times New Roman"/>
                      <w:highlight w:val="none"/>
                    </w:rPr>
                    <w:t>加强恶臭、有毒有害大气污染物防控。加强工业臭气异味治理，开展无异味企业建设，加强垃圾</w:t>
                  </w:r>
                  <w:r>
                    <w:rPr>
                      <w:rFonts w:hint="default" w:ascii="Times New Roman" w:hAnsi="Times New Roman" w:eastAsia="宋体" w:cs="Times New Roman"/>
                    </w:rPr>
                    <w:t>处理、污水处理各环节和畜禽养殖场臭气异味控制，提升恶臭治理水平。加强垃圾焚烧二噁英污染监管。</w:t>
                  </w:r>
                </w:p>
              </w:tc>
              <w:tc>
                <w:tcPr>
                  <w:tcW w:w="1573" w:type="pct"/>
                  <w:noWrap w:val="0"/>
                  <w:vAlign w:val="center"/>
                </w:tcPr>
                <w:p>
                  <w:pPr>
                    <w:pStyle w:val="69"/>
                    <w:keepNext w:val="0"/>
                    <w:keepLines w:val="0"/>
                    <w:pageBreakBefore w:val="0"/>
                    <w:widowControl w:val="0"/>
                    <w:kinsoku/>
                    <w:wordWrap/>
                    <w:overflowPunct/>
                    <w:topLinePunct w:val="0"/>
                    <w:autoSpaceDE/>
                    <w:autoSpaceDN/>
                    <w:bidi w:val="0"/>
                    <w:adjustRightInd/>
                    <w:snapToGrid/>
                    <w:jc w:val="both"/>
                    <w:textAlignment w:val="auto"/>
                    <w:rPr>
                      <w:rFonts w:hint="default"/>
                    </w:rPr>
                  </w:pPr>
                  <w:r>
                    <w:rPr>
                      <w:rFonts w:hint="default"/>
                      <w:lang w:val="en-US" w:eastAsia="zh-CN"/>
                    </w:rPr>
                    <w:t>本项目生产过程中产生的废气较少，待宰圈及屠宰车间恶臭气体采取喷洒生物除臭剂、干清粪、定时清洗、增加通风次数等方式降低恶臭污染物的措施后通过无组织排放。</w:t>
                  </w:r>
                </w:p>
              </w:tc>
              <w:tc>
                <w:tcPr>
                  <w:tcW w:w="372" w:type="pct"/>
                  <w:noWrap w:val="0"/>
                  <w:vAlign w:val="center"/>
                </w:tcPr>
                <w:p>
                  <w:pPr>
                    <w:pStyle w:val="69"/>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符合</w:t>
                  </w:r>
                </w:p>
              </w:tc>
            </w:tr>
          </w:tbl>
          <w:p>
            <w:pPr>
              <w:pStyle w:val="2"/>
              <w:bidi w:val="0"/>
              <w:rPr>
                <w:rFonts w:hint="default"/>
                <w:lang w:val="en-US" w:eastAsia="zh-CN"/>
              </w:rPr>
            </w:pPr>
            <w:r>
              <w:rPr>
                <w:rFonts w:hint="eastAsia"/>
                <w:lang w:val="en-US" w:eastAsia="zh-CN"/>
              </w:rPr>
              <w:t>6.</w:t>
            </w:r>
            <w:r>
              <w:rPr>
                <w:rFonts w:hint="default"/>
                <w:lang w:val="en-US" w:eastAsia="zh-CN"/>
              </w:rPr>
              <w:t>与屠宰行业相关管理办法符合性分析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32"/>
                <w:lang w:val="en-US" w:eastAsia="zh-CN"/>
              </w:rPr>
            </w:pPr>
            <w:r>
              <w:rPr>
                <w:rFonts w:hint="eastAsia" w:cs="Times New Roman"/>
                <w:sz w:val="24"/>
                <w:szCs w:val="32"/>
                <w:lang w:val="en-US" w:eastAsia="zh-CN"/>
              </w:rPr>
              <w:t>本项目与屠宰行业相关管理办法符合性分析见下表。</w:t>
            </w:r>
          </w:p>
          <w:p>
            <w:pPr>
              <w:pStyle w:val="49"/>
              <w:bidi w:val="0"/>
              <w:rPr>
                <w:rFonts w:hint="default" w:ascii="Times New Roman" w:hAnsi="Times New Roman" w:eastAsia="宋体" w:cs="Times New Roman"/>
                <w:b/>
                <w:bCs/>
                <w:szCs w:val="32"/>
                <w:lang w:val="en-US" w:eastAsia="zh-CN"/>
              </w:rPr>
            </w:pPr>
            <w:r>
              <w:rPr>
                <w:rFonts w:hint="default" w:ascii="Times New Roman" w:hAnsi="Times New Roman" w:cs="Times New Roman"/>
                <w:lang w:val="en-US" w:eastAsia="zh-CN"/>
              </w:rPr>
              <w:t>表1-5   屠宰行业相关管理办法符合性分析</w:t>
            </w:r>
          </w:p>
          <w:tbl>
            <w:tblPr>
              <w:tblStyle w:val="25"/>
              <w:tblW w:w="8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538"/>
              <w:gridCol w:w="2495"/>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pStyle w:val="69"/>
                    <w:bidi w:val="0"/>
                    <w:jc w:val="center"/>
                    <w:rPr>
                      <w:rFonts w:hint="default"/>
                      <w:lang w:val="en-US" w:eastAsia="zh-CN"/>
                    </w:rPr>
                  </w:pPr>
                  <w:r>
                    <w:rPr>
                      <w:rFonts w:hint="eastAsia"/>
                      <w:lang w:val="en-US" w:eastAsia="zh-CN"/>
                    </w:rPr>
                    <w:t>文件</w:t>
                  </w:r>
                </w:p>
              </w:tc>
              <w:tc>
                <w:tcPr>
                  <w:tcW w:w="3538" w:type="dxa"/>
                  <w:vAlign w:val="center"/>
                </w:tcPr>
                <w:p>
                  <w:pPr>
                    <w:pStyle w:val="69"/>
                    <w:bidi w:val="0"/>
                    <w:jc w:val="center"/>
                    <w:rPr>
                      <w:rFonts w:hint="default"/>
                      <w:lang w:val="en-US" w:eastAsia="zh-CN"/>
                    </w:rPr>
                  </w:pPr>
                  <w:r>
                    <w:rPr>
                      <w:rFonts w:hint="eastAsia"/>
                      <w:lang w:val="en-US" w:eastAsia="zh-CN"/>
                    </w:rPr>
                    <w:t>相关</w:t>
                  </w:r>
                  <w:r>
                    <w:rPr>
                      <w:rFonts w:hint="default"/>
                    </w:rPr>
                    <w:t>要求</w:t>
                  </w:r>
                </w:p>
              </w:tc>
              <w:tc>
                <w:tcPr>
                  <w:tcW w:w="2495" w:type="dxa"/>
                  <w:vAlign w:val="center"/>
                </w:tcPr>
                <w:p>
                  <w:pPr>
                    <w:pStyle w:val="69"/>
                    <w:bidi w:val="0"/>
                    <w:jc w:val="center"/>
                    <w:rPr>
                      <w:rFonts w:hint="default"/>
                      <w:lang w:val="en-US" w:eastAsia="zh-CN"/>
                    </w:rPr>
                  </w:pPr>
                  <w:r>
                    <w:rPr>
                      <w:rFonts w:hint="eastAsia"/>
                      <w:highlight w:val="none"/>
                      <w:lang w:val="en-US" w:eastAsia="zh-CN"/>
                    </w:rPr>
                    <w:t>本项目情况</w:t>
                  </w:r>
                </w:p>
              </w:tc>
              <w:tc>
                <w:tcPr>
                  <w:tcW w:w="662" w:type="dxa"/>
                  <w:vAlign w:val="center"/>
                </w:tcPr>
                <w:p>
                  <w:pPr>
                    <w:pStyle w:val="69"/>
                    <w:bidi w:val="0"/>
                    <w:jc w:val="center"/>
                    <w:rPr>
                      <w:rFonts w:hint="default"/>
                      <w:lang w:val="en-US" w:eastAsia="zh-CN"/>
                    </w:rPr>
                  </w:pPr>
                  <w:r>
                    <w:rPr>
                      <w:rFonts w:hint="eastAsia"/>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1" w:type="dxa"/>
                  <w:vMerge w:val="restart"/>
                  <w:vAlign w:val="center"/>
                </w:tcPr>
                <w:p>
                  <w:pPr>
                    <w:pStyle w:val="69"/>
                    <w:bidi w:val="0"/>
                    <w:jc w:val="center"/>
                    <w:rPr>
                      <w:rFonts w:hint="default"/>
                      <w:lang w:val="en-US" w:eastAsia="zh-CN"/>
                    </w:rPr>
                  </w:pPr>
                  <w:r>
                    <w:rPr>
                      <w:rFonts w:hint="default"/>
                      <w:lang w:val="en-US" w:eastAsia="zh-CN"/>
                    </w:rPr>
                    <w:t>《食品安全国家标准畜禽屠宰加工卫生规范（GB12694-2016）》</w:t>
                  </w:r>
                </w:p>
              </w:tc>
              <w:tc>
                <w:tcPr>
                  <w:tcW w:w="3538" w:type="dxa"/>
                  <w:tcBorders>
                    <w:bottom w:val="single" w:color="000000" w:sz="8" w:space="0"/>
                  </w:tcBorders>
                  <w:vAlign w:val="center"/>
                </w:tcPr>
                <w:p>
                  <w:pPr>
                    <w:pStyle w:val="69"/>
                    <w:bidi w:val="0"/>
                    <w:jc w:val="center"/>
                    <w:rPr>
                      <w:rFonts w:hint="default"/>
                      <w:lang w:val="en-US" w:eastAsia="zh-CN"/>
                    </w:rPr>
                  </w:pPr>
                  <w:r>
                    <w:rPr>
                      <w:rFonts w:hint="default"/>
                      <w:lang w:val="en-US" w:eastAsia="zh-CN"/>
                    </w:rPr>
                    <w:t>厂址周围应有良好的环境卫生条件。厂区应远离受污染的水体，并应避开产生有害气体、烟雾、粉尘等污染的工业企业或其他产生污染源的地区和场所</w:t>
                  </w:r>
                </w:p>
              </w:tc>
              <w:tc>
                <w:tcPr>
                  <w:tcW w:w="2495" w:type="dxa"/>
                  <w:tcBorders>
                    <w:bottom w:val="single" w:color="000000" w:sz="8" w:space="0"/>
                  </w:tcBorders>
                  <w:vAlign w:val="center"/>
                </w:tcPr>
                <w:p>
                  <w:pPr>
                    <w:pStyle w:val="69"/>
                    <w:bidi w:val="0"/>
                    <w:jc w:val="center"/>
                    <w:rPr>
                      <w:rFonts w:hint="default"/>
                      <w:lang w:val="en-US" w:eastAsia="zh-CN"/>
                    </w:rPr>
                  </w:pPr>
                  <w:r>
                    <w:rPr>
                      <w:rFonts w:hint="default"/>
                      <w:lang w:val="en-US" w:eastAsia="zh-CN"/>
                    </w:rPr>
                    <w:t>本项目选址卫生条件较好，周围无受污染水体，无有害气体、烟雾、粉尘等污染源的工业企业或其他产生污染源的地区和场所。</w:t>
                  </w:r>
                </w:p>
              </w:tc>
              <w:tc>
                <w:tcPr>
                  <w:tcW w:w="662" w:type="dxa"/>
                  <w:tcBorders>
                    <w:bottom w:val="single" w:color="000000" w:sz="8" w:space="0"/>
                  </w:tcBorders>
                  <w:vAlign w:val="center"/>
                </w:tcPr>
                <w:p>
                  <w:pPr>
                    <w:pStyle w:val="69"/>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71" w:type="dxa"/>
                  <w:vMerge w:val="continue"/>
                  <w:vAlign w:val="center"/>
                </w:tcPr>
                <w:p>
                  <w:pPr>
                    <w:pStyle w:val="69"/>
                    <w:bidi w:val="0"/>
                    <w:jc w:val="center"/>
                    <w:rPr>
                      <w:rFonts w:hint="default"/>
                      <w:lang w:val="en-US" w:eastAsia="zh-CN"/>
                    </w:rPr>
                  </w:pPr>
                </w:p>
              </w:tc>
              <w:tc>
                <w:tcPr>
                  <w:tcW w:w="3538" w:type="dxa"/>
                  <w:tcBorders>
                    <w:top w:val="single" w:color="000000" w:sz="8" w:space="0"/>
                  </w:tcBorders>
                  <w:vAlign w:val="center"/>
                </w:tcPr>
                <w:p>
                  <w:pPr>
                    <w:pStyle w:val="69"/>
                    <w:bidi w:val="0"/>
                    <w:jc w:val="center"/>
                    <w:rPr>
                      <w:rFonts w:hint="default"/>
                      <w:lang w:val="en-US" w:eastAsia="zh-CN"/>
                    </w:rPr>
                  </w:pPr>
                  <w:r>
                    <w:rPr>
                      <w:rFonts w:hint="default"/>
                      <w:lang w:val="en-US" w:eastAsia="zh-CN"/>
                    </w:rPr>
                    <w:t>厂址必须具备符合要求的水源和电源，应结合工艺因地制宜的确定，并应符合屠宰企业设置规划的要求</w:t>
                  </w:r>
                </w:p>
              </w:tc>
              <w:tc>
                <w:tcPr>
                  <w:tcW w:w="2495" w:type="dxa"/>
                  <w:tcBorders>
                    <w:top w:val="single" w:color="000000" w:sz="8" w:space="0"/>
                  </w:tcBorders>
                  <w:vAlign w:val="center"/>
                </w:tcPr>
                <w:p>
                  <w:pPr>
                    <w:pStyle w:val="69"/>
                    <w:bidi w:val="0"/>
                    <w:jc w:val="center"/>
                    <w:rPr>
                      <w:rFonts w:hint="default"/>
                      <w:lang w:val="en-US" w:eastAsia="zh-CN"/>
                    </w:rPr>
                  </w:pPr>
                  <w:r>
                    <w:rPr>
                      <w:rFonts w:hint="default"/>
                      <w:lang w:val="en-US" w:eastAsia="zh-CN"/>
                    </w:rPr>
                    <w:t>项目</w:t>
                  </w:r>
                  <w:r>
                    <w:rPr>
                      <w:rFonts w:hint="eastAsia"/>
                      <w:lang w:val="en-US" w:eastAsia="zh-CN"/>
                    </w:rPr>
                    <w:t>采用市政供水供电</w:t>
                  </w:r>
                  <w:r>
                    <w:rPr>
                      <w:rFonts w:hint="default"/>
                      <w:lang w:val="en-US" w:eastAsia="zh-CN"/>
                    </w:rPr>
                    <w:t>，交通运输方便，符合</w:t>
                  </w:r>
                  <w:r>
                    <w:rPr>
                      <w:rFonts w:hint="eastAsia"/>
                      <w:lang w:val="en-US" w:eastAsia="zh-CN"/>
                    </w:rPr>
                    <w:t>相关</w:t>
                  </w:r>
                  <w:r>
                    <w:rPr>
                      <w:rFonts w:hint="default"/>
                      <w:lang w:val="en-US" w:eastAsia="zh-CN"/>
                    </w:rPr>
                    <w:t>要求</w:t>
                  </w:r>
                  <w:r>
                    <w:rPr>
                      <w:rFonts w:hint="eastAsia"/>
                      <w:lang w:val="en-US" w:eastAsia="zh-CN"/>
                    </w:rPr>
                    <w:t>。</w:t>
                  </w:r>
                </w:p>
              </w:tc>
              <w:tc>
                <w:tcPr>
                  <w:tcW w:w="662" w:type="dxa"/>
                  <w:tcBorders>
                    <w:top w:val="single" w:color="000000" w:sz="8" w:space="0"/>
                  </w:tcBorders>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1" w:type="dxa"/>
                  <w:vMerge w:val="restart"/>
                  <w:vAlign w:val="center"/>
                </w:tcPr>
                <w:p>
                  <w:pPr>
                    <w:pStyle w:val="69"/>
                    <w:bidi w:val="0"/>
                    <w:jc w:val="center"/>
                    <w:rPr>
                      <w:rFonts w:hint="default"/>
                      <w:lang w:val="en-US" w:eastAsia="zh-CN"/>
                    </w:rPr>
                  </w:pPr>
                  <w:r>
                    <w:rPr>
                      <w:rFonts w:hint="default"/>
                      <w:lang w:val="en-US" w:eastAsia="zh-CN"/>
                    </w:rPr>
                    <w:t>《新疆维吾尔自治区畜禽屠宰管理条例》</w:t>
                  </w:r>
                </w:p>
              </w:tc>
              <w:tc>
                <w:tcPr>
                  <w:tcW w:w="3538" w:type="dxa"/>
                  <w:tcBorders>
                    <w:bottom w:val="single" w:color="000000" w:sz="8" w:space="0"/>
                  </w:tcBorders>
                  <w:vAlign w:val="center"/>
                </w:tcPr>
                <w:p>
                  <w:pPr>
                    <w:pStyle w:val="69"/>
                    <w:bidi w:val="0"/>
                    <w:jc w:val="center"/>
                    <w:rPr>
                      <w:rFonts w:hint="default"/>
                      <w:lang w:val="en-US" w:eastAsia="zh-CN"/>
                    </w:rPr>
                  </w:pPr>
                  <w:r>
                    <w:rPr>
                      <w:rFonts w:hint="default"/>
                      <w:lang w:val="en-US" w:eastAsia="zh-CN"/>
                    </w:rPr>
                    <w:t>水源与屠宰规模相适应，水质符合国家标准</w:t>
                  </w:r>
                </w:p>
              </w:tc>
              <w:tc>
                <w:tcPr>
                  <w:tcW w:w="2495" w:type="dxa"/>
                  <w:tcBorders>
                    <w:bottom w:val="single" w:color="000000" w:sz="8" w:space="0"/>
                  </w:tcBorders>
                  <w:vAlign w:val="center"/>
                </w:tcPr>
                <w:p>
                  <w:pPr>
                    <w:pStyle w:val="69"/>
                    <w:bidi w:val="0"/>
                    <w:jc w:val="center"/>
                    <w:rPr>
                      <w:rFonts w:hint="default"/>
                      <w:lang w:val="en-US" w:eastAsia="zh-CN"/>
                    </w:rPr>
                  </w:pPr>
                  <w:r>
                    <w:rPr>
                      <w:rFonts w:hint="default"/>
                      <w:lang w:val="en-US" w:eastAsia="zh-CN"/>
                    </w:rPr>
                    <w:t>项目用水由市政自来水管网提供，水质满足饮用水及生产水质要求。</w:t>
                  </w:r>
                </w:p>
              </w:tc>
              <w:tc>
                <w:tcPr>
                  <w:tcW w:w="662" w:type="dxa"/>
                  <w:tcBorders>
                    <w:bottom w:val="single" w:color="000000" w:sz="8" w:space="0"/>
                  </w:tcBorders>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71" w:type="dxa"/>
                  <w:vMerge w:val="continue"/>
                  <w:vAlign w:val="center"/>
                </w:tcPr>
                <w:p>
                  <w:pPr>
                    <w:pStyle w:val="69"/>
                    <w:bidi w:val="0"/>
                    <w:jc w:val="center"/>
                    <w:rPr>
                      <w:rFonts w:hint="default"/>
                      <w:lang w:val="en-US" w:eastAsia="zh-CN"/>
                    </w:rPr>
                  </w:pPr>
                </w:p>
              </w:tc>
              <w:tc>
                <w:tcPr>
                  <w:tcW w:w="3538"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待宰间、屠宰间、急宰间和屠宰、冷藏设施、设备、运载工具以及检验设备、消毒设施、消毒药品和污染物处理设施符合国家标准或者有关规定</w:t>
                  </w:r>
                </w:p>
              </w:tc>
              <w:tc>
                <w:tcPr>
                  <w:tcW w:w="2495"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项目屠宰车间及相应的辅助设施、公用设施及环保设施，按照国家相关标准，屠宰行业工程设计规范要求进行规划。</w:t>
                  </w:r>
                </w:p>
              </w:tc>
              <w:tc>
                <w:tcPr>
                  <w:tcW w:w="662"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vMerge w:val="continue"/>
                  <w:tcBorders>
                    <w:bottom w:val="single" w:color="000000" w:sz="8" w:space="0"/>
                  </w:tcBorders>
                  <w:vAlign w:val="center"/>
                </w:tcPr>
                <w:p>
                  <w:pPr>
                    <w:pStyle w:val="69"/>
                    <w:bidi w:val="0"/>
                    <w:jc w:val="center"/>
                    <w:rPr>
                      <w:rFonts w:hint="default"/>
                      <w:lang w:val="en-US" w:eastAsia="zh-CN"/>
                    </w:rPr>
                  </w:pPr>
                </w:p>
              </w:tc>
              <w:tc>
                <w:tcPr>
                  <w:tcW w:w="3538"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病害畜禽以及畜禽产品无害化处理设施符合国家标准或者有关规定</w:t>
                  </w:r>
                </w:p>
              </w:tc>
              <w:tc>
                <w:tcPr>
                  <w:tcW w:w="2495"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《牲畜养殖业污染防治技术规范》（HJ/T81-2001）要求，本项目源头采取牛羊检验、受理工作，发现牛羊状况有异常不予受理，避免</w:t>
                  </w:r>
                  <w:r>
                    <w:rPr>
                      <w:rFonts w:hint="eastAsia"/>
                      <w:lang w:val="en-US" w:eastAsia="zh-CN"/>
                    </w:rPr>
                    <w:t>病死牛羊</w:t>
                  </w:r>
                  <w:r>
                    <w:rPr>
                      <w:rFonts w:hint="default"/>
                      <w:lang w:val="en-US" w:eastAsia="zh-CN"/>
                    </w:rPr>
                    <w:t>的产生。</w:t>
                  </w:r>
                </w:p>
              </w:tc>
              <w:tc>
                <w:tcPr>
                  <w:tcW w:w="662"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71" w:type="dxa"/>
                  <w:vMerge w:val="continue"/>
                  <w:tcBorders>
                    <w:bottom w:val="single" w:color="000000" w:sz="8" w:space="0"/>
                  </w:tcBorders>
                  <w:vAlign w:val="center"/>
                </w:tcPr>
                <w:p>
                  <w:pPr>
                    <w:pStyle w:val="69"/>
                    <w:bidi w:val="0"/>
                    <w:jc w:val="center"/>
                    <w:rPr>
                      <w:rFonts w:hint="default"/>
                      <w:lang w:val="en-US" w:eastAsia="zh-CN"/>
                    </w:rPr>
                  </w:pPr>
                </w:p>
              </w:tc>
              <w:tc>
                <w:tcPr>
                  <w:tcW w:w="3538"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肉品品质检验人员符合国家和自治区要求的条件，畜禽屠宰技术人员依法取得健康证明</w:t>
                  </w:r>
                </w:p>
              </w:tc>
              <w:tc>
                <w:tcPr>
                  <w:tcW w:w="2495"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厂区工作人员已取</w:t>
                  </w:r>
                  <w:r>
                    <w:rPr>
                      <w:rFonts w:hint="eastAsia"/>
                      <w:lang w:val="en-US" w:eastAsia="zh-CN"/>
                    </w:rPr>
                    <w:t>得</w:t>
                  </w:r>
                  <w:r>
                    <w:rPr>
                      <w:rFonts w:hint="default"/>
                      <w:lang w:val="en-US" w:eastAsia="zh-CN"/>
                    </w:rPr>
                    <w:t>疾病预防控制中心发放的健康证。</w:t>
                  </w:r>
                </w:p>
              </w:tc>
              <w:tc>
                <w:tcPr>
                  <w:tcW w:w="662"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1" w:type="dxa"/>
                  <w:vMerge w:val="restart"/>
                  <w:tcBorders>
                    <w:top w:val="single" w:color="000000" w:sz="8" w:space="0"/>
                  </w:tcBorders>
                  <w:vAlign w:val="center"/>
                </w:tcPr>
                <w:p>
                  <w:pPr>
                    <w:pStyle w:val="69"/>
                    <w:bidi w:val="0"/>
                    <w:jc w:val="center"/>
                    <w:rPr>
                      <w:rFonts w:hint="default"/>
                      <w:lang w:val="en-US" w:eastAsia="zh-CN"/>
                    </w:rPr>
                  </w:pPr>
                  <w:r>
                    <w:rPr>
                      <w:rFonts w:hint="default"/>
                      <w:lang w:val="en-US" w:eastAsia="zh-CN"/>
                    </w:rPr>
                    <w:t>《病死及病害动物无害化处理技术规范农医发〔2017〕25号》</w:t>
                  </w:r>
                </w:p>
              </w:tc>
              <w:tc>
                <w:tcPr>
                  <w:tcW w:w="3538"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国家规定的染疫动物及其产品、病死或者死因不明的动物尸体，屠宰前确认的病害动物、屠宰过程中经检疫或肉品品质检验确认为不可食用的动物产品以及其他应当进行无害化处理的动物及动物产品</w:t>
                  </w:r>
                </w:p>
              </w:tc>
              <w:tc>
                <w:tcPr>
                  <w:tcW w:w="2495"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本项目对</w:t>
                  </w:r>
                  <w:r>
                    <w:rPr>
                      <w:rFonts w:hint="eastAsia"/>
                      <w:lang w:val="en-US" w:eastAsia="zh-CN"/>
                    </w:rPr>
                    <w:t>病死牛羊、检疫残肉、不可食用内脏</w:t>
                  </w:r>
                  <w:r>
                    <w:rPr>
                      <w:rFonts w:hint="default"/>
                      <w:lang w:val="en-US" w:eastAsia="zh-CN"/>
                    </w:rPr>
                    <w:t>进行无害化处理</w:t>
                  </w:r>
                  <w:r>
                    <w:rPr>
                      <w:rFonts w:hint="eastAsia"/>
                      <w:lang w:val="en-US" w:eastAsia="zh-CN"/>
                    </w:rPr>
                    <w:t>。</w:t>
                  </w:r>
                </w:p>
              </w:tc>
              <w:tc>
                <w:tcPr>
                  <w:tcW w:w="662" w:type="dxa"/>
                  <w:tcBorders>
                    <w:top w:val="single" w:color="000000" w:sz="8" w:space="0"/>
                    <w:bottom w:val="single" w:color="000000" w:sz="8" w:space="0"/>
                  </w:tcBorders>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371" w:type="dxa"/>
                  <w:vMerge w:val="continue"/>
                  <w:vAlign w:val="center"/>
                </w:tcPr>
                <w:p>
                  <w:pPr>
                    <w:pStyle w:val="69"/>
                    <w:bidi w:val="0"/>
                    <w:jc w:val="center"/>
                    <w:rPr>
                      <w:rFonts w:hint="default"/>
                      <w:lang w:val="en-US" w:eastAsia="zh-CN"/>
                    </w:rPr>
                  </w:pPr>
                </w:p>
              </w:tc>
              <w:tc>
                <w:tcPr>
                  <w:tcW w:w="3538" w:type="dxa"/>
                  <w:tcBorders>
                    <w:top w:val="single" w:color="000000" w:sz="8" w:space="0"/>
                  </w:tcBorders>
                  <w:vAlign w:val="center"/>
                </w:tcPr>
                <w:p>
                  <w:pPr>
                    <w:pStyle w:val="69"/>
                    <w:bidi w:val="0"/>
                    <w:jc w:val="center"/>
                    <w:rPr>
                      <w:rFonts w:hint="default"/>
                      <w:lang w:val="en-US" w:eastAsia="zh-CN"/>
                    </w:rPr>
                  </w:pPr>
                  <w:r>
                    <w:rPr>
                      <w:rFonts w:hint="default"/>
                      <w:lang w:val="en-US" w:eastAsia="zh-CN"/>
                    </w:rPr>
                    <w:t>病死及病害动物和相关动物产品的收集、暂存、转运、无害化处理操作的工作人员应经过专门培训，掌握相应的动物防疫知识</w:t>
                  </w:r>
                </w:p>
              </w:tc>
              <w:tc>
                <w:tcPr>
                  <w:tcW w:w="2495" w:type="dxa"/>
                  <w:tcBorders>
                    <w:top w:val="single" w:color="000000" w:sz="8" w:space="0"/>
                  </w:tcBorders>
                  <w:vAlign w:val="center"/>
                </w:tcPr>
                <w:p>
                  <w:pPr>
                    <w:pStyle w:val="69"/>
                    <w:bidi w:val="0"/>
                    <w:jc w:val="center"/>
                    <w:rPr>
                      <w:rFonts w:hint="default"/>
                      <w:lang w:val="en-US" w:eastAsia="zh-CN"/>
                    </w:rPr>
                  </w:pPr>
                  <w:r>
                    <w:rPr>
                      <w:rFonts w:hint="default"/>
                      <w:lang w:val="en-US" w:eastAsia="zh-CN"/>
                    </w:rPr>
                    <w:t>本项目无害化处理操作的工作人员经过专门培训，掌握相应的动物防疫知识</w:t>
                  </w:r>
                  <w:r>
                    <w:rPr>
                      <w:rFonts w:hint="eastAsia"/>
                      <w:lang w:val="en-US" w:eastAsia="zh-CN"/>
                    </w:rPr>
                    <w:t>。</w:t>
                  </w:r>
                </w:p>
              </w:tc>
              <w:tc>
                <w:tcPr>
                  <w:tcW w:w="662" w:type="dxa"/>
                  <w:tcBorders>
                    <w:top w:val="single" w:color="000000" w:sz="8" w:space="0"/>
                  </w:tcBorders>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71" w:type="dxa"/>
                  <w:vMerge w:val="restart"/>
                  <w:vAlign w:val="center"/>
                </w:tcPr>
                <w:p>
                  <w:pPr>
                    <w:pStyle w:val="69"/>
                    <w:bidi w:val="0"/>
                    <w:jc w:val="center"/>
                    <w:rPr>
                      <w:rFonts w:hint="default"/>
                      <w:lang w:val="en-US" w:eastAsia="zh-CN"/>
                    </w:rPr>
                  </w:pPr>
                  <w:r>
                    <w:rPr>
                      <w:rFonts w:hint="default"/>
                      <w:lang w:val="en-US" w:eastAsia="zh-CN"/>
                    </w:rPr>
                    <w:t>《动物防疫条件审查办法（农业农村部令2022年第8号）》</w:t>
                  </w:r>
                </w:p>
              </w:tc>
              <w:tc>
                <w:tcPr>
                  <w:tcW w:w="3538" w:type="dxa"/>
                  <w:vAlign w:val="center"/>
                </w:tcPr>
                <w:p>
                  <w:pPr>
                    <w:pStyle w:val="69"/>
                    <w:bidi w:val="0"/>
                    <w:jc w:val="center"/>
                    <w:rPr>
                      <w:rFonts w:hint="default"/>
                      <w:lang w:val="en-US" w:eastAsia="zh-CN"/>
                    </w:rPr>
                  </w:pPr>
                  <w:r>
                    <w:rPr>
                      <w:rFonts w:hint="default"/>
                      <w:lang w:val="en-US" w:eastAsia="zh-CN"/>
                    </w:rPr>
                    <w:t>各场所之间，各场所与动物诊疗场所、居民生活区、生活饮用水水源地、学校、医院等公共场所之间保持必要的距离</w:t>
                  </w:r>
                </w:p>
              </w:tc>
              <w:tc>
                <w:tcPr>
                  <w:tcW w:w="2495" w:type="dxa"/>
                  <w:vAlign w:val="center"/>
                </w:tcPr>
                <w:p>
                  <w:pPr>
                    <w:pStyle w:val="69"/>
                    <w:bidi w:val="0"/>
                    <w:jc w:val="center"/>
                    <w:rPr>
                      <w:rFonts w:hint="default"/>
                      <w:lang w:val="en-US" w:eastAsia="zh-CN"/>
                    </w:rPr>
                  </w:pPr>
                  <w:r>
                    <w:rPr>
                      <w:rFonts w:hint="default"/>
                      <w:lang w:val="en-US" w:eastAsia="zh-CN"/>
                    </w:rPr>
                    <w:t>本项目周边无动物诊疗场所、居民生活区、生活饮用水水源地、学校、医院等公共场所。</w:t>
                  </w:r>
                </w:p>
              </w:tc>
              <w:tc>
                <w:tcPr>
                  <w:tcW w:w="662" w:type="dxa"/>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371" w:type="dxa"/>
                  <w:vMerge w:val="continue"/>
                  <w:vAlign w:val="center"/>
                </w:tcPr>
                <w:p>
                  <w:pPr>
                    <w:pStyle w:val="69"/>
                    <w:bidi w:val="0"/>
                    <w:jc w:val="center"/>
                    <w:rPr>
                      <w:rFonts w:hint="default"/>
                      <w:lang w:val="en-US" w:eastAsia="zh-CN"/>
                    </w:rPr>
                  </w:pPr>
                </w:p>
              </w:tc>
              <w:tc>
                <w:tcPr>
                  <w:tcW w:w="3538" w:type="dxa"/>
                  <w:vAlign w:val="center"/>
                </w:tcPr>
                <w:p>
                  <w:pPr>
                    <w:pStyle w:val="69"/>
                    <w:bidi w:val="0"/>
                    <w:jc w:val="center"/>
                    <w:rPr>
                      <w:rFonts w:hint="default"/>
                      <w:lang w:val="en-US" w:eastAsia="zh-CN"/>
                    </w:rPr>
                  </w:pPr>
                  <w:r>
                    <w:rPr>
                      <w:rFonts w:hint="default"/>
                      <w:lang w:val="en-US" w:eastAsia="zh-CN"/>
                    </w:rPr>
                    <w:t>场区周围建有围墙等隔离设施；场区出入口处设置运输车辆消毒通道或者消毒池，并单独设置人员消毒通道；生产经营区与生活办公区分开，并有隔离设施；生产经营区入口处设置人员更衣消毒室</w:t>
                  </w:r>
                </w:p>
              </w:tc>
              <w:tc>
                <w:tcPr>
                  <w:tcW w:w="2495" w:type="dxa"/>
                  <w:vAlign w:val="center"/>
                </w:tcPr>
                <w:p>
                  <w:pPr>
                    <w:pStyle w:val="69"/>
                    <w:bidi w:val="0"/>
                    <w:jc w:val="center"/>
                    <w:rPr>
                      <w:rFonts w:hint="default"/>
                      <w:lang w:val="en-US" w:eastAsia="zh-CN"/>
                    </w:rPr>
                  </w:pPr>
                  <w:r>
                    <w:rPr>
                      <w:rFonts w:hint="default"/>
                      <w:lang w:val="en-US" w:eastAsia="zh-CN"/>
                    </w:rPr>
                    <w:t>本项目厂区周围建设了围墙隔离设施；</w:t>
                  </w:r>
                  <w:r>
                    <w:rPr>
                      <w:rFonts w:hint="eastAsia"/>
                      <w:lang w:val="en-US" w:eastAsia="zh-CN"/>
                    </w:rPr>
                    <w:t>厂</w:t>
                  </w:r>
                  <w:r>
                    <w:rPr>
                      <w:rFonts w:hint="default"/>
                      <w:lang w:val="en-US" w:eastAsia="zh-CN"/>
                    </w:rPr>
                    <w:t>区出入口处设置运输车辆消毒通道，并单独设置人员消毒通道；屠宰车间设置了人员更衣消毒室。</w:t>
                  </w:r>
                </w:p>
              </w:tc>
              <w:tc>
                <w:tcPr>
                  <w:tcW w:w="662" w:type="dxa"/>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71" w:type="dxa"/>
                  <w:vMerge w:val="continue"/>
                  <w:vAlign w:val="center"/>
                </w:tcPr>
                <w:p>
                  <w:pPr>
                    <w:pStyle w:val="69"/>
                    <w:bidi w:val="0"/>
                    <w:jc w:val="center"/>
                    <w:rPr>
                      <w:rFonts w:hint="default"/>
                      <w:lang w:val="en-US" w:eastAsia="zh-CN"/>
                    </w:rPr>
                  </w:pPr>
                </w:p>
              </w:tc>
              <w:tc>
                <w:tcPr>
                  <w:tcW w:w="3538" w:type="dxa"/>
                  <w:vAlign w:val="center"/>
                </w:tcPr>
                <w:p>
                  <w:pPr>
                    <w:pStyle w:val="69"/>
                    <w:bidi w:val="0"/>
                    <w:jc w:val="center"/>
                    <w:rPr>
                      <w:rFonts w:hint="default"/>
                      <w:lang w:val="en-US" w:eastAsia="zh-CN"/>
                    </w:rPr>
                  </w:pPr>
                  <w:r>
                    <w:rPr>
                      <w:rFonts w:hint="default"/>
                      <w:lang w:val="en-US" w:eastAsia="zh-CN"/>
                    </w:rPr>
                    <w:t>配备与其生产经营规模相适应的执业兽医或者动物防疫技术人员</w:t>
                  </w:r>
                </w:p>
              </w:tc>
              <w:tc>
                <w:tcPr>
                  <w:tcW w:w="2495" w:type="dxa"/>
                  <w:vAlign w:val="center"/>
                </w:tcPr>
                <w:p>
                  <w:pPr>
                    <w:pStyle w:val="69"/>
                    <w:bidi w:val="0"/>
                    <w:jc w:val="center"/>
                    <w:rPr>
                      <w:rFonts w:hint="default"/>
                      <w:lang w:val="en-US" w:eastAsia="zh-CN"/>
                    </w:rPr>
                  </w:pPr>
                  <w:r>
                    <w:rPr>
                      <w:rFonts w:hint="default"/>
                      <w:lang w:val="en-US" w:eastAsia="zh-CN"/>
                    </w:rPr>
                    <w:t>拟按要求配备与其生产经营规模相适应的执业兽医或者动物防疫技术人员。</w:t>
                  </w:r>
                </w:p>
              </w:tc>
              <w:tc>
                <w:tcPr>
                  <w:tcW w:w="662" w:type="dxa"/>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71" w:type="dxa"/>
                  <w:vMerge w:val="continue"/>
                  <w:vAlign w:val="center"/>
                </w:tcPr>
                <w:p>
                  <w:pPr>
                    <w:pStyle w:val="69"/>
                    <w:bidi w:val="0"/>
                    <w:jc w:val="center"/>
                    <w:rPr>
                      <w:rFonts w:hint="default"/>
                      <w:lang w:val="en-US" w:eastAsia="zh-CN"/>
                    </w:rPr>
                  </w:pPr>
                </w:p>
              </w:tc>
              <w:tc>
                <w:tcPr>
                  <w:tcW w:w="3538" w:type="dxa"/>
                  <w:vAlign w:val="center"/>
                </w:tcPr>
                <w:p>
                  <w:pPr>
                    <w:pStyle w:val="69"/>
                    <w:bidi w:val="0"/>
                    <w:jc w:val="center"/>
                    <w:rPr>
                      <w:rFonts w:hint="default"/>
                      <w:lang w:val="en-US" w:eastAsia="zh-CN"/>
                    </w:rPr>
                  </w:pPr>
                  <w:r>
                    <w:rPr>
                      <w:rFonts w:hint="default"/>
                      <w:lang w:val="en-US" w:eastAsia="zh-CN"/>
                    </w:rPr>
                    <w:t>建立隔离消毒、购销台账、日常巡查等动物防疫制度</w:t>
                  </w:r>
                </w:p>
              </w:tc>
              <w:tc>
                <w:tcPr>
                  <w:tcW w:w="2495" w:type="dxa"/>
                  <w:vAlign w:val="center"/>
                </w:tcPr>
                <w:p>
                  <w:pPr>
                    <w:pStyle w:val="69"/>
                    <w:bidi w:val="0"/>
                    <w:jc w:val="center"/>
                    <w:rPr>
                      <w:rFonts w:hint="default"/>
                      <w:lang w:val="en-US" w:eastAsia="zh-CN"/>
                    </w:rPr>
                  </w:pPr>
                  <w:r>
                    <w:rPr>
                      <w:rFonts w:hint="default"/>
                      <w:lang w:val="en-US" w:eastAsia="zh-CN"/>
                    </w:rPr>
                    <w:t>运营期建立隔离消毒、购销台账、日常巡查等动物防疫制度。</w:t>
                  </w:r>
                </w:p>
              </w:tc>
              <w:tc>
                <w:tcPr>
                  <w:tcW w:w="662" w:type="dxa"/>
                  <w:vAlign w:val="center"/>
                </w:tcPr>
                <w:p>
                  <w:pPr>
                    <w:pStyle w:val="69"/>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pStyle w:val="69"/>
                    <w:bidi w:val="0"/>
                    <w:jc w:val="center"/>
                    <w:rPr>
                      <w:rFonts w:hint="default"/>
                      <w:lang w:val="en-US" w:eastAsia="zh-CN"/>
                    </w:rPr>
                  </w:pPr>
                  <w:r>
                    <w:rPr>
                      <w:rFonts w:hint="default"/>
                      <w:lang w:val="en-US" w:eastAsia="zh-CN"/>
                    </w:rPr>
                    <w:t>《病死动物无害化处理技术规程》（GB65/T 4224-2018）</w:t>
                  </w:r>
                </w:p>
              </w:tc>
              <w:tc>
                <w:tcPr>
                  <w:tcW w:w="3538" w:type="dxa"/>
                  <w:vAlign w:val="center"/>
                </w:tcPr>
                <w:p>
                  <w:pPr>
                    <w:pStyle w:val="69"/>
                    <w:bidi w:val="0"/>
                    <w:jc w:val="center"/>
                    <w:rPr>
                      <w:rFonts w:hint="default"/>
                      <w:lang w:val="en-US" w:eastAsia="zh-CN"/>
                    </w:rPr>
                  </w:pPr>
                  <w:r>
                    <w:rPr>
                      <w:rFonts w:hint="eastAsia"/>
                      <w:lang w:val="en-US" w:eastAsia="zh-CN"/>
                    </w:rPr>
                    <w:t>应远离动物饲养厂（饲养小区）、动物屠宰加工场所、动物隔离场所、动物诊疗场所、动物和动物产品集贸市场、生活饮用水源地。</w:t>
                  </w:r>
                </w:p>
              </w:tc>
              <w:tc>
                <w:tcPr>
                  <w:tcW w:w="2495" w:type="dxa"/>
                  <w:vAlign w:val="center"/>
                </w:tcPr>
                <w:p>
                  <w:pPr>
                    <w:pStyle w:val="69"/>
                    <w:bidi w:val="0"/>
                    <w:jc w:val="center"/>
                    <w:rPr>
                      <w:rFonts w:hint="default"/>
                      <w:lang w:val="en-US" w:eastAsia="zh-CN"/>
                    </w:rPr>
                  </w:pPr>
                  <w:r>
                    <w:rPr>
                      <w:rFonts w:hint="eastAsia"/>
                      <w:lang w:val="en-US" w:eastAsia="zh-CN"/>
                    </w:rPr>
                    <w:t>本项目在厂区下风向设置一处填埋井，周边无动物饲养厂（饲养小区）、动物屠宰加工场所、动物隔离场所、动物诊疗场所、动物和动物产品集贸市场、生活饮用水源地。</w:t>
                  </w:r>
                </w:p>
              </w:tc>
              <w:tc>
                <w:tcPr>
                  <w:tcW w:w="662" w:type="dxa"/>
                  <w:vAlign w:val="center"/>
                </w:tcPr>
                <w:p>
                  <w:pPr>
                    <w:pStyle w:val="69"/>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pStyle w:val="69"/>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《畜类屠宰加工通用技术条件》（GB/T17237-2008）</w:t>
                  </w:r>
                </w:p>
              </w:tc>
              <w:tc>
                <w:tcPr>
                  <w:tcW w:w="3538" w:type="dxa"/>
                  <w:vAlign w:val="center"/>
                </w:tcPr>
                <w:p>
                  <w:pPr>
                    <w:pStyle w:val="69"/>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1.应设置与屠宰加工量相适应的验收间、隔离间、待宰间、急宰间、屠宰加工间、副产品整理间、有条件可食肉处理间、不可食用肉处理间、发货间、冷藏库。2.生产分割肉产品的企业还应设置与屠宰加工量相适应的冷却间、分割肉加工间、包装间、冻结间。</w:t>
                  </w:r>
                </w:p>
              </w:tc>
              <w:tc>
                <w:tcPr>
                  <w:tcW w:w="2495" w:type="dxa"/>
                  <w:vAlign w:val="center"/>
                </w:tcPr>
                <w:p>
                  <w:pPr>
                    <w:pStyle w:val="69"/>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本项目设置与屠宰加工量相适应的待宰间、屠宰车间、冷藏库等。满足相关要求。</w:t>
                  </w:r>
                </w:p>
              </w:tc>
              <w:tc>
                <w:tcPr>
                  <w:tcW w:w="662" w:type="dxa"/>
                  <w:vAlign w:val="center"/>
                </w:tcPr>
                <w:p>
                  <w:pPr>
                    <w:pStyle w:val="69"/>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pStyle w:val="69"/>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《牛羊屠宰与分割车间设计规范》（GB51225-2017）</w:t>
                  </w:r>
                </w:p>
              </w:tc>
              <w:tc>
                <w:tcPr>
                  <w:tcW w:w="3538" w:type="dxa"/>
                  <w:vAlign w:val="center"/>
                </w:tcPr>
                <w:p>
                  <w:pPr>
                    <w:pStyle w:val="69"/>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牛羊屠宰与分割车间设计必须符合卫生、安全、适用等基本条件，在确保操作工艺、卫生、兽医卫生检验符合要求的条件下，做到技术先进、经济合理、节约能源、维修方便。</w:t>
                  </w:r>
                </w:p>
              </w:tc>
              <w:tc>
                <w:tcPr>
                  <w:tcW w:w="2495" w:type="dxa"/>
                  <w:vAlign w:val="center"/>
                </w:tcPr>
                <w:p>
                  <w:pPr>
                    <w:pStyle w:val="69"/>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本项目屠宰与分割区域分区明确，满足生产工艺流程和食品卫生要求，产品、人流、净道、污道区分明确。满足相关要求。</w:t>
                  </w:r>
                </w:p>
              </w:tc>
              <w:tc>
                <w:tcPr>
                  <w:tcW w:w="662" w:type="dxa"/>
                  <w:vAlign w:val="center"/>
                </w:tcPr>
                <w:p>
                  <w:pPr>
                    <w:pStyle w:val="69"/>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371" w:type="dxa"/>
                  <w:vAlign w:val="center"/>
                </w:tcPr>
                <w:p>
                  <w:pPr>
                    <w:pStyle w:val="69"/>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《病死畜禽和病害畜禽产品无害化处理管理办法》《关于进一步加强病死畜禽无害化处理工作的通知》</w:t>
                  </w:r>
                </w:p>
              </w:tc>
              <w:tc>
                <w:tcPr>
                  <w:tcW w:w="3538" w:type="dxa"/>
                  <w:vAlign w:val="center"/>
                </w:tcPr>
                <w:p>
                  <w:pPr>
                    <w:pStyle w:val="69"/>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1.从事畜禽饲养、屠宰、经营、隔离等活动的单位和个人，应当承担主体责任，按照本办法对病死畜禽和病害畜禽产品进行无害化处理，或者委托病死畜禽无害化处理场处理。</w:t>
                  </w:r>
                </w:p>
                <w:p>
                  <w:pPr>
                    <w:pStyle w:val="69"/>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2.规范病死畜禽无害化处理。集中无害化处理体系健全的地区，在做好动物疫病防控的前提下，原则上养殖场户的病死畜禽应委托专业无害化处理场进行集中处理。</w:t>
                  </w:r>
                </w:p>
              </w:tc>
              <w:tc>
                <w:tcPr>
                  <w:tcW w:w="2495" w:type="dxa"/>
                  <w:vAlign w:val="center"/>
                </w:tcPr>
                <w:p>
                  <w:pPr>
                    <w:pStyle w:val="69"/>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项目设置无害化处理间，对病死牛羊、检疫残肉、不可食用内脏进行无害化处理。</w:t>
                  </w:r>
                </w:p>
              </w:tc>
              <w:tc>
                <w:tcPr>
                  <w:tcW w:w="662" w:type="dxa"/>
                  <w:vAlign w:val="center"/>
                </w:tcPr>
                <w:p>
                  <w:pPr>
                    <w:pStyle w:val="69"/>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jc w:val="left"/>
              <w:textAlignment w:val="auto"/>
              <w:rPr>
                <w:rFonts w:hint="default" w:ascii="Times New Roman" w:hAnsi="Times New Roman" w:eastAsia="宋体" w:cs="Times New Roman"/>
                <w:kern w:val="0"/>
                <w:szCs w:val="21"/>
                <w:lang w:val="en-US" w:eastAsia="zh-CN"/>
              </w:rPr>
            </w:pPr>
          </w:p>
        </w:tc>
      </w:tr>
    </w:tbl>
    <w:p>
      <w:pPr>
        <w:spacing w:line="360" w:lineRule="auto"/>
        <w:outlineLvl w:val="0"/>
        <w:rPr>
          <w:rFonts w:hint="default" w:ascii="Times New Roman" w:hAnsi="Times New Roman" w:eastAsia="黑体" w:cs="Times New Roman"/>
          <w:sz w:val="30"/>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二、建设项目工程分析</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0" w:hRule="atLeast"/>
          <w:jc w:val="center"/>
        </w:trPr>
        <w:tc>
          <w:tcPr>
            <w:tcW w:w="650" w:type="dxa"/>
            <w:tcBorders>
              <w:bottom w:val="single" w:color="000000" w:sz="8" w:space="0"/>
            </w:tcBorders>
            <w:noWrap w:val="0"/>
            <w:vAlign w:val="center"/>
          </w:tcPr>
          <w:p>
            <w:pPr>
              <w:pStyle w:val="19"/>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8410" w:type="dxa"/>
            <w:tcBorders>
              <w:bottom w:val="single" w:color="000000" w:sz="8" w:space="0"/>
            </w:tcBorders>
            <w:noWrap w:val="0"/>
            <w:vAlign w:val="top"/>
          </w:tcPr>
          <w:p>
            <w:pPr>
              <w:pStyle w:val="2"/>
              <w:bidi w:val="0"/>
              <w:rPr>
                <w:rFonts w:hint="default"/>
                <w:lang w:val="en-US" w:eastAsia="zh-CN"/>
              </w:rPr>
            </w:pPr>
            <w:r>
              <w:rPr>
                <w:rFonts w:hint="default"/>
                <w:lang w:val="en-US" w:eastAsia="zh-CN"/>
              </w:rPr>
              <w:t>1</w:t>
            </w:r>
            <w:r>
              <w:rPr>
                <w:rFonts w:hint="eastAsia"/>
                <w:lang w:val="en-US" w:eastAsia="zh-CN"/>
              </w:rPr>
              <w:t>.项目背景</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近年来，随着人口增长和生活水平提高，牛羊肉消费持续增长，局部地区供求偏紧，市场价格持续上涨。随着牛羊肉养殖规模的不断增大，原有的牛羊肉屠宰加工、冷冻储藏能力已经不能满足现有需求，市场需求量越来越大。我国肉质产品生产多以小规模、作坊式为主，其工业化生产具有广阔的前景和巨大的经济增长空间。随着肉类行业的发展、需求的增加和工业化程度的提高，特色肉制品的加工、冷冻储藏量将显著增加，该领域存在巨大的发展空间。</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项目应用现代畜禽屠宰技术，鼓励当地农牧民积极发展特色养殖业，通过收购农牧民及合作社养殖的牛羊，增加农牧民的收入。增强企业服务“三农”、服务社会的能力，使企业与社会、基地农牧民以及市场形成和谐的循环圈。项目的实施有助于农产品质量安全问题的解决，对维护公众健康和食品安全具有十分重要的作用。本项目所产肉类食品除供给瓦石峡镇及周边所需外，还供应若羌县农副产品交易中心及各大连锁商超，有效提升全疆各地群众对肉类食品的品质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若羌县瓦石峡镇人民政府负责人为依利江·吐尔逊，统一社会信用代码为11652824010465928G，</w:t>
            </w:r>
            <w:r>
              <w:rPr>
                <w:rFonts w:hint="eastAsia" w:cs="Times New Roman"/>
                <w:color w:val="auto"/>
                <w:sz w:val="24"/>
                <w:lang w:val="en-US" w:eastAsia="zh-CN"/>
              </w:rPr>
              <w:t>项目</w:t>
            </w:r>
            <w:r>
              <w:rPr>
                <w:rFonts w:hint="default" w:ascii="Times New Roman" w:hAnsi="Times New Roman" w:cs="Times New Roman"/>
                <w:color w:val="auto"/>
                <w:sz w:val="24"/>
                <w:lang w:val="en-US" w:eastAsia="zh-CN"/>
              </w:rPr>
              <w:t>建设地点位于新疆维吾尔自治区巴音郭楞蒙古自治州若羌县瓦石峡镇苏贝什路以西，G315国道以南1.7公里处。</w:t>
            </w:r>
          </w:p>
          <w:p>
            <w:pPr>
              <w:pStyle w:val="2"/>
              <w:bidi w:val="0"/>
              <w:rPr>
                <w:rFonts w:hint="default"/>
                <w:lang w:val="en-US" w:eastAsia="zh-CN"/>
              </w:rPr>
            </w:pPr>
            <w:r>
              <w:rPr>
                <w:rFonts w:hint="eastAsia"/>
                <w:lang w:val="en-US" w:eastAsia="zh-CN"/>
              </w:rPr>
              <w:t>2.编制依据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color w:val="auto"/>
                <w:sz w:val="24"/>
                <w:szCs w:val="24"/>
                <w:highlight w:val="none"/>
                <w:lang w:val="en-US" w:eastAsia="zh-CN"/>
              </w:rPr>
              <w:t>按照《中华人民共和国环境保护法》《建设项目环境保护管理条例》和《建设项目环境影响评价分类管理名录》等有关法律法规规定</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lang w:val="en-US" w:eastAsia="zh-CN"/>
              </w:rPr>
              <w:t>项目属《名录》所列</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十、</w:t>
            </w:r>
            <w:r>
              <w:rPr>
                <w:rFonts w:hint="default" w:ascii="Times New Roman" w:hAnsi="Times New Roman" w:cs="Times New Roman"/>
                <w:color w:val="auto"/>
                <w:sz w:val="24"/>
                <w:lang w:val="en-US" w:eastAsia="zh-CN"/>
              </w:rPr>
              <w:t>农副食品加工业</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屠宰及肉类加工135</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其他屠宰；年加工2万吨及以上肉类加工</w:t>
            </w:r>
            <w:r>
              <w:rPr>
                <w:rFonts w:hint="eastAsia" w:cs="Times New Roman"/>
                <w:color w:val="auto"/>
                <w:sz w:val="24"/>
                <w:lang w:val="en-US" w:eastAsia="zh-CN"/>
              </w:rPr>
              <w:t>”</w:t>
            </w:r>
            <w:r>
              <w:rPr>
                <w:rFonts w:hint="default" w:ascii="Times New Roman" w:hAnsi="Times New Roman" w:eastAsia="宋体" w:cs="Times New Roman"/>
                <w:sz w:val="24"/>
                <w:lang w:val="en-US" w:eastAsia="zh-CN"/>
              </w:rPr>
              <w:t>，应编制环境影响报告表。受建设单位委托，新疆领畅环保科技有限公司承担了本项目的环境影响评价工作。接受委托后，环评单位在现场踏勘和资料收集的基础上，编制完成了《2025年若羌县瓦石峡镇标准化屠宰点建设项目》环境影响报告表，审批后作为环保部门和该企业进行环境管理的依据。</w:t>
            </w:r>
          </w:p>
          <w:p>
            <w:pPr>
              <w:pStyle w:val="2"/>
              <w:bidi w:val="0"/>
              <w:rPr>
                <w:rFonts w:hint="eastAsia" w:cs="Times New Roman"/>
                <w:b/>
                <w:bCs/>
                <w:kern w:val="2"/>
                <w:sz w:val="24"/>
                <w:szCs w:val="24"/>
                <w:lang w:val="en-US" w:eastAsia="zh-CN" w:bidi="ar-SA"/>
              </w:rPr>
            </w:pPr>
            <w:r>
              <w:rPr>
                <w:rFonts w:hint="eastAsia" w:cs="Times New Roman"/>
                <w:b/>
                <w:bCs/>
                <w:kern w:val="2"/>
                <w:sz w:val="24"/>
                <w:szCs w:val="24"/>
                <w:lang w:val="en-US" w:eastAsia="zh-CN" w:bidi="ar-SA"/>
              </w:rPr>
              <w:t>3.项目位置</w:t>
            </w:r>
          </w:p>
          <w:p>
            <w:pPr>
              <w:pStyle w:val="7"/>
              <w:keepNext w:val="0"/>
              <w:keepLines w:val="0"/>
              <w:pageBreakBefore w:val="0"/>
              <w:widowControl/>
              <w:kinsoku/>
              <w:wordWrap w:val="0"/>
              <w:overflowPunct/>
              <w:topLinePunct w:val="0"/>
              <w:autoSpaceDE/>
              <w:autoSpaceDN/>
              <w:bidi w:val="0"/>
              <w:adjustRightInd/>
              <w:snapToGrid w:val="0"/>
              <w:textAlignment w:val="auto"/>
              <w:rPr>
                <w:rFonts w:hint="default"/>
                <w:lang w:val="en-US" w:eastAsia="zh-CN"/>
              </w:rPr>
            </w:pPr>
            <w:r>
              <w:rPr>
                <w:rFonts w:hint="default"/>
                <w:lang w:val="en-US" w:eastAsia="zh-CN"/>
              </w:rPr>
              <w:t>本项目位于</w:t>
            </w:r>
            <w:r>
              <w:rPr>
                <w:rFonts w:hint="default"/>
                <w:highlight w:val="none"/>
                <w:lang w:val="en-US" w:eastAsia="zh-CN"/>
              </w:rPr>
              <w:t>新疆维吾尔自治区巴音郭楞蒙古自治州若羌县瓦石峡镇苏贝什路以西，G315国道以南1.7公里处，中心地理坐标为E87°21′11.813″</w:t>
            </w:r>
            <w:r>
              <w:rPr>
                <w:rFonts w:hint="eastAsia"/>
                <w:highlight w:val="none"/>
                <w:lang w:val="en-US" w:eastAsia="zh-CN"/>
              </w:rPr>
              <w:t>，</w:t>
            </w:r>
            <w:r>
              <w:rPr>
                <w:rFonts w:hint="default"/>
                <w:highlight w:val="none"/>
                <w:lang w:val="en-US" w:eastAsia="zh-CN"/>
              </w:rPr>
              <w:t>N38°40′1.247″。</w:t>
            </w:r>
            <w:r>
              <w:rPr>
                <w:rFonts w:hint="default"/>
                <w:lang w:val="en-US" w:eastAsia="zh-CN"/>
              </w:rPr>
              <w:t>地理位置见附图。</w:t>
            </w:r>
          </w:p>
          <w:p>
            <w:pPr>
              <w:pStyle w:val="7"/>
              <w:bidi w:val="0"/>
              <w:rPr>
                <w:rFonts w:hint="default"/>
                <w:lang w:val="en-US" w:eastAsia="zh-CN"/>
              </w:rPr>
            </w:pPr>
            <w:r>
              <w:rPr>
                <w:rFonts w:hint="default"/>
                <w:lang w:val="en-US" w:eastAsia="zh-CN"/>
              </w:rPr>
              <w:t>根据现场踏勘，</w:t>
            </w:r>
            <w:r>
              <w:rPr>
                <w:rFonts w:hint="default"/>
                <w:highlight w:val="none"/>
                <w:lang w:val="en-US" w:eastAsia="zh-CN"/>
              </w:rPr>
              <w:t>项目区</w:t>
            </w:r>
            <w:r>
              <w:rPr>
                <w:rFonts w:hint="eastAsia"/>
                <w:highlight w:val="none"/>
                <w:lang w:val="en-US" w:eastAsia="zh-CN"/>
              </w:rPr>
              <w:t>南、北</w:t>
            </w:r>
            <w:r>
              <w:rPr>
                <w:rFonts w:hint="default"/>
                <w:highlight w:val="none"/>
                <w:lang w:val="en-US" w:eastAsia="zh-CN"/>
              </w:rPr>
              <w:t>侧为空地</w:t>
            </w:r>
            <w:r>
              <w:rPr>
                <w:rFonts w:hint="eastAsia"/>
                <w:highlight w:val="none"/>
                <w:lang w:val="en-US" w:eastAsia="zh-CN"/>
              </w:rPr>
              <w:t>，</w:t>
            </w:r>
            <w:r>
              <w:rPr>
                <w:rFonts w:hint="default"/>
                <w:highlight w:val="none"/>
                <w:lang w:val="en-US" w:eastAsia="zh-CN"/>
              </w:rPr>
              <w:t>东</w:t>
            </w:r>
            <w:r>
              <w:rPr>
                <w:rFonts w:hint="eastAsia"/>
                <w:highlight w:val="none"/>
                <w:lang w:val="en-US" w:eastAsia="zh-CN"/>
              </w:rPr>
              <w:t>、西</w:t>
            </w:r>
            <w:r>
              <w:rPr>
                <w:rFonts w:hint="default"/>
                <w:highlight w:val="none"/>
                <w:lang w:val="en-US" w:eastAsia="zh-CN"/>
              </w:rPr>
              <w:t>侧为</w:t>
            </w:r>
            <w:r>
              <w:rPr>
                <w:rFonts w:hint="eastAsia"/>
                <w:highlight w:val="none"/>
                <w:lang w:val="en-US" w:eastAsia="zh-CN"/>
              </w:rPr>
              <w:t>农田</w:t>
            </w:r>
            <w:r>
              <w:rPr>
                <w:rFonts w:hint="eastAsia"/>
                <w:lang w:val="en-US" w:eastAsia="zh-CN"/>
              </w:rPr>
              <w:t>。</w:t>
            </w:r>
            <w:r>
              <w:rPr>
                <w:rFonts w:hint="default"/>
                <w:lang w:val="en-US" w:eastAsia="zh-CN"/>
              </w:rPr>
              <w:t>周边环境关系见附图</w:t>
            </w:r>
            <w:r>
              <w:rPr>
                <w:rFonts w:hint="eastAsia"/>
                <w:lang w:val="en-US" w:eastAsia="zh-CN"/>
              </w:rPr>
              <w:t>。</w:t>
            </w:r>
          </w:p>
          <w:p>
            <w:pPr>
              <w:pStyle w:val="2"/>
              <w:bidi w:val="0"/>
              <w:rPr>
                <w:rFonts w:hint="default"/>
                <w:lang w:val="en-US" w:eastAsia="zh-CN"/>
              </w:rPr>
            </w:pPr>
            <w:r>
              <w:rPr>
                <w:rFonts w:hint="eastAsia"/>
                <w:lang w:val="en-US" w:eastAsia="zh-CN"/>
              </w:rPr>
              <w:t>4.</w:t>
            </w:r>
            <w:r>
              <w:rPr>
                <w:rFonts w:hint="default"/>
              </w:rPr>
              <w:t>建设内容与规模</w:t>
            </w:r>
          </w:p>
          <w:p>
            <w:pPr>
              <w:pStyle w:val="55"/>
              <w:spacing w:line="520" w:lineRule="exact"/>
              <w:ind w:firstLine="480" w:firstLineChars="200"/>
              <w:rPr>
                <w:rFonts w:hint="default" w:ascii="Times New Roman" w:hAnsi="Times New Roman" w:eastAsia="宋体" w:cs="Times New Roman"/>
                <w:color w:val="auto"/>
                <w:sz w:val="24"/>
                <w:szCs w:val="24"/>
                <w:highlight w:val="green"/>
                <w:lang w:val="en-US" w:eastAsia="zh-CN"/>
              </w:rPr>
            </w:pPr>
            <w:r>
              <w:rPr>
                <w:rFonts w:hint="default" w:ascii="Times New Roman" w:hAnsi="Times New Roman" w:cs="Times New Roman"/>
                <w:sz w:val="24"/>
                <w:szCs w:val="24"/>
                <w:lang w:val="en-US" w:eastAsia="zh-CN"/>
              </w:rPr>
              <w:t>本项目建设标准化屠宰点1座，配套相关附属设施建设</w:t>
            </w:r>
            <w:r>
              <w:rPr>
                <w:rFonts w:hint="eastAsia" w:ascii="Times New Roman" w:cs="Times New Roman"/>
                <w:sz w:val="24"/>
                <w:szCs w:val="24"/>
                <w:lang w:val="en-US" w:eastAsia="zh-CN"/>
              </w:rPr>
              <w:t>，占地2100m</w:t>
            </w:r>
            <w:r>
              <w:rPr>
                <w:rFonts w:hint="eastAsia" w:ascii="Times New Roman" w:cs="Times New Roman"/>
                <w:sz w:val="24"/>
                <w:szCs w:val="24"/>
                <w:vertAlign w:val="superscript"/>
                <w:lang w:val="en-US" w:eastAsia="zh-CN"/>
              </w:rPr>
              <w:t>2</w:t>
            </w:r>
            <w:r>
              <w:rPr>
                <w:rFonts w:hint="eastAsia" w:ascii="Times New Roman" w:cs="Times New Roman"/>
                <w:sz w:val="24"/>
                <w:szCs w:val="24"/>
                <w:lang w:val="en-US" w:eastAsia="zh-CN"/>
              </w:rPr>
              <w:t>。</w:t>
            </w:r>
            <w:r>
              <w:rPr>
                <w:rFonts w:hint="eastAsia" w:ascii="Times New Roman" w:hAnsi="Times New Roman" w:cs="Times New Roman"/>
                <w:sz w:val="24"/>
                <w:szCs w:val="24"/>
                <w:lang w:val="en-US" w:eastAsia="zh-CN"/>
              </w:rPr>
              <w:t>设1条屠宰生产线，最大生产能力为日屠宰肉</w:t>
            </w:r>
            <w:r>
              <w:rPr>
                <w:rFonts w:hint="eastAsia" w:ascii="Times New Roman" w:hAnsi="Times New Roman" w:cs="Times New Roman"/>
                <w:sz w:val="24"/>
                <w:szCs w:val="24"/>
                <w:highlight w:val="none"/>
                <w:lang w:val="en-US" w:eastAsia="zh-CN"/>
              </w:rPr>
              <w:t>羊</w:t>
            </w:r>
            <w:r>
              <w:rPr>
                <w:rFonts w:hint="eastAsia" w:ascii="Times New Roman" w:cs="Times New Roman"/>
                <w:sz w:val="24"/>
                <w:szCs w:val="24"/>
                <w:highlight w:val="none"/>
                <w:lang w:val="en-US" w:eastAsia="zh-CN"/>
              </w:rPr>
              <w:t>60</w:t>
            </w:r>
            <w:r>
              <w:rPr>
                <w:rFonts w:hint="eastAsia" w:ascii="Times New Roman" w:hAnsi="Times New Roman" w:cs="Times New Roman"/>
                <w:sz w:val="24"/>
                <w:szCs w:val="24"/>
                <w:highlight w:val="none"/>
                <w:lang w:val="en-US" w:eastAsia="zh-CN"/>
              </w:rPr>
              <w:t>头、肉牛</w:t>
            </w:r>
            <w:r>
              <w:rPr>
                <w:rFonts w:hint="eastAsia" w:ascii="Times New Roman" w:cs="Times New Roman"/>
                <w:sz w:val="24"/>
                <w:szCs w:val="24"/>
                <w:highlight w:val="none"/>
                <w:lang w:val="en-US" w:eastAsia="zh-CN"/>
              </w:rPr>
              <w:t>6</w:t>
            </w:r>
            <w:r>
              <w:rPr>
                <w:rFonts w:hint="eastAsia" w:ascii="Times New Roman" w:hAnsi="Times New Roman" w:cs="Times New Roman"/>
                <w:sz w:val="24"/>
                <w:szCs w:val="24"/>
                <w:highlight w:val="none"/>
                <w:lang w:val="en-US" w:eastAsia="zh-CN"/>
              </w:rPr>
              <w:t>头（年工作300天，年屠宰肉羊</w:t>
            </w:r>
            <w:r>
              <w:rPr>
                <w:rFonts w:hint="eastAsia" w:ascii="Times New Roman" w:cs="Times New Roman"/>
                <w:sz w:val="24"/>
                <w:szCs w:val="24"/>
                <w:highlight w:val="none"/>
                <w:lang w:val="en-US" w:eastAsia="zh-CN"/>
              </w:rPr>
              <w:t>18000</w:t>
            </w:r>
            <w:r>
              <w:rPr>
                <w:rFonts w:hint="eastAsia" w:ascii="Times New Roman" w:hAnsi="Times New Roman" w:cs="Times New Roman"/>
                <w:sz w:val="24"/>
                <w:szCs w:val="24"/>
                <w:highlight w:val="none"/>
                <w:lang w:val="en-US" w:eastAsia="zh-CN"/>
              </w:rPr>
              <w:t>头、肉牛</w:t>
            </w:r>
            <w:r>
              <w:rPr>
                <w:rFonts w:hint="eastAsia" w:ascii="Times New Roman" w:cs="Times New Roman"/>
                <w:sz w:val="24"/>
                <w:szCs w:val="24"/>
                <w:highlight w:val="none"/>
                <w:lang w:val="en-US" w:eastAsia="zh-CN"/>
              </w:rPr>
              <w:t>1800</w:t>
            </w:r>
            <w:r>
              <w:rPr>
                <w:rFonts w:hint="eastAsia" w:ascii="Times New Roman" w:hAnsi="Times New Roman" w:cs="Times New Roman"/>
                <w:sz w:val="24"/>
                <w:szCs w:val="24"/>
                <w:highlight w:val="none"/>
                <w:lang w:val="en-US" w:eastAsia="zh-CN"/>
              </w:rPr>
              <w:t>头）</w:t>
            </w:r>
            <w:r>
              <w:rPr>
                <w:rFonts w:hint="default" w:ascii="Times New Roman" w:hAnsi="Times New Roman" w:cs="Times New Roman"/>
                <w:sz w:val="24"/>
                <w:szCs w:val="24"/>
                <w:highlight w:val="none"/>
                <w:lang w:val="en-US" w:eastAsia="zh-CN"/>
              </w:rPr>
              <w:t>。</w:t>
            </w:r>
          </w:p>
          <w:p>
            <w:pPr>
              <w:pStyle w:val="49"/>
              <w:bidi w:val="0"/>
              <w:rPr>
                <w:rFonts w:hint="default"/>
              </w:rPr>
            </w:pPr>
            <w:r>
              <w:rPr>
                <w:rFonts w:hint="default" w:ascii="Times New Roman" w:hAnsi="Times New Roman" w:cs="Times New Roman"/>
              </w:rPr>
              <w:t>表</w:t>
            </w:r>
            <w:r>
              <w:rPr>
                <w:rFonts w:hint="default" w:ascii="Times New Roman" w:hAnsi="Times New Roman" w:cs="Times New Roman"/>
                <w:lang w:val="en-US" w:eastAsia="zh-CN"/>
              </w:rPr>
              <w:t xml:space="preserve">2-1 </w:t>
            </w:r>
            <w:r>
              <w:rPr>
                <w:rFonts w:hint="eastAsia"/>
                <w:lang w:val="en-US" w:eastAsia="zh-CN"/>
              </w:rPr>
              <w:t xml:space="preserve">  </w:t>
            </w:r>
            <w:r>
              <w:rPr>
                <w:rFonts w:hint="default"/>
              </w:rPr>
              <w:t>项目组成一览表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3"/>
              <w:gridCol w:w="974"/>
              <w:gridCol w:w="738"/>
              <w:gridCol w:w="1349"/>
              <w:gridCol w:w="346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sz w:val="21"/>
                      <w:szCs w:val="21"/>
                    </w:rPr>
                    <w:t>工程内容</w:t>
                  </w:r>
                </w:p>
              </w:tc>
              <w:tc>
                <w:tcPr>
                  <w:tcW w:w="55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sz w:val="21"/>
                      <w:szCs w:val="21"/>
                      <w:lang w:eastAsia="zh-CN"/>
                    </w:rPr>
                    <w:t>项目组成</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3" w:hRule="atLeast"/>
                <w:jc w:val="center"/>
              </w:trPr>
              <w:tc>
                <w:tcPr>
                  <w:tcW w:w="643"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主体工程</w:t>
                  </w:r>
                </w:p>
              </w:tc>
              <w:tc>
                <w:tcPr>
                  <w:tcW w:w="97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屠宰车间</w:t>
                  </w:r>
                </w:p>
              </w:tc>
              <w:tc>
                <w:tcPr>
                  <w:tcW w:w="5550" w:type="dxa"/>
                  <w:gridSpan w:val="3"/>
                  <w:tcBorders>
                    <w:top w:val="single" w:color="auto" w:sz="4" w:space="0"/>
                    <w:left w:val="single" w:color="auto" w:sz="4" w:space="0"/>
                    <w:right w:val="single" w:color="auto" w:sz="4" w:space="0"/>
                  </w:tcBorders>
                  <w:noWrap w:val="0"/>
                  <w:vAlign w:val="center"/>
                </w:tcPr>
                <w:p>
                  <w:pPr>
                    <w:ind w:firstLine="420" w:firstLineChars="200"/>
                    <w:jc w:val="center"/>
                    <w:rPr>
                      <w:rFonts w:hint="default" w:ascii="Times New Roman" w:hAnsi="Times New Roman" w:cs="Times New Roman"/>
                      <w:lang w:val="en-US" w:eastAsia="zh-CN"/>
                    </w:rPr>
                  </w:pPr>
                  <w:r>
                    <w:rPr>
                      <w:rFonts w:hint="default" w:ascii="Times New Roman" w:hAnsi="Times New Roman" w:cs="Times New Roman"/>
                      <w:lang w:val="en-US" w:eastAsia="zh-CN"/>
                    </w:rPr>
                    <w:t>1F，建筑面积为</w:t>
                  </w:r>
                  <w:r>
                    <w:rPr>
                      <w:rFonts w:hint="eastAsia" w:ascii="Times New Roman" w:hAnsi="Times New Roman" w:cs="Times New Roman"/>
                      <w:lang w:val="en-US" w:eastAsia="zh-CN"/>
                    </w:rPr>
                    <w:t>300</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，设置日处理6</w:t>
                  </w:r>
                  <w:r>
                    <w:rPr>
                      <w:rFonts w:hint="eastAsia" w:cs="Times New Roman"/>
                      <w:lang w:val="en-US" w:eastAsia="zh-CN"/>
                    </w:rPr>
                    <w:t>0</w:t>
                  </w:r>
                  <w:r>
                    <w:rPr>
                      <w:rFonts w:hint="default" w:ascii="Times New Roman" w:hAnsi="Times New Roman" w:cs="Times New Roman"/>
                      <w:lang w:val="en-US" w:eastAsia="zh-CN"/>
                    </w:rPr>
                    <w:t>头肉羊、</w:t>
                  </w:r>
                  <w:r>
                    <w:rPr>
                      <w:rFonts w:hint="eastAsia" w:cs="Times New Roman"/>
                      <w:lang w:val="en-US" w:eastAsia="zh-CN"/>
                    </w:rPr>
                    <w:t>6</w:t>
                  </w:r>
                  <w:r>
                    <w:rPr>
                      <w:rFonts w:hint="default" w:ascii="Times New Roman" w:hAnsi="Times New Roman" w:cs="Times New Roman"/>
                      <w:lang w:val="en-US" w:eastAsia="zh-CN"/>
                    </w:rPr>
                    <w:t>头肉牛生产线一条，包括加工分割区</w:t>
                  </w:r>
                  <w:r>
                    <w:rPr>
                      <w:rFonts w:hint="eastAsia" w:cs="Times New Roman"/>
                      <w:lang w:val="en-US" w:eastAsia="zh-CN"/>
                    </w:rPr>
                    <w:t>、卫生间等</w:t>
                  </w:r>
                  <w:r>
                    <w:rPr>
                      <w:rFonts w:hint="default" w:ascii="Times New Roman" w:hAnsi="Times New Roman" w:cs="Times New Roman"/>
                      <w:lang w:val="en-US" w:eastAsia="zh-CN"/>
                    </w:rPr>
                    <w:t>。</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新建</w:t>
                  </w:r>
                  <w:r>
                    <w:rPr>
                      <w:rFonts w:hint="eastAsia" w:cs="Times New Roman"/>
                      <w:lang w:val="en-US" w:eastAsia="zh-CN"/>
                    </w:rPr>
                    <w:t>，门式钢架结构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 w:hRule="atLeast"/>
                <w:jc w:val="center"/>
              </w:trPr>
              <w:tc>
                <w:tcPr>
                  <w:tcW w:w="6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rPr>
                  </w:pPr>
                </w:p>
              </w:tc>
              <w:tc>
                <w:tcPr>
                  <w:tcW w:w="97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待宰</w:t>
                  </w:r>
                  <w:r>
                    <w:rPr>
                      <w:rFonts w:hint="eastAsia" w:cs="Times New Roman"/>
                      <w:lang w:val="en-US" w:eastAsia="zh-CN"/>
                    </w:rPr>
                    <w:t>圈</w:t>
                  </w:r>
                </w:p>
              </w:tc>
              <w:tc>
                <w:tcPr>
                  <w:tcW w:w="5550" w:type="dxa"/>
                  <w:gridSpan w:val="3"/>
                  <w:tcBorders>
                    <w:top w:val="single" w:color="auto" w:sz="4" w:space="0"/>
                    <w:left w:val="single" w:color="auto" w:sz="4" w:space="0"/>
                    <w:right w:val="single" w:color="auto" w:sz="4" w:space="0"/>
                  </w:tcBorders>
                  <w:noWrap w:val="0"/>
                  <w:vAlign w:val="center"/>
                </w:tcPr>
                <w:p>
                  <w:pPr>
                    <w:ind w:firstLine="420" w:firstLineChars="200"/>
                    <w:jc w:val="center"/>
                    <w:rPr>
                      <w:rFonts w:hint="default" w:ascii="Times New Roman" w:hAnsi="Times New Roman" w:cs="Times New Roman"/>
                      <w:vertAlign w:val="baseline"/>
                      <w:lang w:val="en-US" w:eastAsia="zh-CN"/>
                    </w:rPr>
                  </w:pPr>
                  <w:r>
                    <w:rPr>
                      <w:rFonts w:hint="eastAsia" w:ascii="Times New Roman" w:hAnsi="Times New Roman" w:cs="Times New Roman"/>
                      <w:lang w:val="en-US" w:eastAsia="zh-CN"/>
                    </w:rPr>
                    <w:t>1F，建筑面积为88.5m</w:t>
                  </w:r>
                  <w:r>
                    <w:rPr>
                      <w:rFonts w:hint="eastAsia" w:ascii="Times New Roman" w:hAnsi="Times New Roman" w:cs="Times New Roman"/>
                      <w:vertAlign w:val="superscript"/>
                      <w:lang w:val="en-US" w:eastAsia="zh-CN"/>
                    </w:rPr>
                    <w:t>2</w:t>
                  </w:r>
                  <w:r>
                    <w:rPr>
                      <w:rFonts w:hint="eastAsia" w:ascii="Times New Roman" w:hAnsi="Times New Roman" w:cs="Times New Roman"/>
                      <w:vertAlign w:val="baseline"/>
                      <w:lang w:val="en-US" w:eastAsia="zh-CN"/>
                    </w:rPr>
                    <w:t>，用于牛羊</w:t>
                  </w:r>
                  <w:r>
                    <w:rPr>
                      <w:rFonts w:hint="eastAsia" w:cs="Times New Roman"/>
                      <w:vertAlign w:val="baseline"/>
                      <w:lang w:val="en-US" w:eastAsia="zh-CN"/>
                    </w:rPr>
                    <w:t>待</w:t>
                  </w:r>
                  <w:r>
                    <w:rPr>
                      <w:rFonts w:hint="eastAsia" w:ascii="Times New Roman" w:hAnsi="Times New Roman" w:cs="Times New Roman"/>
                      <w:vertAlign w:val="baseline"/>
                      <w:lang w:val="en-US" w:eastAsia="zh-CN"/>
                    </w:rPr>
                    <w:t>宰休息。</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新建，门式钢架结构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7" w:hRule="atLeast"/>
                <w:jc w:val="center"/>
              </w:trPr>
              <w:tc>
                <w:tcPr>
                  <w:tcW w:w="643" w:type="dxa"/>
                  <w:vMerge w:val="restart"/>
                  <w:tcBorders>
                    <w:left w:val="single" w:color="auto" w:sz="4" w:space="0"/>
                    <w:right w:val="single" w:color="auto" w:sz="4" w:space="0"/>
                  </w:tcBorders>
                  <w:noWrap w:val="0"/>
                  <w:vAlign w:val="center"/>
                </w:tcPr>
                <w:p>
                  <w:pPr>
                    <w:widowControl/>
                    <w:jc w:val="center"/>
                    <w:rPr>
                      <w:rFonts w:hint="default" w:ascii="Times New Roman" w:hAnsi="Times New Roman" w:cs="Times New Roman"/>
                      <w:lang w:val="en-US" w:eastAsia="zh-CN"/>
                    </w:rPr>
                  </w:pPr>
                  <w:r>
                    <w:rPr>
                      <w:rFonts w:hint="default" w:ascii="Times New Roman" w:hAnsi="Times New Roman" w:cs="Times New Roman"/>
                      <w:lang w:val="en-US" w:eastAsia="zh-CN"/>
                    </w:rPr>
                    <w:t>辅助工程</w:t>
                  </w:r>
                </w:p>
              </w:tc>
              <w:tc>
                <w:tcPr>
                  <w:tcW w:w="974"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消毒间</w:t>
                  </w:r>
                </w:p>
              </w:tc>
              <w:tc>
                <w:tcPr>
                  <w:tcW w:w="5550"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1F，建筑面积为15.97m</w:t>
                  </w:r>
                  <w:r>
                    <w:rPr>
                      <w:rFonts w:hint="default" w:ascii="Times New Roman" w:hAnsi="Times New Roman" w:cs="Times New Roman"/>
                      <w:vertAlign w:val="superscript"/>
                      <w:lang w:val="en-US" w:eastAsia="zh-CN"/>
                    </w:rPr>
                    <w:t>2</w:t>
                  </w:r>
                  <w:r>
                    <w:rPr>
                      <w:rFonts w:hint="eastAsia" w:ascii="Times New Roman" w:hAnsi="Times New Roman" w:cs="Times New Roman"/>
                      <w:vertAlign w:val="baseline"/>
                      <w:lang w:val="en-US" w:eastAsia="zh-CN"/>
                    </w:rPr>
                    <w:t>，为出入牲畜运输车辆消毒。</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新建</w:t>
                  </w:r>
                  <w:r>
                    <w:rPr>
                      <w:rFonts w:hint="eastAsia" w:cs="Times New Roman"/>
                      <w:lang w:val="en-US" w:eastAsia="zh-CN"/>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4"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lang w:val="en-US" w:eastAsia="zh-CN"/>
                    </w:rPr>
                  </w:pPr>
                </w:p>
              </w:tc>
              <w:tc>
                <w:tcPr>
                  <w:tcW w:w="974" w:type="dxa"/>
                  <w:tcBorders>
                    <w:top w:val="single" w:color="auto" w:sz="4" w:space="0"/>
                    <w:left w:val="single" w:color="auto" w:sz="4" w:space="0"/>
                    <w:right w:val="single" w:color="auto" w:sz="4" w:space="0"/>
                  </w:tcBorders>
                  <w:noWrap w:val="0"/>
                  <w:vAlign w:val="center"/>
                </w:tcPr>
                <w:p>
                  <w:pPr>
                    <w:jc w:val="center"/>
                    <w:rPr>
                      <w:rFonts w:hint="default" w:cs="Times New Roman"/>
                      <w:lang w:val="en-US" w:eastAsia="zh-CN"/>
                    </w:rPr>
                  </w:pPr>
                  <w:r>
                    <w:rPr>
                      <w:rFonts w:hint="eastAsia" w:cs="Times New Roman"/>
                      <w:lang w:val="en-US" w:eastAsia="zh-CN"/>
                    </w:rPr>
                    <w:t>检疫室</w:t>
                  </w:r>
                </w:p>
              </w:tc>
              <w:tc>
                <w:tcPr>
                  <w:tcW w:w="5550"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位于屠宰车间内，用于牲畜检疫化验</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新建，门式钢架结构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4"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lang w:val="en-US" w:eastAsia="zh-CN"/>
                    </w:rPr>
                  </w:pPr>
                </w:p>
              </w:tc>
              <w:tc>
                <w:tcPr>
                  <w:tcW w:w="974"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门卫室</w:t>
                  </w:r>
                </w:p>
              </w:tc>
              <w:tc>
                <w:tcPr>
                  <w:tcW w:w="5550"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1F，建筑面积</w:t>
                  </w:r>
                  <w:r>
                    <w:rPr>
                      <w:rFonts w:hint="eastAsia" w:ascii="Times New Roman" w:hAnsi="Times New Roman" w:cs="Times New Roman"/>
                      <w:lang w:val="en-US" w:eastAsia="zh-CN"/>
                    </w:rPr>
                    <w:t>为15.97</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default" w:ascii="Times New Roman" w:hAnsi="Times New Roman" w:cs="Times New Roman"/>
                      <w:vertAlign w:val="baseline"/>
                      <w:lang w:val="en-US" w:eastAsia="zh-CN"/>
                    </w:rPr>
                    <w:t>。</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新建</w:t>
                  </w:r>
                  <w:r>
                    <w:rPr>
                      <w:rFonts w:hint="eastAsia" w:cs="Times New Roman"/>
                      <w:lang w:val="en-US" w:eastAsia="zh-CN"/>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4"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lang w:val="en-US" w:eastAsia="zh-CN"/>
                    </w:rPr>
                  </w:pPr>
                </w:p>
              </w:tc>
              <w:tc>
                <w:tcPr>
                  <w:tcW w:w="974"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lang w:val="en-US" w:eastAsia="zh-CN"/>
                    </w:rPr>
                  </w:pPr>
                  <w:r>
                    <w:rPr>
                      <w:rFonts w:hint="eastAsia" w:cs="Times New Roman"/>
                      <w:lang w:val="en-US" w:eastAsia="zh-CN"/>
                    </w:rPr>
                    <w:t>深埋井</w:t>
                  </w:r>
                </w:p>
              </w:tc>
              <w:tc>
                <w:tcPr>
                  <w:tcW w:w="5550"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lang w:val="en-US" w:eastAsia="zh-CN"/>
                    </w:rPr>
                  </w:pPr>
                  <w:r>
                    <w:rPr>
                      <w:rFonts w:hint="eastAsia" w:cs="Times New Roman"/>
                      <w:lang w:val="en-US" w:eastAsia="zh-CN"/>
                    </w:rPr>
                    <w:t>在项目区下风向350m处设置一处深埋井</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2" w:hRule="atLeast"/>
                <w:jc w:val="center"/>
              </w:trPr>
              <w:tc>
                <w:tcPr>
                  <w:tcW w:w="643" w:type="dxa"/>
                  <w:vMerge w:val="restart"/>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cs="Times New Roman"/>
                      <w:lang w:eastAsia="zh-CN"/>
                    </w:rPr>
                    <w:t>储运工程</w:t>
                  </w:r>
                </w:p>
              </w:tc>
              <w:tc>
                <w:tcPr>
                  <w:tcW w:w="97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lang w:val="en-US" w:eastAsia="zh-CN"/>
                    </w:rPr>
                  </w:pPr>
                  <w:r>
                    <w:rPr>
                      <w:rFonts w:hint="eastAsia" w:ascii="Times New Roman" w:hAnsi="Times New Roman" w:cs="Times New Roman"/>
                      <w:lang w:val="en-US" w:eastAsia="zh-CN"/>
                    </w:rPr>
                    <w:t>冷藏库</w:t>
                  </w:r>
                </w:p>
              </w:tc>
              <w:tc>
                <w:tcPr>
                  <w:tcW w:w="5550" w:type="dxa"/>
                  <w:gridSpan w:val="3"/>
                  <w:tcBorders>
                    <w:top w:val="single" w:color="auto" w:sz="4" w:space="0"/>
                    <w:left w:val="single" w:color="auto" w:sz="4" w:space="0"/>
                    <w:right w:val="single" w:color="auto" w:sz="4" w:space="0"/>
                  </w:tcBorders>
                  <w:noWrap w:val="0"/>
                  <w:vAlign w:val="center"/>
                </w:tcPr>
                <w:p>
                  <w:pPr>
                    <w:ind w:firstLine="420" w:firstLineChars="200"/>
                    <w:jc w:val="center"/>
                    <w:rPr>
                      <w:rFonts w:hint="default" w:ascii="Times New Roman" w:hAnsi="Times New Roman" w:cs="Times New Roman"/>
                      <w:lang w:val="en-US" w:eastAsia="zh-CN"/>
                    </w:rPr>
                  </w:pPr>
                  <w:r>
                    <w:rPr>
                      <w:rFonts w:hint="default" w:ascii="Times New Roman" w:hAnsi="Times New Roman" w:cs="Times New Roman"/>
                      <w:lang w:val="en-US" w:eastAsia="zh-CN"/>
                    </w:rPr>
                    <w:t>1F，建筑面积为</w:t>
                  </w:r>
                  <w:r>
                    <w:rPr>
                      <w:rFonts w:hint="eastAsia" w:ascii="Times New Roman" w:hAnsi="Times New Roman" w:cs="Times New Roman"/>
                      <w:lang w:val="en-US" w:eastAsia="zh-CN"/>
                    </w:rPr>
                    <w:t>73.96</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新建</w:t>
                  </w:r>
                  <w:r>
                    <w:rPr>
                      <w:rFonts w:hint="eastAsia" w:cs="Times New Roman"/>
                      <w:lang w:val="en-US" w:eastAsia="zh-CN"/>
                    </w:rPr>
                    <w:t>，框架结构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2"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lang w:eastAsia="zh-CN"/>
                    </w:rPr>
                  </w:pPr>
                </w:p>
              </w:tc>
              <w:tc>
                <w:tcPr>
                  <w:tcW w:w="974"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危险废物贮存点</w:t>
                  </w:r>
                </w:p>
              </w:tc>
              <w:tc>
                <w:tcPr>
                  <w:tcW w:w="5550" w:type="dxa"/>
                  <w:gridSpan w:val="3"/>
                  <w:tcBorders>
                    <w:top w:val="single" w:color="auto" w:sz="4" w:space="0"/>
                    <w:left w:val="single" w:color="auto" w:sz="4" w:space="0"/>
                    <w:right w:val="single" w:color="auto" w:sz="4" w:space="0"/>
                  </w:tcBorders>
                  <w:noWrap w:val="0"/>
                  <w:vAlign w:val="center"/>
                </w:tcPr>
                <w:p>
                  <w:pPr>
                    <w:ind w:firstLine="420" w:firstLineChars="200"/>
                    <w:jc w:val="center"/>
                    <w:rPr>
                      <w:rFonts w:hint="default" w:ascii="Times New Roman" w:hAnsi="Times New Roman" w:cs="Times New Roman"/>
                      <w:lang w:val="en-US" w:eastAsia="zh-CN"/>
                    </w:rPr>
                  </w:pPr>
                  <w:r>
                    <w:rPr>
                      <w:rFonts w:hint="eastAsia" w:cs="Times New Roman"/>
                      <w:lang w:val="en-US" w:eastAsia="zh-CN"/>
                    </w:rPr>
                    <w:t>建设</w:t>
                  </w:r>
                  <w:r>
                    <w:rPr>
                      <w:rFonts w:hint="default" w:ascii="Times New Roman" w:hAnsi="Times New Roman" w:cs="Times New Roman"/>
                      <w:lang w:val="en-US" w:eastAsia="zh-CN"/>
                    </w:rPr>
                    <w:t>一座10m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危险废物贮存点用于危险废物的收集暂存</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2"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lang w:eastAsia="zh-CN"/>
                    </w:rPr>
                  </w:pPr>
                </w:p>
              </w:tc>
              <w:tc>
                <w:tcPr>
                  <w:tcW w:w="97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lang w:val="en-US" w:eastAsia="zh-CN"/>
                    </w:rPr>
                  </w:pPr>
                  <w:r>
                    <w:rPr>
                      <w:rFonts w:hint="eastAsia" w:cs="Times New Roman"/>
                      <w:lang w:val="en-US" w:eastAsia="zh-CN"/>
                    </w:rPr>
                    <w:t>运输通道</w:t>
                  </w:r>
                </w:p>
              </w:tc>
              <w:tc>
                <w:tcPr>
                  <w:tcW w:w="5550" w:type="dxa"/>
                  <w:gridSpan w:val="3"/>
                  <w:tcBorders>
                    <w:top w:val="single" w:color="auto" w:sz="4" w:space="0"/>
                    <w:left w:val="single" w:color="auto" w:sz="4" w:space="0"/>
                    <w:right w:val="single" w:color="auto" w:sz="4" w:space="0"/>
                  </w:tcBorders>
                  <w:noWrap w:val="0"/>
                  <w:vAlign w:val="center"/>
                </w:tcPr>
                <w:p>
                  <w:pPr>
                    <w:ind w:firstLine="420" w:firstLineChars="200"/>
                    <w:jc w:val="center"/>
                    <w:rPr>
                      <w:rFonts w:hint="default" w:ascii="Times New Roman" w:hAnsi="Times New Roman" w:cs="Times New Roman"/>
                      <w:lang w:val="en-US" w:eastAsia="zh-CN"/>
                    </w:rPr>
                  </w:pPr>
                  <w:r>
                    <w:rPr>
                      <w:rFonts w:hint="eastAsia" w:cs="Times New Roman"/>
                      <w:lang w:val="en-US" w:eastAsia="zh-CN"/>
                    </w:rPr>
                    <w:t>牛、羊进厂通道、产品出厂通道分开设立，并配备消毒、清洗装置。</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643"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公用工程</w:t>
                  </w:r>
                </w:p>
              </w:tc>
              <w:tc>
                <w:tcPr>
                  <w:tcW w:w="9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供水</w:t>
                  </w:r>
                </w:p>
              </w:tc>
              <w:tc>
                <w:tcPr>
                  <w:tcW w:w="55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lang w:eastAsia="zh-CN"/>
                    </w:rPr>
                  </w:pPr>
                  <w:r>
                    <w:rPr>
                      <w:rFonts w:hint="default" w:ascii="Times New Roman" w:hAnsi="Times New Roman" w:cs="Times New Roman"/>
                      <w:lang w:val="en-US" w:eastAsia="zh-CN"/>
                    </w:rPr>
                    <w:t>由项目所在地市政供水系统供给</w:t>
                  </w:r>
                  <w:r>
                    <w:rPr>
                      <w:rFonts w:hint="default" w:ascii="Times New Roman" w:hAnsi="Times New Roman" w:cs="Times New Roman"/>
                      <w:lang w:eastAsia="zh-CN"/>
                    </w:rPr>
                    <w:t>。</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9"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排水</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lang w:val="en-US" w:eastAsia="zh-CN"/>
                    </w:rPr>
                  </w:pPr>
                  <w:r>
                    <w:rPr>
                      <w:rFonts w:hint="eastAsia" w:cs="Times New Roman"/>
                      <w:lang w:val="en-US" w:eastAsia="zh-CN"/>
                    </w:rPr>
                    <w:t>屠宰废水</w:t>
                  </w:r>
                </w:p>
              </w:tc>
              <w:tc>
                <w:tcPr>
                  <w:tcW w:w="4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进入</w:t>
                  </w:r>
                  <w:r>
                    <w:rPr>
                      <w:rFonts w:hint="eastAsia" w:ascii="Times New Roman" w:hAnsi="Times New Roman" w:eastAsia="宋体" w:cs="Times New Roman"/>
                      <w:highlight w:val="none"/>
                      <w:lang w:val="en-US" w:eastAsia="zh-CN"/>
                    </w:rPr>
                    <w:t>厂区</w:t>
                  </w:r>
                  <w:r>
                    <w:rPr>
                      <w:rFonts w:hint="eastAsia" w:cs="Times New Roman"/>
                      <w:highlight w:val="none"/>
                      <w:lang w:val="en-US" w:eastAsia="zh-CN"/>
                    </w:rPr>
                    <w:t>污水处理站处理后</w:t>
                  </w:r>
                  <w:r>
                    <w:rPr>
                      <w:rFonts w:hint="eastAsia" w:ascii="Times New Roman" w:hAnsi="Times New Roman" w:eastAsia="宋体" w:cs="Times New Roman"/>
                      <w:color w:val="auto"/>
                      <w:highlight w:val="none"/>
                      <w:lang w:val="en-US" w:eastAsia="zh-CN"/>
                    </w:rPr>
                    <w:t>由吸污车拉运至</w:t>
                  </w:r>
                  <w:r>
                    <w:rPr>
                      <w:rFonts w:hint="eastAsia" w:cs="Times New Roman"/>
                      <w:color w:val="auto"/>
                      <w:highlight w:val="none"/>
                      <w:lang w:val="en-US" w:eastAsia="zh-CN"/>
                    </w:rPr>
                    <w:t>若羌县污水</w:t>
                  </w:r>
                  <w:r>
                    <w:rPr>
                      <w:rFonts w:hint="eastAsia" w:ascii="Times New Roman" w:hAnsi="Times New Roman" w:eastAsia="宋体" w:cs="Times New Roman"/>
                      <w:color w:val="auto"/>
                      <w:highlight w:val="none"/>
                      <w:lang w:val="en-US" w:eastAsia="zh-CN"/>
                    </w:rPr>
                    <w:t>处理</w:t>
                  </w:r>
                  <w:r>
                    <w:rPr>
                      <w:rFonts w:hint="eastAsia" w:cs="Times New Roman"/>
                      <w:color w:val="auto"/>
                      <w:highlight w:val="none"/>
                      <w:lang w:val="en-US" w:eastAsia="zh-CN"/>
                    </w:rPr>
                    <w:t>厂</w:t>
                  </w:r>
                  <w:r>
                    <w:rPr>
                      <w:rFonts w:hint="default" w:ascii="Times New Roman" w:hAnsi="Times New Roman" w:eastAsia="宋体" w:cs="Times New Roman"/>
                      <w:highlight w:val="none"/>
                      <w:lang w:eastAsia="zh-CN"/>
                    </w:rPr>
                    <w:t>。</w:t>
                  </w:r>
                </w:p>
              </w:tc>
              <w:tc>
                <w:tcPr>
                  <w:tcW w:w="101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5"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生活污水</w:t>
                  </w:r>
                </w:p>
              </w:tc>
              <w:tc>
                <w:tcPr>
                  <w:tcW w:w="4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进入厂区污水处理站处理后由吸污车拉运至若羌县污水处理厂。</w:t>
                  </w:r>
                </w:p>
              </w:tc>
              <w:tc>
                <w:tcPr>
                  <w:tcW w:w="101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供电</w:t>
                  </w:r>
                </w:p>
              </w:tc>
              <w:tc>
                <w:tcPr>
                  <w:tcW w:w="55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lang w:eastAsia="zh-CN"/>
                    </w:rPr>
                  </w:pPr>
                  <w:r>
                    <w:rPr>
                      <w:rFonts w:hint="default" w:ascii="Times New Roman" w:hAnsi="Times New Roman" w:cs="Times New Roman"/>
                      <w:lang w:val="en-US" w:eastAsia="zh-CN"/>
                    </w:rPr>
                    <w:t>市政电网供电</w:t>
                  </w:r>
                  <w:r>
                    <w:rPr>
                      <w:rFonts w:hint="default" w:ascii="Times New Roman" w:hAnsi="Times New Roman" w:cs="Times New Roman"/>
                      <w:lang w:eastAsia="zh-CN"/>
                    </w:rPr>
                    <w:t>。</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rPr>
                    <w:t>供</w:t>
                  </w:r>
                  <w:r>
                    <w:rPr>
                      <w:rFonts w:hint="default" w:ascii="Times New Roman" w:hAnsi="Times New Roman" w:cs="Times New Roman"/>
                      <w:lang w:val="en-US" w:eastAsia="zh-CN"/>
                    </w:rPr>
                    <w:t>热</w:t>
                  </w:r>
                </w:p>
              </w:tc>
              <w:tc>
                <w:tcPr>
                  <w:tcW w:w="55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lang w:val="en-US" w:eastAsia="zh-CN"/>
                    </w:rPr>
                  </w:pPr>
                  <w:r>
                    <w:rPr>
                      <w:rFonts w:hint="eastAsia" w:cs="Times New Roman"/>
                      <w:lang w:val="en-US" w:eastAsia="zh-CN"/>
                    </w:rPr>
                    <w:t>电采暖供热，生产区热水采用电供热。</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8" w:hRule="atLeast"/>
                <w:jc w:val="center"/>
              </w:trPr>
              <w:tc>
                <w:tcPr>
                  <w:tcW w:w="643"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环保工程</w:t>
                  </w:r>
                </w:p>
              </w:tc>
              <w:tc>
                <w:tcPr>
                  <w:tcW w:w="974"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lang w:eastAsia="zh-CN"/>
                    </w:rPr>
                  </w:pPr>
                  <w:r>
                    <w:rPr>
                      <w:rFonts w:hint="default" w:ascii="Times New Roman" w:hAnsi="Times New Roman" w:cs="Times New Roman"/>
                    </w:rPr>
                    <w:t>废气</w:t>
                  </w:r>
                  <w:r>
                    <w:rPr>
                      <w:rFonts w:hint="default" w:ascii="Times New Roman" w:hAnsi="Times New Roman" w:cs="Times New Roman"/>
                      <w:lang w:eastAsia="zh-CN"/>
                    </w:rPr>
                    <w:t>治理</w:t>
                  </w:r>
                </w:p>
              </w:tc>
              <w:tc>
                <w:tcPr>
                  <w:tcW w:w="5550"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本项目生产过程中产生的废气较少，待宰圈及屠宰车间恶臭气体采取喷洒生物除臭剂、干清粪、定时清洗、增加通风次数等方式降低恶臭污染物的措施后通过无组织排放。</w:t>
                  </w:r>
                </w:p>
              </w:tc>
              <w:tc>
                <w:tcPr>
                  <w:tcW w:w="10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废水</w:t>
                  </w:r>
                  <w:r>
                    <w:rPr>
                      <w:rFonts w:hint="default" w:ascii="Times New Roman" w:hAnsi="Times New Roman" w:cs="Times New Roman"/>
                      <w:lang w:eastAsia="zh-CN"/>
                    </w:rPr>
                    <w:t>治理</w:t>
                  </w:r>
                </w:p>
              </w:tc>
              <w:tc>
                <w:tcPr>
                  <w:tcW w:w="55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设置一</w:t>
                  </w:r>
                  <w:r>
                    <w:rPr>
                      <w:rFonts w:hint="eastAsia" w:cs="Times New Roman"/>
                      <w:lang w:val="en-US" w:eastAsia="zh-CN"/>
                    </w:rPr>
                    <w:t>座污水处理站</w:t>
                  </w:r>
                  <w:r>
                    <w:rPr>
                      <w:rFonts w:hint="default" w:ascii="Times New Roman" w:hAnsi="Times New Roman" w:cs="Times New Roman"/>
                      <w:lang w:val="en-US" w:eastAsia="zh-CN"/>
                    </w:rPr>
                    <w:t>，设计处理规模</w:t>
                  </w:r>
                  <w:r>
                    <w:rPr>
                      <w:rFonts w:hint="eastAsia" w:cs="Times New Roman"/>
                      <w:lang w:val="en-US" w:eastAsia="zh-CN"/>
                    </w:rPr>
                    <w:t>50</w:t>
                  </w:r>
                  <w:r>
                    <w:rPr>
                      <w:rFonts w:hint="default" w:ascii="Times New Roman" w:hAnsi="Times New Roman" w:cs="Times New Roman"/>
                      <w:highlight w:val="none"/>
                      <w:lang w:val="en-US" w:eastAsia="zh-CN"/>
                    </w:rPr>
                    <w:t>m³/d，</w:t>
                  </w:r>
                  <w:r>
                    <w:rPr>
                      <w:rFonts w:hint="default" w:ascii="Times New Roman" w:hAnsi="Times New Roman" w:cs="Times New Roman"/>
                      <w:lang w:val="en-US" w:eastAsia="zh-CN"/>
                    </w:rPr>
                    <w:t>采用</w:t>
                  </w:r>
                  <w:r>
                    <w:rPr>
                      <w:rFonts w:hint="eastAsia" w:cs="Times New Roman"/>
                      <w:lang w:val="en-US" w:eastAsia="zh-CN"/>
                    </w:rPr>
                    <w:t>“格栅+气浮+厌氧+好氧+沉淀+消毒”</w:t>
                  </w:r>
                  <w:r>
                    <w:rPr>
                      <w:rFonts w:hint="default" w:ascii="Times New Roman" w:hAnsi="Times New Roman" w:cs="Times New Roman"/>
                      <w:lang w:val="en-US" w:eastAsia="zh-CN"/>
                    </w:rPr>
                    <w:t>工艺处理</w:t>
                  </w:r>
                  <w:r>
                    <w:rPr>
                      <w:rFonts w:hint="eastAsia" w:cs="Times New Roman"/>
                      <w:lang w:val="en-US" w:eastAsia="zh-CN"/>
                    </w:rPr>
                    <w:t>，</w:t>
                  </w:r>
                  <w:r>
                    <w:rPr>
                      <w:rFonts w:hint="default" w:ascii="Times New Roman" w:hAnsi="Times New Roman" w:cs="Times New Roman"/>
                      <w:lang w:val="en-US" w:eastAsia="zh-CN"/>
                    </w:rPr>
                    <w:t>项目废水经处理达标后拉运至若羌县污水处理厂统一处理。</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eastAsia="zh-CN"/>
                    </w:rPr>
                  </w:pPr>
                  <w:r>
                    <w:rPr>
                      <w:rFonts w:hint="default" w:ascii="Times New Roman" w:hAnsi="Times New Roman" w:cs="Times New Roman"/>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噪声</w:t>
                  </w:r>
                  <w:r>
                    <w:rPr>
                      <w:rFonts w:hint="default" w:ascii="Times New Roman" w:hAnsi="Times New Roman" w:cs="Times New Roman"/>
                      <w:lang w:eastAsia="zh-CN"/>
                    </w:rPr>
                    <w:t>治理</w:t>
                  </w:r>
                </w:p>
              </w:tc>
              <w:tc>
                <w:tcPr>
                  <w:tcW w:w="55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低噪</w:t>
                  </w:r>
                  <w:r>
                    <w:rPr>
                      <w:rFonts w:hint="eastAsia" w:cs="Times New Roman"/>
                      <w:lang w:val="en-US" w:eastAsia="zh-CN"/>
                    </w:rPr>
                    <w:t>声</w:t>
                  </w:r>
                  <w:r>
                    <w:rPr>
                      <w:rFonts w:hint="default" w:ascii="Times New Roman" w:hAnsi="Times New Roman" w:cs="Times New Roman"/>
                    </w:rPr>
                    <w:t>设备、</w:t>
                  </w:r>
                  <w:r>
                    <w:rPr>
                      <w:rFonts w:hint="eastAsia" w:cs="Times New Roman"/>
                      <w:lang w:val="en-US" w:eastAsia="zh-CN"/>
                    </w:rPr>
                    <w:t>车间</w:t>
                  </w:r>
                  <w:r>
                    <w:rPr>
                      <w:rFonts w:hint="default" w:ascii="Times New Roman" w:hAnsi="Times New Roman" w:cs="Times New Roman"/>
                    </w:rPr>
                    <w:t>隔声、基础减振</w:t>
                  </w:r>
                  <w:r>
                    <w:rPr>
                      <w:rFonts w:hint="eastAsia" w:cs="Times New Roman"/>
                      <w:lang w:val="en-US" w:eastAsia="zh-CN"/>
                    </w:rPr>
                    <w:t>等措施</w:t>
                  </w:r>
                  <w:r>
                    <w:rPr>
                      <w:rFonts w:hint="default" w:ascii="Times New Roman" w:hAnsi="Times New Roman" w:cs="Times New Roman"/>
                    </w:rPr>
                    <w:t>。</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3"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固体废物</w:t>
                  </w:r>
                </w:p>
              </w:tc>
              <w:tc>
                <w:tcPr>
                  <w:tcW w:w="2087" w:type="dxa"/>
                  <w:gridSpan w:val="2"/>
                  <w:tcBorders>
                    <w:top w:val="single" w:color="auto" w:sz="4" w:space="0"/>
                    <w:left w:val="single" w:color="auto" w:sz="4" w:space="0"/>
                    <w:right w:val="single" w:color="auto" w:sz="4" w:space="0"/>
                  </w:tcBorders>
                  <w:noWrap w:val="0"/>
                  <w:vAlign w:val="center"/>
                </w:tcPr>
                <w:p>
                  <w:pPr>
                    <w:bidi w:val="0"/>
                    <w:jc w:val="center"/>
                    <w:rPr>
                      <w:rFonts w:hint="default"/>
                      <w:lang w:val="en-US" w:eastAsia="zh-CN"/>
                    </w:rPr>
                  </w:pPr>
                  <w:r>
                    <w:rPr>
                      <w:rFonts w:hint="default"/>
                      <w:lang w:val="en-US" w:eastAsia="zh-CN"/>
                    </w:rPr>
                    <w:t>牛羊粪便、屠宰废物、肠胃内容物</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lang w:val="en-US" w:eastAsia="zh-CN"/>
                    </w:rPr>
                  </w:pPr>
                  <w:r>
                    <w:rPr>
                      <w:rFonts w:hint="default"/>
                      <w:lang w:val="en-US" w:eastAsia="zh-CN"/>
                    </w:rPr>
                    <w:t>作为有机肥原料外售综合利用。</w:t>
                  </w:r>
                </w:p>
              </w:tc>
              <w:tc>
                <w:tcPr>
                  <w:tcW w:w="101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4"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lang w:val="en-US" w:eastAsia="zh-CN"/>
                    </w:rPr>
                  </w:pPr>
                </w:p>
              </w:tc>
              <w:tc>
                <w:tcPr>
                  <w:tcW w:w="2087" w:type="dxa"/>
                  <w:gridSpan w:val="2"/>
                  <w:tcBorders>
                    <w:top w:val="single" w:color="auto" w:sz="4" w:space="0"/>
                    <w:left w:val="single" w:color="auto" w:sz="4" w:space="0"/>
                    <w:right w:val="single" w:color="auto" w:sz="4" w:space="0"/>
                  </w:tcBorders>
                  <w:noWrap w:val="0"/>
                  <w:vAlign w:val="center"/>
                </w:tcPr>
                <w:p>
                  <w:pPr>
                    <w:bidi w:val="0"/>
                    <w:jc w:val="center"/>
                    <w:rPr>
                      <w:rFonts w:hint="default"/>
                      <w:lang w:val="en-US" w:eastAsia="zh-CN"/>
                    </w:rPr>
                  </w:pPr>
                  <w:r>
                    <w:rPr>
                      <w:rFonts w:hint="default"/>
                      <w:lang w:val="en-US" w:eastAsia="zh-CN"/>
                    </w:rPr>
                    <w:t>污水处理站</w:t>
                  </w:r>
                  <w:r>
                    <w:rPr>
                      <w:rFonts w:hint="eastAsia"/>
                      <w:lang w:val="en-US" w:eastAsia="zh-CN"/>
                    </w:rPr>
                    <w:t>产生的</w:t>
                  </w:r>
                  <w:r>
                    <w:rPr>
                      <w:rFonts w:hint="default"/>
                      <w:lang w:val="en-US" w:eastAsia="zh-CN"/>
                    </w:rPr>
                    <w:t>栅渣、污泥</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lang w:val="en-US" w:eastAsia="zh-CN"/>
                    </w:rPr>
                  </w:pPr>
                  <w:r>
                    <w:rPr>
                      <w:rFonts w:hint="default"/>
                      <w:lang w:val="en-US" w:eastAsia="zh-CN"/>
                    </w:rPr>
                    <w:t>作为</w:t>
                  </w:r>
                  <w:r>
                    <w:rPr>
                      <w:rFonts w:hint="eastAsia"/>
                      <w:lang w:val="en-US" w:eastAsia="zh-CN"/>
                    </w:rPr>
                    <w:t>农家肥</w:t>
                  </w:r>
                  <w:r>
                    <w:rPr>
                      <w:rFonts w:hint="default"/>
                      <w:lang w:val="en-US" w:eastAsia="zh-CN"/>
                    </w:rPr>
                    <w:t>外售综合利用</w:t>
                  </w:r>
                  <w:r>
                    <w:rPr>
                      <w:rFonts w:hint="eastAsia"/>
                      <w:lang w:val="en-US" w:eastAsia="zh-CN"/>
                    </w:rPr>
                    <w:t>。</w:t>
                  </w:r>
                </w:p>
              </w:tc>
              <w:tc>
                <w:tcPr>
                  <w:tcW w:w="101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lang w:val="en-US" w:eastAsia="zh-CN"/>
                    </w:rPr>
                  </w:pPr>
                </w:p>
              </w:tc>
              <w:tc>
                <w:tcPr>
                  <w:tcW w:w="2087"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highlight w:val="none"/>
                      <w:lang w:val="en-US" w:eastAsia="zh-CN"/>
                    </w:rPr>
                  </w:pPr>
                  <w:r>
                    <w:rPr>
                      <w:rFonts w:hint="eastAsia"/>
                      <w:highlight w:val="none"/>
                      <w:lang w:val="en-US" w:eastAsia="zh-CN"/>
                    </w:rPr>
                    <w:t>病死牛羊、检疫残肉、不可食用内脏</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highlight w:val="none"/>
                      <w:lang w:val="en-US" w:eastAsia="zh-CN"/>
                    </w:rPr>
                  </w:pPr>
                  <w:r>
                    <w:rPr>
                      <w:rFonts w:hint="default"/>
                      <w:highlight w:val="none"/>
                      <w:lang w:val="en-US" w:eastAsia="zh-CN"/>
                    </w:rPr>
                    <w:t>采用无害化处理</w:t>
                  </w:r>
                  <w:r>
                    <w:rPr>
                      <w:rFonts w:hint="eastAsia"/>
                      <w:highlight w:val="none"/>
                      <w:lang w:val="en-US" w:eastAsia="zh-CN"/>
                    </w:rPr>
                    <w:t>。</w:t>
                  </w:r>
                </w:p>
              </w:tc>
              <w:tc>
                <w:tcPr>
                  <w:tcW w:w="101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4"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lang w:val="en-US" w:eastAsia="zh-CN"/>
                    </w:rPr>
                  </w:pPr>
                </w:p>
              </w:tc>
              <w:tc>
                <w:tcPr>
                  <w:tcW w:w="2087"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highlight w:val="none"/>
                      <w:lang w:val="en-US" w:eastAsia="zh-CN"/>
                    </w:rPr>
                  </w:pPr>
                  <w:r>
                    <w:rPr>
                      <w:rFonts w:hint="eastAsia"/>
                      <w:highlight w:val="none"/>
                      <w:lang w:val="en-US" w:eastAsia="zh-CN"/>
                    </w:rPr>
                    <w:t>废弃卫生检疫用品</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highlight w:val="none"/>
                      <w:lang w:val="en-US" w:eastAsia="zh-CN"/>
                    </w:rPr>
                  </w:pPr>
                  <w:r>
                    <w:rPr>
                      <w:rFonts w:hint="eastAsia" w:ascii="Times New Roman" w:hAnsi="Times New Roman" w:eastAsia="宋体" w:cs="Times New Roman"/>
                      <w:lang w:val="en-US" w:eastAsia="zh-CN"/>
                    </w:rPr>
                    <w:t>分类暂存集中拉运至一般固废处置场所</w:t>
                  </w:r>
                </w:p>
              </w:tc>
              <w:tc>
                <w:tcPr>
                  <w:tcW w:w="101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lang w:val="en-US" w:eastAsia="zh-CN"/>
                    </w:rPr>
                  </w:pPr>
                </w:p>
              </w:tc>
              <w:tc>
                <w:tcPr>
                  <w:tcW w:w="2087"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highlight w:val="none"/>
                      <w:lang w:val="en-US" w:eastAsia="zh-CN"/>
                    </w:rPr>
                  </w:pPr>
                  <w:r>
                    <w:rPr>
                      <w:rFonts w:hint="eastAsia"/>
                      <w:highlight w:val="none"/>
                      <w:lang w:val="en-US" w:eastAsia="zh-CN"/>
                    </w:rPr>
                    <w:t>生活垃圾</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highlight w:val="none"/>
                      <w:lang w:val="en-US" w:eastAsia="zh-CN"/>
                    </w:rPr>
                  </w:pPr>
                  <w:r>
                    <w:rPr>
                      <w:rFonts w:hint="default"/>
                      <w:highlight w:val="none"/>
                      <w:lang w:val="en-US" w:eastAsia="zh-CN"/>
                    </w:rPr>
                    <w:t>分类收集后由环卫部门定期清运处理</w:t>
                  </w:r>
                </w:p>
              </w:tc>
              <w:tc>
                <w:tcPr>
                  <w:tcW w:w="101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643"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74" w:type="dxa"/>
                  <w:tcBorders>
                    <w:left w:val="single" w:color="auto" w:sz="4" w:space="0"/>
                    <w:right w:val="single" w:color="auto" w:sz="4" w:space="0"/>
                  </w:tcBorders>
                  <w:noWrap w:val="0"/>
                  <w:vAlign w:val="center"/>
                </w:tcPr>
                <w:p>
                  <w:pPr>
                    <w:pStyle w:val="69"/>
                    <w:bidi w:val="0"/>
                    <w:rPr>
                      <w:rFonts w:hint="default" w:ascii="Times New Roman" w:hAnsi="Times New Roman" w:eastAsia="宋体" w:cs="Times New Roman"/>
                      <w:szCs w:val="21"/>
                      <w:lang w:val="en-US" w:eastAsia="zh-CN"/>
                    </w:rPr>
                  </w:pPr>
                  <w:r>
                    <w:rPr>
                      <w:rFonts w:hint="eastAsia"/>
                      <w:lang w:val="en-US" w:eastAsia="zh-CN"/>
                    </w:rPr>
                    <w:t>危险废物</w:t>
                  </w:r>
                </w:p>
              </w:tc>
              <w:tc>
                <w:tcPr>
                  <w:tcW w:w="20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leftChars="0" w:right="0" w:rightChars="0"/>
                    <w:jc w:val="center"/>
                    <w:rPr>
                      <w:rFonts w:hint="eastAsia"/>
                      <w:highlight w:val="none"/>
                      <w:lang w:val="en-US" w:eastAsia="zh-CN"/>
                    </w:rPr>
                  </w:pPr>
                  <w:r>
                    <w:rPr>
                      <w:rFonts w:hint="default"/>
                      <w:lang w:val="en-US" w:eastAsia="zh-CN"/>
                    </w:rPr>
                    <w:t>废润滑油及废润滑油桶</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highlight w:val="none"/>
                      <w:lang w:val="en-US" w:eastAsia="zh-CN"/>
                    </w:rPr>
                  </w:pPr>
                  <w:r>
                    <w:rPr>
                      <w:rFonts w:hint="eastAsia" w:cs="Times New Roman"/>
                      <w:lang w:val="en-US" w:eastAsia="zh-CN"/>
                    </w:rPr>
                    <w:t>暂存于危险废物贮存点，定期交由有资质单位处置</w:t>
                  </w:r>
                </w:p>
              </w:tc>
              <w:tc>
                <w:tcPr>
                  <w:tcW w:w="101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1617" w:type="dxa"/>
                  <w:gridSpan w:val="2"/>
                  <w:tcBorders>
                    <w:left w:val="single" w:color="auto" w:sz="4" w:space="0"/>
                    <w:right w:val="single" w:color="auto" w:sz="4" w:space="0"/>
                  </w:tcBorders>
                  <w:noWrap w:val="0"/>
                  <w:vAlign w:val="center"/>
                </w:tcPr>
                <w:p>
                  <w:pPr>
                    <w:pStyle w:val="73"/>
                    <w:bidi w:val="0"/>
                    <w:rPr>
                      <w:rFonts w:hint="default" w:ascii="Times New Roman" w:hAnsi="Times New Roman" w:eastAsia="宋体" w:cs="Times New Roman"/>
                      <w:szCs w:val="21"/>
                      <w:lang w:val="en-US" w:eastAsia="zh-CN"/>
                    </w:rPr>
                  </w:pPr>
                  <w:r>
                    <w:rPr>
                      <w:rFonts w:hint="default" w:ascii="Times New Roman" w:hAnsi="Times New Roman" w:cs="Times New Roman" w:eastAsiaTheme="minorEastAsia"/>
                      <w:color w:val="auto"/>
                      <w:sz w:val="21"/>
                      <w:szCs w:val="21"/>
                      <w:highlight w:val="none"/>
                      <w:lang w:val="en-US" w:eastAsia="zh-CN"/>
                    </w:rPr>
                    <w:t>环境风险防范工程</w:t>
                  </w:r>
                </w:p>
              </w:tc>
              <w:tc>
                <w:tcPr>
                  <w:tcW w:w="5550" w:type="dxa"/>
                  <w:gridSpan w:val="3"/>
                  <w:tcBorders>
                    <w:top w:val="single" w:color="auto" w:sz="4" w:space="0"/>
                    <w:left w:val="single" w:color="auto" w:sz="4" w:space="0"/>
                    <w:bottom w:val="single" w:color="auto" w:sz="4" w:space="0"/>
                    <w:right w:val="single" w:color="auto" w:sz="4" w:space="0"/>
                  </w:tcBorders>
                  <w:noWrap w:val="0"/>
                  <w:vAlign w:val="center"/>
                </w:tcPr>
                <w:p>
                  <w:pPr>
                    <w:pStyle w:val="73"/>
                    <w:bidi w:val="0"/>
                    <w:rPr>
                      <w:rFonts w:hint="default"/>
                      <w:highlight w:val="none"/>
                      <w:lang w:val="en-US" w:eastAsia="zh-CN"/>
                    </w:rPr>
                  </w:pPr>
                  <w:r>
                    <w:rPr>
                      <w:rFonts w:hint="default" w:ascii="Times New Roman" w:hAnsi="Times New Roman" w:cs="Times New Roman" w:eastAsiaTheme="minorEastAsia"/>
                      <w:color w:val="auto"/>
                      <w:sz w:val="21"/>
                      <w:szCs w:val="21"/>
                      <w:highlight w:val="none"/>
                      <w:lang w:val="en-US" w:eastAsia="zh-CN"/>
                    </w:rPr>
                    <w:t>制定环境风险管理制度</w:t>
                  </w:r>
                </w:p>
              </w:tc>
              <w:tc>
                <w:tcPr>
                  <w:tcW w:w="101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w:t>
                  </w:r>
                </w:p>
              </w:tc>
            </w:tr>
          </w:tbl>
          <w:p>
            <w:pPr>
              <w:pStyle w:val="2"/>
              <w:bidi w:val="0"/>
              <w:rPr>
                <w:rFonts w:hint="default"/>
              </w:rPr>
            </w:pPr>
            <w:r>
              <w:rPr>
                <w:rFonts w:hint="eastAsia"/>
                <w:lang w:val="en-US" w:eastAsia="zh-CN"/>
              </w:rPr>
              <w:t>5.</w:t>
            </w:r>
            <w:r>
              <w:rPr>
                <w:rFonts w:hint="default"/>
              </w:rPr>
              <w:t>产品方案</w:t>
            </w:r>
          </w:p>
          <w:p>
            <w:pPr>
              <w:spacing w:line="520" w:lineRule="exact"/>
              <w:ind w:firstLine="480" w:firstLineChars="200"/>
              <w:rPr>
                <w:rFonts w:hint="default" w:ascii="Times New Roman" w:hAnsi="Times New Roman" w:cs="Times New Roman"/>
              </w:rPr>
            </w:pPr>
            <w:r>
              <w:rPr>
                <w:rFonts w:hint="default" w:ascii="Times New Roman" w:hAnsi="Times New Roman" w:cs="Times New Roman"/>
                <w:sz w:val="24"/>
                <w:szCs w:val="24"/>
                <w:lang w:val="en-US" w:eastAsia="zh-CN"/>
              </w:rPr>
              <w:t>本项目年最大生产能力为：</w:t>
            </w:r>
            <w:r>
              <w:rPr>
                <w:rFonts w:hint="default" w:ascii="Times New Roman" w:hAnsi="Times New Roman" w:cs="Times New Roman"/>
                <w:sz w:val="24"/>
                <w:szCs w:val="24"/>
                <w:highlight w:val="none"/>
                <w:lang w:val="en-US" w:eastAsia="zh-CN"/>
              </w:rPr>
              <w:t>屠宰肉羊</w:t>
            </w:r>
            <w:r>
              <w:rPr>
                <w:rFonts w:hint="eastAsia" w:cs="Times New Roman"/>
                <w:sz w:val="24"/>
                <w:szCs w:val="24"/>
                <w:highlight w:val="none"/>
                <w:lang w:val="en-US" w:eastAsia="zh-CN"/>
              </w:rPr>
              <w:t>18000</w:t>
            </w:r>
            <w:r>
              <w:rPr>
                <w:rFonts w:hint="default" w:ascii="Times New Roman" w:hAnsi="Times New Roman" w:cs="Times New Roman"/>
                <w:sz w:val="24"/>
                <w:szCs w:val="24"/>
                <w:highlight w:val="none"/>
                <w:lang w:val="en-US" w:eastAsia="zh-CN"/>
              </w:rPr>
              <w:t>只，肉牛</w:t>
            </w:r>
            <w:r>
              <w:rPr>
                <w:rFonts w:hint="eastAsia" w:cs="Times New Roman"/>
                <w:sz w:val="24"/>
                <w:szCs w:val="24"/>
                <w:highlight w:val="none"/>
                <w:lang w:val="en-US" w:eastAsia="zh-CN"/>
              </w:rPr>
              <w:t>1800</w:t>
            </w:r>
            <w:r>
              <w:rPr>
                <w:rFonts w:hint="default" w:ascii="Times New Roman" w:hAnsi="Times New Roman" w:cs="Times New Roman"/>
                <w:sz w:val="24"/>
                <w:szCs w:val="24"/>
                <w:highlight w:val="none"/>
                <w:lang w:val="en-US" w:eastAsia="zh-CN"/>
              </w:rPr>
              <w:t>头，</w:t>
            </w:r>
            <w:r>
              <w:rPr>
                <w:rFonts w:hint="default" w:ascii="Times New Roman" w:hAnsi="Times New Roman" w:cs="Times New Roman"/>
                <w:sz w:val="24"/>
                <w:szCs w:val="24"/>
                <w:lang w:val="en-US" w:eastAsia="zh-CN"/>
              </w:rPr>
              <w:t>参照《排污许可证申请与核发技术规范</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农副食品加工工业-屠宰及肉类加工工业》（HJ860.3-2018）相关经验参数，羊的活屠重为50kg/头，牛的活屠重为500kg/头</w:t>
            </w:r>
            <w:r>
              <w:rPr>
                <w:rFonts w:hint="default" w:ascii="Times New Roman" w:hAnsi="Times New Roman" w:cs="Times New Roman"/>
                <w:sz w:val="24"/>
                <w:szCs w:val="24"/>
                <w:lang w:eastAsia="zh-CN"/>
              </w:rPr>
              <w:t>。</w:t>
            </w:r>
          </w:p>
          <w:p>
            <w:pPr>
              <w:pStyle w:val="49"/>
              <w:bidi w:val="0"/>
              <w:rPr>
                <w:rFonts w:hint="default"/>
              </w:rPr>
            </w:pPr>
            <w:r>
              <w:rPr>
                <w:rFonts w:hint="default" w:ascii="Times New Roman" w:hAnsi="Times New Roman" w:cs="Times New Roman"/>
                <w:highlight w:val="none"/>
              </w:rPr>
              <w:t>表</w:t>
            </w:r>
            <w:r>
              <w:rPr>
                <w:rFonts w:hint="default" w:ascii="Times New Roman" w:hAnsi="Times New Roman" w:cs="Times New Roman"/>
                <w:highlight w:val="none"/>
                <w:lang w:val="en-US" w:eastAsia="zh-CN"/>
              </w:rPr>
              <w:t>2-2</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产品及产能一览表</w:t>
            </w:r>
          </w:p>
          <w:tbl>
            <w:tblPr>
              <w:tblStyle w:val="24"/>
              <w:tblW w:w="793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724"/>
              <w:gridCol w:w="957"/>
              <w:gridCol w:w="1393"/>
              <w:gridCol w:w="286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exact"/>
              </w:trPr>
              <w:tc>
                <w:tcPr>
                  <w:tcW w:w="2724" w:type="dxa"/>
                  <w:tcBorders>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产品名称</w:t>
                  </w:r>
                </w:p>
              </w:tc>
              <w:tc>
                <w:tcPr>
                  <w:tcW w:w="957"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单位</w:t>
                  </w:r>
                </w:p>
              </w:tc>
              <w:tc>
                <w:tcPr>
                  <w:tcW w:w="1393" w:type="dxa"/>
                  <w:tcBorders>
                    <w:left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数量</w:t>
                  </w:r>
                </w:p>
              </w:tc>
              <w:tc>
                <w:tcPr>
                  <w:tcW w:w="2861" w:type="dxa"/>
                  <w:tcBorders>
                    <w:left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4" w:hRule="exact"/>
              </w:trPr>
              <w:tc>
                <w:tcPr>
                  <w:tcW w:w="2724" w:type="dxa"/>
                  <w:tcBorders>
                    <w:top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羊肉</w:t>
                  </w:r>
                </w:p>
              </w:tc>
              <w:tc>
                <w:tcPr>
                  <w:tcW w:w="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t/a</w:t>
                  </w:r>
                </w:p>
              </w:tc>
              <w:tc>
                <w:tcPr>
                  <w:tcW w:w="1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eastAsia"/>
                      <w:lang w:val="en-US" w:eastAsia="zh-CN"/>
                    </w:rPr>
                    <w:t>396</w:t>
                  </w:r>
                </w:p>
              </w:tc>
              <w:tc>
                <w:tcPr>
                  <w:tcW w:w="286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《鲜、冻胴体羊肉标准》（GB/T9961-2008）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0" w:hRule="exact"/>
              </w:trPr>
              <w:tc>
                <w:tcPr>
                  <w:tcW w:w="2724" w:type="dxa"/>
                  <w:tcBorders>
                    <w:top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eastAsia"/>
                      <w:lang w:val="en-US" w:eastAsia="zh-CN"/>
                    </w:rPr>
                    <w:t>副产品（</w:t>
                  </w:r>
                  <w:r>
                    <w:rPr>
                      <w:rFonts w:hint="default"/>
                      <w:lang w:val="en-US" w:eastAsia="zh-CN"/>
                    </w:rPr>
                    <w:t>羊皮</w:t>
                  </w:r>
                  <w:r>
                    <w:rPr>
                      <w:rFonts w:hint="eastAsia"/>
                      <w:lang w:val="en-US" w:eastAsia="zh-CN"/>
                    </w:rPr>
                    <w:t>、</w:t>
                  </w:r>
                  <w:r>
                    <w:rPr>
                      <w:rFonts w:hint="default"/>
                      <w:lang w:val="en-US" w:eastAsia="zh-CN"/>
                    </w:rPr>
                    <w:t>羊头、羊蹄</w:t>
                  </w:r>
                  <w:r>
                    <w:rPr>
                      <w:rFonts w:hint="eastAsia"/>
                      <w:lang w:val="en-US" w:eastAsia="zh-CN"/>
                    </w:rPr>
                    <w:t>、</w:t>
                  </w:r>
                  <w:r>
                    <w:rPr>
                      <w:rFonts w:hint="default"/>
                      <w:lang w:val="en-US" w:eastAsia="zh-CN"/>
                    </w:rPr>
                    <w:t>羊血</w:t>
                  </w:r>
                  <w:r>
                    <w:rPr>
                      <w:rFonts w:hint="eastAsia"/>
                      <w:lang w:val="en-US" w:eastAsia="zh-CN"/>
                    </w:rPr>
                    <w:t>、</w:t>
                  </w:r>
                  <w:r>
                    <w:rPr>
                      <w:rFonts w:hint="default"/>
                      <w:lang w:val="en-US" w:eastAsia="zh-CN"/>
                    </w:rPr>
                    <w:t>可食用内脏</w:t>
                  </w:r>
                  <w:r>
                    <w:rPr>
                      <w:rFonts w:hint="eastAsia"/>
                      <w:lang w:val="en-US" w:eastAsia="zh-CN"/>
                    </w:rPr>
                    <w:t>）</w:t>
                  </w:r>
                </w:p>
              </w:tc>
              <w:tc>
                <w:tcPr>
                  <w:tcW w:w="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t/a</w:t>
                  </w:r>
                </w:p>
              </w:tc>
              <w:tc>
                <w:tcPr>
                  <w:tcW w:w="1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eastAsia"/>
                      <w:lang w:val="en-US" w:eastAsia="zh-CN"/>
                    </w:rPr>
                    <w:t>225</w:t>
                  </w:r>
                </w:p>
              </w:tc>
              <w:tc>
                <w:tcPr>
                  <w:tcW w:w="2861" w:type="dxa"/>
                  <w:vMerge w:val="continue"/>
                  <w:tcBorders>
                    <w:left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5" w:hRule="exact"/>
              </w:trPr>
              <w:tc>
                <w:tcPr>
                  <w:tcW w:w="2724" w:type="dxa"/>
                  <w:tcBorders>
                    <w:top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牛肉</w:t>
                  </w:r>
                </w:p>
              </w:tc>
              <w:tc>
                <w:tcPr>
                  <w:tcW w:w="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t/a</w:t>
                  </w:r>
                </w:p>
              </w:tc>
              <w:tc>
                <w:tcPr>
                  <w:tcW w:w="1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eastAsia"/>
                      <w:lang w:val="en-US" w:eastAsia="zh-CN"/>
                    </w:rPr>
                    <w:t>432</w:t>
                  </w:r>
                </w:p>
              </w:tc>
              <w:tc>
                <w:tcPr>
                  <w:tcW w:w="286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《鲜、冻分割牛肉标准》（GB/T17238-2022）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1" w:hRule="exact"/>
              </w:trPr>
              <w:tc>
                <w:tcPr>
                  <w:tcW w:w="2724" w:type="dxa"/>
                  <w:tcBorders>
                    <w:top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eastAsia"/>
                      <w:lang w:val="en-US" w:eastAsia="zh-CN"/>
                    </w:rPr>
                    <w:t>副产品（</w:t>
                  </w:r>
                  <w:r>
                    <w:rPr>
                      <w:rFonts w:hint="default"/>
                      <w:lang w:val="en-US" w:eastAsia="zh-CN"/>
                    </w:rPr>
                    <w:t>牛皮</w:t>
                  </w:r>
                  <w:r>
                    <w:rPr>
                      <w:rFonts w:hint="eastAsia"/>
                      <w:lang w:val="en-US" w:eastAsia="zh-CN"/>
                    </w:rPr>
                    <w:t>、</w:t>
                  </w:r>
                  <w:r>
                    <w:rPr>
                      <w:rFonts w:hint="default"/>
                      <w:lang w:val="en-US" w:eastAsia="zh-CN"/>
                    </w:rPr>
                    <w:t>牛头、牛蹄、牛尾</w:t>
                  </w:r>
                  <w:r>
                    <w:rPr>
                      <w:rFonts w:hint="eastAsia"/>
                      <w:lang w:val="en-US" w:eastAsia="zh-CN"/>
                    </w:rPr>
                    <w:t>、</w:t>
                  </w:r>
                  <w:r>
                    <w:rPr>
                      <w:rFonts w:hint="default"/>
                      <w:lang w:val="en-US" w:eastAsia="zh-CN"/>
                    </w:rPr>
                    <w:t>牛血</w:t>
                  </w:r>
                  <w:r>
                    <w:rPr>
                      <w:rFonts w:hint="eastAsia"/>
                      <w:lang w:val="en-US" w:eastAsia="zh-CN"/>
                    </w:rPr>
                    <w:t>、</w:t>
                  </w:r>
                  <w:r>
                    <w:rPr>
                      <w:rFonts w:hint="default"/>
                      <w:lang w:val="en-US" w:eastAsia="zh-CN"/>
                    </w:rPr>
                    <w:t>可食用内脏</w:t>
                  </w:r>
                  <w:r>
                    <w:rPr>
                      <w:rFonts w:hint="eastAsia"/>
                      <w:lang w:val="en-US" w:eastAsia="zh-CN"/>
                    </w:rPr>
                    <w:t>）</w:t>
                  </w:r>
                </w:p>
              </w:tc>
              <w:tc>
                <w:tcPr>
                  <w:tcW w:w="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default"/>
                      <w:lang w:val="en-US" w:eastAsia="zh-CN"/>
                    </w:rPr>
                    <w:t>t/a</w:t>
                  </w:r>
                </w:p>
              </w:tc>
              <w:tc>
                <w:tcPr>
                  <w:tcW w:w="1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r>
                    <w:rPr>
                      <w:rFonts w:hint="eastAsia"/>
                      <w:lang w:val="en-US" w:eastAsia="zh-CN"/>
                    </w:rPr>
                    <w:t>270</w:t>
                  </w:r>
                </w:p>
              </w:tc>
              <w:tc>
                <w:tcPr>
                  <w:tcW w:w="2861" w:type="dxa"/>
                  <w:vMerge w:val="continue"/>
                  <w:tcBorders>
                    <w:left w:val="single" w:color="000000" w:sz="4" w:space="0"/>
                    <w:right w:val="single" w:color="000000" w:sz="4" w:space="0"/>
                  </w:tcBorders>
                  <w:noWrap/>
                  <w:tcMar>
                    <w:top w:w="15" w:type="dxa"/>
                    <w:left w:w="15" w:type="dxa"/>
                    <w:right w:w="15" w:type="dxa"/>
                  </w:tcMar>
                  <w:vAlign w:val="center"/>
                </w:tcPr>
                <w:p>
                  <w:pPr>
                    <w:pStyle w:val="69"/>
                    <w:bidi w:val="0"/>
                    <w:rPr>
                      <w:rFonts w:hint="default"/>
                      <w:lang w:val="en-US" w:eastAsia="zh-CN"/>
                    </w:rPr>
                  </w:pPr>
                </w:p>
              </w:tc>
            </w:tr>
          </w:tbl>
          <w:p>
            <w:pPr>
              <w:pStyle w:val="2"/>
              <w:bidi w:val="0"/>
              <w:rPr>
                <w:rFonts w:hint="default"/>
                <w:lang w:val="en-US" w:eastAsia="zh-CN"/>
              </w:rPr>
            </w:pPr>
            <w:r>
              <w:rPr>
                <w:rFonts w:hint="eastAsia"/>
                <w:lang w:val="en-US" w:eastAsia="zh-CN"/>
              </w:rPr>
              <w:t>6.</w:t>
            </w:r>
            <w:r>
              <w:rPr>
                <w:rFonts w:hint="default"/>
                <w:lang w:val="en-US" w:eastAsia="zh-CN"/>
              </w:rPr>
              <w:t>主要</w:t>
            </w:r>
            <w:r>
              <w:rPr>
                <w:rFonts w:hint="eastAsia"/>
                <w:lang w:val="en-US" w:eastAsia="zh-CN"/>
              </w:rPr>
              <w:t>设备</w:t>
            </w:r>
          </w:p>
          <w:p>
            <w:pPr>
              <w:spacing w:line="520" w:lineRule="exact"/>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本项目主要生产设施见下表。</w:t>
            </w:r>
          </w:p>
          <w:p>
            <w:pPr>
              <w:pStyle w:val="49"/>
              <w:bidi w:val="0"/>
              <w:rPr>
                <w:rFonts w:hint="default" w:ascii="Times New Roman" w:hAnsi="Times New Roman" w:cs="Times New Roman"/>
                <w:szCs w:val="24"/>
              </w:rPr>
            </w:pPr>
            <w:r>
              <w:rPr>
                <w:rFonts w:hint="default" w:ascii="Times New Roman" w:hAnsi="Times New Roman" w:cs="Times New Roman"/>
              </w:rPr>
              <w:t>表</w:t>
            </w:r>
            <w:r>
              <w:rPr>
                <w:rFonts w:hint="default" w:ascii="Times New Roman" w:hAnsi="Times New Roman" w:cs="Times New Roman"/>
                <w:lang w:val="en-US" w:eastAsia="zh-CN"/>
              </w:rPr>
              <w:t>2-3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主要</w:t>
            </w:r>
            <w:r>
              <w:rPr>
                <w:rFonts w:hint="default" w:ascii="Times New Roman" w:hAnsi="Times New Roman" w:cs="Times New Roman"/>
              </w:rPr>
              <w:t>设备清单一览表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53"/>
              <w:gridCol w:w="472"/>
              <w:gridCol w:w="637"/>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default"/>
                      <w:lang w:val="en-US" w:eastAsia="zh-CN"/>
                    </w:rPr>
                    <w:t>序号</w:t>
                  </w:r>
                </w:p>
              </w:tc>
              <w:tc>
                <w:tcPr>
                  <w:tcW w:w="888" w:type="pct"/>
                  <w:noWrap w:val="0"/>
                  <w:vAlign w:val="center"/>
                </w:tcPr>
                <w:p>
                  <w:pPr>
                    <w:pStyle w:val="73"/>
                    <w:bidi w:val="0"/>
                    <w:rPr>
                      <w:rFonts w:hint="default"/>
                      <w:lang w:val="en-US" w:eastAsia="zh-CN"/>
                    </w:rPr>
                  </w:pPr>
                  <w:r>
                    <w:rPr>
                      <w:rFonts w:hint="default"/>
                      <w:lang w:val="en-US" w:eastAsia="zh-CN"/>
                    </w:rPr>
                    <w:t>设备名称</w:t>
                  </w:r>
                </w:p>
              </w:tc>
              <w:tc>
                <w:tcPr>
                  <w:tcW w:w="288" w:type="pct"/>
                  <w:noWrap w:val="0"/>
                  <w:vAlign w:val="center"/>
                </w:tcPr>
                <w:p>
                  <w:pPr>
                    <w:pStyle w:val="73"/>
                    <w:bidi w:val="0"/>
                    <w:rPr>
                      <w:rFonts w:hint="default"/>
                      <w:lang w:val="en-US" w:eastAsia="zh-CN"/>
                    </w:rPr>
                  </w:pPr>
                  <w:r>
                    <w:rPr>
                      <w:rFonts w:hint="default"/>
                      <w:lang w:val="en-US" w:eastAsia="zh-CN"/>
                    </w:rPr>
                    <w:t>数量</w:t>
                  </w:r>
                </w:p>
              </w:tc>
              <w:tc>
                <w:tcPr>
                  <w:tcW w:w="389" w:type="pct"/>
                  <w:noWrap w:val="0"/>
                  <w:vAlign w:val="center"/>
                </w:tcPr>
                <w:p>
                  <w:pPr>
                    <w:pStyle w:val="73"/>
                    <w:bidi w:val="0"/>
                    <w:rPr>
                      <w:rFonts w:hint="default"/>
                      <w:lang w:val="en-US" w:eastAsia="zh-CN"/>
                    </w:rPr>
                  </w:pPr>
                  <w:r>
                    <w:rPr>
                      <w:rFonts w:hint="default"/>
                      <w:lang w:val="en-US" w:eastAsia="zh-CN"/>
                    </w:rPr>
                    <w:t>单位</w:t>
                  </w:r>
                </w:p>
              </w:tc>
              <w:tc>
                <w:tcPr>
                  <w:tcW w:w="3063" w:type="pct"/>
                  <w:noWrap w:val="0"/>
                  <w:vAlign w:val="center"/>
                </w:tcPr>
                <w:p>
                  <w:pPr>
                    <w:pStyle w:val="73"/>
                    <w:bidi w:val="0"/>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5"/>
                  <w:noWrap w:val="0"/>
                  <w:vAlign w:val="center"/>
                </w:tcPr>
                <w:p>
                  <w:pPr>
                    <w:pStyle w:val="73"/>
                    <w:bidi w:val="0"/>
                    <w:rPr>
                      <w:rFonts w:hint="default"/>
                      <w:lang w:val="en-US" w:eastAsia="zh-CN"/>
                    </w:rPr>
                  </w:pPr>
                  <w:r>
                    <w:rPr>
                      <w:rFonts w:hint="eastAsia"/>
                      <w:lang w:val="en-US" w:eastAsia="zh-CN"/>
                    </w:rPr>
                    <w:t>一、牛</w:t>
                  </w:r>
                  <w:r>
                    <w:rPr>
                      <w:rFonts w:hint="default"/>
                      <w:lang w:val="en-US" w:eastAsia="zh-CN"/>
                    </w:rPr>
                    <w:t>屠宰设备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default"/>
                      <w:lang w:val="en-US" w:eastAsia="zh-CN"/>
                    </w:rPr>
                    <w:t>1</w:t>
                  </w:r>
                </w:p>
              </w:tc>
              <w:tc>
                <w:tcPr>
                  <w:tcW w:w="888" w:type="pct"/>
                  <w:noWrap w:val="0"/>
                  <w:vAlign w:val="center"/>
                </w:tcPr>
                <w:p>
                  <w:pPr>
                    <w:pStyle w:val="73"/>
                    <w:bidi w:val="0"/>
                    <w:rPr>
                      <w:rFonts w:hint="default"/>
                      <w:lang w:val="en-US" w:eastAsia="zh-CN"/>
                    </w:rPr>
                  </w:pPr>
                  <w:r>
                    <w:rPr>
                      <w:rFonts w:hint="default"/>
                      <w:lang w:val="en-US" w:eastAsia="zh-CN"/>
                    </w:rPr>
                    <w:t>安全挂牛道</w:t>
                  </w:r>
                </w:p>
              </w:tc>
              <w:tc>
                <w:tcPr>
                  <w:tcW w:w="288" w:type="pct"/>
                  <w:noWrap w:val="0"/>
                  <w:vAlign w:val="center"/>
                </w:tcPr>
                <w:p>
                  <w:pPr>
                    <w:pStyle w:val="73"/>
                    <w:bidi w:val="0"/>
                    <w:rPr>
                      <w:rFonts w:hint="default"/>
                      <w:lang w:val="en-US" w:eastAsia="zh-CN"/>
                    </w:rPr>
                  </w:pPr>
                  <w:r>
                    <w:rPr>
                      <w:rFonts w:hint="eastAsia"/>
                      <w:lang w:val="en-US" w:eastAsia="zh-CN"/>
                    </w:rPr>
                    <w:t>1</w:t>
                  </w:r>
                </w:p>
              </w:tc>
              <w:tc>
                <w:tcPr>
                  <w:tcW w:w="389" w:type="pct"/>
                  <w:noWrap w:val="0"/>
                  <w:vAlign w:val="center"/>
                </w:tcPr>
                <w:p>
                  <w:pPr>
                    <w:pStyle w:val="73"/>
                    <w:bidi w:val="0"/>
                    <w:rPr>
                      <w:rFonts w:hint="default"/>
                      <w:lang w:val="en-US" w:eastAsia="zh-CN"/>
                    </w:rPr>
                  </w:pPr>
                  <w:r>
                    <w:rPr>
                      <w:rFonts w:hint="eastAsia"/>
                      <w:lang w:val="en-US" w:eastAsia="zh-CN"/>
                    </w:rPr>
                    <w:t>套</w:t>
                  </w:r>
                </w:p>
              </w:tc>
              <w:tc>
                <w:tcPr>
                  <w:tcW w:w="3063" w:type="pct"/>
                  <w:noWrap w:val="0"/>
                  <w:vAlign w:val="center"/>
                </w:tcPr>
                <w:p>
                  <w:pPr>
                    <w:pStyle w:val="73"/>
                    <w:bidi w:val="0"/>
                    <w:rPr>
                      <w:rFonts w:hint="default"/>
                      <w:lang w:val="en-US" w:eastAsia="zh-CN"/>
                    </w:rPr>
                  </w:pPr>
                  <w:r>
                    <w:rPr>
                      <w:rFonts w:hint="default"/>
                      <w:lang w:val="en-US" w:eastAsia="zh-CN"/>
                    </w:rPr>
                    <w:t>采用热镀锌121</w:t>
                  </w:r>
                  <w:r>
                    <w:rPr>
                      <w:rFonts w:hint="eastAsia"/>
                      <w:lang w:val="en-US" w:eastAsia="zh-CN"/>
                    </w:rPr>
                    <w:t>x</w:t>
                  </w:r>
                  <w:r>
                    <w:rPr>
                      <w:rFonts w:hint="default"/>
                      <w:lang w:val="en-US" w:eastAsia="zh-CN"/>
                    </w:rPr>
                    <w:t>3热镀锌管制作，高度1400mm，双侧防护</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default"/>
                      <w:lang w:val="en-US" w:eastAsia="zh-CN"/>
                    </w:rPr>
                    <w:t>2</w:t>
                  </w:r>
                </w:p>
              </w:tc>
              <w:tc>
                <w:tcPr>
                  <w:tcW w:w="888" w:type="pct"/>
                  <w:noWrap w:val="0"/>
                  <w:vAlign w:val="center"/>
                </w:tcPr>
                <w:p>
                  <w:pPr>
                    <w:pStyle w:val="73"/>
                    <w:bidi w:val="0"/>
                    <w:rPr>
                      <w:rFonts w:hint="default"/>
                      <w:lang w:val="en-US" w:eastAsia="zh-CN"/>
                    </w:rPr>
                  </w:pPr>
                  <w:r>
                    <w:rPr>
                      <w:rFonts w:hint="default"/>
                      <w:lang w:val="en-US" w:eastAsia="zh-CN"/>
                    </w:rPr>
                    <w:t>放血提升机2T</w:t>
                  </w:r>
                </w:p>
              </w:tc>
              <w:tc>
                <w:tcPr>
                  <w:tcW w:w="288" w:type="pct"/>
                  <w:noWrap w:val="0"/>
                  <w:vAlign w:val="center"/>
                </w:tcPr>
                <w:p>
                  <w:pPr>
                    <w:pStyle w:val="73"/>
                    <w:bidi w:val="0"/>
                    <w:rPr>
                      <w:rFonts w:hint="default"/>
                      <w:lang w:val="en-US" w:eastAsia="zh-CN"/>
                    </w:rPr>
                  </w:pPr>
                  <w:r>
                    <w:rPr>
                      <w:rFonts w:hint="eastAsia"/>
                      <w:lang w:val="en-US" w:eastAsia="zh-CN"/>
                    </w:rPr>
                    <w:t>1</w:t>
                  </w:r>
                </w:p>
              </w:tc>
              <w:tc>
                <w:tcPr>
                  <w:tcW w:w="389" w:type="pct"/>
                  <w:noWrap w:val="0"/>
                  <w:vAlign w:val="center"/>
                </w:tcPr>
                <w:p>
                  <w:pPr>
                    <w:pStyle w:val="73"/>
                    <w:bidi w:val="0"/>
                    <w:rPr>
                      <w:rFonts w:hint="default"/>
                      <w:lang w:val="en-US" w:eastAsia="zh-CN"/>
                    </w:rPr>
                  </w:pPr>
                  <w:r>
                    <w:rPr>
                      <w:rFonts w:hint="eastAsia"/>
                      <w:lang w:val="en-US" w:eastAsia="zh-CN"/>
                    </w:rPr>
                    <w:t>套</w:t>
                  </w:r>
                </w:p>
              </w:tc>
              <w:tc>
                <w:tcPr>
                  <w:tcW w:w="3063" w:type="pct"/>
                  <w:noWrap w:val="0"/>
                  <w:vAlign w:val="center"/>
                </w:tcPr>
                <w:p>
                  <w:pPr>
                    <w:pStyle w:val="73"/>
                    <w:bidi w:val="0"/>
                    <w:rPr>
                      <w:rFonts w:hint="default"/>
                      <w:lang w:val="en-US" w:eastAsia="zh-CN"/>
                    </w:rPr>
                  </w:pPr>
                  <w:r>
                    <w:rPr>
                      <w:rFonts w:hint="default"/>
                      <w:lang w:val="en-US" w:eastAsia="zh-CN"/>
                    </w:rPr>
                    <w:t>包括：电葫芦1件，吊具1件，定向轮1件</w:t>
                  </w:r>
                  <w:r>
                    <w:rPr>
                      <w:rFonts w:hint="eastAsia"/>
                      <w:lang w:val="en-US" w:eastAsia="zh-CN"/>
                    </w:rPr>
                    <w:t>；提升高度：9米。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default"/>
                      <w:lang w:val="en-US" w:eastAsia="zh-CN"/>
                    </w:rPr>
                    <w:t>3</w:t>
                  </w:r>
                </w:p>
              </w:tc>
              <w:tc>
                <w:tcPr>
                  <w:tcW w:w="888" w:type="pct"/>
                  <w:noWrap w:val="0"/>
                  <w:vAlign w:val="center"/>
                </w:tcPr>
                <w:p>
                  <w:pPr>
                    <w:pStyle w:val="73"/>
                    <w:bidi w:val="0"/>
                    <w:rPr>
                      <w:rFonts w:hint="default"/>
                      <w:lang w:val="en-US" w:eastAsia="zh-CN"/>
                    </w:rPr>
                  </w:pPr>
                  <w:r>
                    <w:rPr>
                      <w:rFonts w:hint="default"/>
                      <w:lang w:val="en-US" w:eastAsia="zh-CN"/>
                    </w:rPr>
                    <w:t>放血线</w:t>
                  </w:r>
                </w:p>
              </w:tc>
              <w:tc>
                <w:tcPr>
                  <w:tcW w:w="288" w:type="pct"/>
                  <w:noWrap w:val="0"/>
                  <w:vAlign w:val="center"/>
                </w:tcPr>
                <w:p>
                  <w:pPr>
                    <w:pStyle w:val="73"/>
                    <w:bidi w:val="0"/>
                    <w:rPr>
                      <w:rFonts w:hint="default"/>
                      <w:lang w:val="en-US" w:eastAsia="zh-CN"/>
                    </w:rPr>
                  </w:pPr>
                  <w:r>
                    <w:rPr>
                      <w:rFonts w:hint="eastAsia"/>
                      <w:lang w:val="en-US" w:eastAsia="zh-CN"/>
                    </w:rPr>
                    <w:t>1</w:t>
                  </w:r>
                </w:p>
              </w:tc>
              <w:tc>
                <w:tcPr>
                  <w:tcW w:w="389" w:type="pct"/>
                  <w:noWrap w:val="0"/>
                  <w:vAlign w:val="center"/>
                </w:tcPr>
                <w:p>
                  <w:pPr>
                    <w:pStyle w:val="73"/>
                    <w:bidi w:val="0"/>
                    <w:rPr>
                      <w:rFonts w:hint="default"/>
                      <w:lang w:val="en-US" w:eastAsia="zh-CN"/>
                    </w:rPr>
                  </w:pPr>
                  <w:r>
                    <w:rPr>
                      <w:rFonts w:hint="eastAsia"/>
                      <w:lang w:val="en-US" w:eastAsia="zh-CN"/>
                    </w:rPr>
                    <w:t>套</w:t>
                  </w:r>
                </w:p>
              </w:tc>
              <w:tc>
                <w:tcPr>
                  <w:tcW w:w="3063" w:type="pct"/>
                  <w:noWrap w:val="0"/>
                  <w:vAlign w:val="center"/>
                </w:tcPr>
                <w:p>
                  <w:pPr>
                    <w:pStyle w:val="73"/>
                    <w:bidi w:val="0"/>
                    <w:rPr>
                      <w:rFonts w:hint="default"/>
                      <w:lang w:val="en-US" w:eastAsia="zh-CN"/>
                    </w:rPr>
                  </w:pPr>
                  <w:r>
                    <w:rPr>
                      <w:rFonts w:hint="eastAsia"/>
                      <w:lang w:val="en-US" w:eastAsia="zh-CN"/>
                    </w:rPr>
                    <w:t>包含：</w:t>
                  </w:r>
                  <w:r>
                    <w:rPr>
                      <w:rFonts w:hint="default"/>
                      <w:lang w:val="en-US" w:eastAsia="zh-CN"/>
                    </w:rPr>
                    <w:t>热镀锌管轨φ60x4轨道，热镀锌吊架，不锈钢连接件</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70" w:type="pct"/>
                  <w:noWrap w:val="0"/>
                  <w:vAlign w:val="center"/>
                </w:tcPr>
                <w:p>
                  <w:pPr>
                    <w:pStyle w:val="73"/>
                    <w:bidi w:val="0"/>
                    <w:rPr>
                      <w:rFonts w:hint="default"/>
                      <w:lang w:val="en-US" w:eastAsia="zh-CN"/>
                    </w:rPr>
                  </w:pPr>
                  <w:r>
                    <w:rPr>
                      <w:rFonts w:hint="default"/>
                      <w:lang w:val="en-US" w:eastAsia="zh-CN"/>
                    </w:rPr>
                    <w:t>4</w:t>
                  </w:r>
                </w:p>
              </w:tc>
              <w:tc>
                <w:tcPr>
                  <w:tcW w:w="888" w:type="pct"/>
                  <w:noWrap w:val="0"/>
                  <w:vAlign w:val="center"/>
                </w:tcPr>
                <w:p>
                  <w:pPr>
                    <w:pStyle w:val="73"/>
                    <w:bidi w:val="0"/>
                    <w:rPr>
                      <w:rFonts w:hint="default"/>
                      <w:lang w:val="en-US" w:eastAsia="zh-CN"/>
                    </w:rPr>
                  </w:pPr>
                  <w:r>
                    <w:rPr>
                      <w:rFonts w:hint="default"/>
                      <w:lang w:val="en-US" w:eastAsia="zh-CN"/>
                    </w:rPr>
                    <w:t>集血槽</w:t>
                  </w:r>
                </w:p>
              </w:tc>
              <w:tc>
                <w:tcPr>
                  <w:tcW w:w="288" w:type="pct"/>
                  <w:noWrap w:val="0"/>
                  <w:vAlign w:val="center"/>
                </w:tcPr>
                <w:p>
                  <w:pPr>
                    <w:pStyle w:val="73"/>
                    <w:bidi w:val="0"/>
                    <w:rPr>
                      <w:rFonts w:hint="default"/>
                      <w:lang w:val="en-US" w:eastAsia="zh-CN"/>
                    </w:rPr>
                  </w:pPr>
                  <w:r>
                    <w:rPr>
                      <w:rFonts w:hint="eastAsia"/>
                      <w:lang w:val="en-US" w:eastAsia="zh-CN"/>
                    </w:rPr>
                    <w:t>1</w:t>
                  </w:r>
                </w:p>
              </w:tc>
              <w:tc>
                <w:tcPr>
                  <w:tcW w:w="389" w:type="pct"/>
                  <w:noWrap w:val="0"/>
                  <w:vAlign w:val="center"/>
                </w:tcPr>
                <w:p>
                  <w:pPr>
                    <w:pStyle w:val="73"/>
                    <w:bidi w:val="0"/>
                    <w:rPr>
                      <w:rFonts w:hint="default"/>
                      <w:lang w:val="en-US" w:eastAsia="zh-CN"/>
                    </w:rPr>
                  </w:pPr>
                  <w:r>
                    <w:rPr>
                      <w:rFonts w:hint="eastAsia"/>
                      <w:lang w:val="en-US" w:eastAsia="zh-CN"/>
                    </w:rPr>
                    <w:t>套</w:t>
                  </w:r>
                </w:p>
              </w:tc>
              <w:tc>
                <w:tcPr>
                  <w:tcW w:w="3063" w:type="pct"/>
                  <w:noWrap w:val="0"/>
                  <w:vAlign w:val="center"/>
                </w:tcPr>
                <w:p>
                  <w:pPr>
                    <w:pStyle w:val="73"/>
                    <w:bidi w:val="0"/>
                    <w:rPr>
                      <w:rFonts w:hint="default"/>
                      <w:lang w:val="en-US" w:eastAsia="zh-CN"/>
                    </w:rPr>
                  </w:pPr>
                  <w:r>
                    <w:rPr>
                      <w:rFonts w:hint="default"/>
                      <w:lang w:val="en-US" w:eastAsia="zh-CN"/>
                    </w:rPr>
                    <w:t>全不锈钢制作，板厚2mm食品级不锈钢304</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default"/>
                      <w:lang w:val="en-US" w:eastAsia="zh-CN"/>
                    </w:rPr>
                    <w:t>5</w:t>
                  </w:r>
                </w:p>
              </w:tc>
              <w:tc>
                <w:tcPr>
                  <w:tcW w:w="888" w:type="pct"/>
                  <w:noWrap w:val="0"/>
                  <w:vAlign w:val="center"/>
                </w:tcPr>
                <w:p>
                  <w:pPr>
                    <w:pStyle w:val="73"/>
                    <w:bidi w:val="0"/>
                    <w:rPr>
                      <w:rFonts w:hint="default"/>
                      <w:lang w:val="en-US" w:eastAsia="zh-CN"/>
                    </w:rPr>
                  </w:pPr>
                  <w:r>
                    <w:rPr>
                      <w:rFonts w:hint="default"/>
                    </w:rPr>
                    <w:t>手动限位闸</w:t>
                  </w:r>
                </w:p>
              </w:tc>
              <w:tc>
                <w:tcPr>
                  <w:tcW w:w="288" w:type="pct"/>
                  <w:noWrap w:val="0"/>
                  <w:vAlign w:val="center"/>
                </w:tcPr>
                <w:p>
                  <w:pPr>
                    <w:pStyle w:val="73"/>
                    <w:bidi w:val="0"/>
                    <w:rPr>
                      <w:rFonts w:hint="default"/>
                      <w:lang w:val="en-US" w:eastAsia="zh-CN"/>
                    </w:rPr>
                  </w:pPr>
                  <w:r>
                    <w:rPr>
                      <w:rFonts w:hint="default"/>
                    </w:rPr>
                    <w:t>12</w:t>
                  </w:r>
                </w:p>
              </w:tc>
              <w:tc>
                <w:tcPr>
                  <w:tcW w:w="389" w:type="pct"/>
                  <w:noWrap w:val="0"/>
                  <w:vAlign w:val="center"/>
                </w:tcPr>
                <w:p>
                  <w:pPr>
                    <w:pStyle w:val="73"/>
                    <w:bidi w:val="0"/>
                    <w:rPr>
                      <w:rFonts w:hint="default"/>
                      <w:lang w:val="en-US" w:eastAsia="zh-CN"/>
                    </w:rPr>
                  </w:pPr>
                  <w:r>
                    <w:rPr>
                      <w:rFonts w:hint="default"/>
                    </w:rPr>
                    <w:t>套</w:t>
                  </w:r>
                </w:p>
              </w:tc>
              <w:tc>
                <w:tcPr>
                  <w:tcW w:w="3063" w:type="pct"/>
                  <w:noWrap w:val="0"/>
                  <w:vAlign w:val="center"/>
                </w:tcPr>
                <w:p>
                  <w:pPr>
                    <w:pStyle w:val="73"/>
                    <w:bidi w:val="0"/>
                    <w:rPr>
                      <w:rFonts w:hint="eastAsia"/>
                      <w:lang w:val="en-US" w:eastAsia="zh-CN"/>
                    </w:rPr>
                  </w:pPr>
                  <w:r>
                    <w:rPr>
                      <w:rFonts w:hint="default"/>
                    </w:rPr>
                    <w:t>安装于放血手推线及毛牛转挂手推线的各个工位，确保操作时牛体不滑动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70" w:type="pct"/>
                  <w:noWrap w:val="0"/>
                  <w:vAlign w:val="center"/>
                </w:tcPr>
                <w:p>
                  <w:pPr>
                    <w:pStyle w:val="73"/>
                    <w:bidi w:val="0"/>
                    <w:rPr>
                      <w:rFonts w:hint="default"/>
                      <w:lang w:val="en-US" w:eastAsia="zh-CN"/>
                    </w:rPr>
                  </w:pPr>
                  <w:r>
                    <w:rPr>
                      <w:rFonts w:hint="default"/>
                    </w:rPr>
                    <w:t>6</w:t>
                  </w:r>
                </w:p>
              </w:tc>
              <w:tc>
                <w:tcPr>
                  <w:tcW w:w="888" w:type="pct"/>
                  <w:noWrap w:val="0"/>
                  <w:vAlign w:val="center"/>
                </w:tcPr>
                <w:p>
                  <w:pPr>
                    <w:pStyle w:val="73"/>
                    <w:bidi w:val="0"/>
                    <w:rPr>
                      <w:rFonts w:hint="default"/>
                      <w:lang w:val="en-US" w:eastAsia="zh-CN"/>
                    </w:rPr>
                  </w:pPr>
                  <w:r>
                    <w:rPr>
                      <w:rFonts w:hint="default"/>
                    </w:rPr>
                    <w:t>放血吊链</w:t>
                  </w:r>
                </w:p>
              </w:tc>
              <w:tc>
                <w:tcPr>
                  <w:tcW w:w="288" w:type="pct"/>
                  <w:noWrap w:val="0"/>
                  <w:vAlign w:val="center"/>
                </w:tcPr>
                <w:p>
                  <w:pPr>
                    <w:pStyle w:val="73"/>
                    <w:bidi w:val="0"/>
                    <w:rPr>
                      <w:rFonts w:hint="default"/>
                      <w:lang w:val="en-US" w:eastAsia="zh-CN"/>
                    </w:rPr>
                  </w:pPr>
                  <w:r>
                    <w:rPr>
                      <w:rFonts w:hint="default"/>
                    </w:rPr>
                    <w:t>4</w:t>
                  </w:r>
                </w:p>
              </w:tc>
              <w:tc>
                <w:tcPr>
                  <w:tcW w:w="389" w:type="pct"/>
                  <w:noWrap w:val="0"/>
                  <w:vAlign w:val="center"/>
                </w:tcPr>
                <w:p>
                  <w:pPr>
                    <w:pStyle w:val="73"/>
                    <w:bidi w:val="0"/>
                    <w:rPr>
                      <w:rFonts w:hint="default"/>
                      <w:lang w:val="en-US" w:eastAsia="zh-CN"/>
                    </w:rPr>
                  </w:pPr>
                  <w:r>
                    <w:rPr>
                      <w:rFonts w:hint="default"/>
                    </w:rPr>
                    <w:t>个</w:t>
                  </w:r>
                </w:p>
              </w:tc>
              <w:tc>
                <w:tcPr>
                  <w:tcW w:w="3063" w:type="pct"/>
                  <w:noWrap w:val="0"/>
                  <w:vAlign w:val="center"/>
                </w:tcPr>
                <w:p>
                  <w:pPr>
                    <w:pStyle w:val="73"/>
                    <w:bidi w:val="0"/>
                    <w:rPr>
                      <w:rFonts w:hint="default"/>
                      <w:lang w:val="en-US" w:eastAsia="zh-CN"/>
                    </w:rPr>
                  </w:pPr>
                  <w:r>
                    <w:rPr>
                      <w:rFonts w:hint="default"/>
                    </w:rPr>
                    <w:t>用于放血轨道上输送牛体。总长约：1300mm。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default"/>
                    </w:rPr>
                    <w:t>7</w:t>
                  </w:r>
                </w:p>
              </w:tc>
              <w:tc>
                <w:tcPr>
                  <w:tcW w:w="888" w:type="pct"/>
                  <w:noWrap w:val="0"/>
                  <w:vAlign w:val="center"/>
                </w:tcPr>
                <w:p>
                  <w:pPr>
                    <w:pStyle w:val="73"/>
                    <w:bidi w:val="0"/>
                    <w:rPr>
                      <w:rFonts w:hint="default"/>
                      <w:lang w:val="en-US" w:eastAsia="zh-CN"/>
                    </w:rPr>
                  </w:pPr>
                  <w:r>
                    <w:rPr>
                      <w:rFonts w:hint="default"/>
                    </w:rPr>
                    <w:t>毛牛换轨提升机</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eastAsia"/>
                      <w:lang w:val="en-US" w:eastAsia="zh-CN"/>
                    </w:rPr>
                  </w:pPr>
                  <w:r>
                    <w:rPr>
                      <w:rFonts w:hint="default"/>
                    </w:rPr>
                    <w:t>用于将牛体从放血吊链转挂到2个滚轮吊钩上。提升能力：2T；提升高度：4m</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default"/>
                    </w:rPr>
                    <w:t>8</w:t>
                  </w:r>
                </w:p>
              </w:tc>
              <w:tc>
                <w:tcPr>
                  <w:tcW w:w="888" w:type="pct"/>
                  <w:noWrap w:val="0"/>
                  <w:vAlign w:val="center"/>
                </w:tcPr>
                <w:p>
                  <w:pPr>
                    <w:pStyle w:val="73"/>
                    <w:bidi w:val="0"/>
                    <w:rPr>
                      <w:rFonts w:hint="default"/>
                      <w:lang w:val="en-US" w:eastAsia="zh-CN"/>
                    </w:rPr>
                  </w:pPr>
                  <w:r>
                    <w:rPr>
                      <w:rFonts w:hint="default"/>
                    </w:rPr>
                    <w:t>后肢预剥转挂站台</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eastAsia"/>
                      <w:lang w:val="en-US" w:eastAsia="zh-CN"/>
                    </w:rPr>
                  </w:pPr>
                  <w:r>
                    <w:rPr>
                      <w:rFonts w:hint="default"/>
                    </w:rPr>
                    <w:t>台面尺寸2000×1350*2200mm（长×宽*高）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eastAsia"/>
                      <w:lang w:val="en-US" w:eastAsia="zh-CN"/>
                    </w:rPr>
                  </w:pPr>
                  <w:r>
                    <w:rPr>
                      <w:rFonts w:hint="eastAsia"/>
                      <w:lang w:val="en-US" w:eastAsia="zh-CN"/>
                    </w:rPr>
                    <w:t>9</w:t>
                  </w:r>
                </w:p>
              </w:tc>
              <w:tc>
                <w:tcPr>
                  <w:tcW w:w="888" w:type="pct"/>
                  <w:noWrap w:val="0"/>
                  <w:vAlign w:val="center"/>
                </w:tcPr>
                <w:p>
                  <w:pPr>
                    <w:pStyle w:val="73"/>
                    <w:bidi w:val="0"/>
                    <w:rPr>
                      <w:rFonts w:hint="default"/>
                      <w:lang w:val="en-US" w:eastAsia="zh-CN"/>
                    </w:rPr>
                  </w:pPr>
                  <w:r>
                    <w:rPr>
                      <w:rFonts w:hint="default"/>
                    </w:rPr>
                    <w:t>胴体加工手推线</w:t>
                  </w:r>
                </w:p>
              </w:tc>
              <w:tc>
                <w:tcPr>
                  <w:tcW w:w="288" w:type="pct"/>
                  <w:noWrap w:val="0"/>
                  <w:vAlign w:val="center"/>
                </w:tcPr>
                <w:p>
                  <w:pPr>
                    <w:pStyle w:val="73"/>
                    <w:bidi w:val="0"/>
                    <w:rPr>
                      <w:rFonts w:hint="default"/>
                      <w:lang w:val="en-US" w:eastAsia="zh-CN"/>
                    </w:rPr>
                  </w:pPr>
                  <w:r>
                    <w:rPr>
                      <w:rFonts w:hint="default"/>
                    </w:rPr>
                    <w:t>20</w:t>
                  </w:r>
                </w:p>
              </w:tc>
              <w:tc>
                <w:tcPr>
                  <w:tcW w:w="389" w:type="pct"/>
                  <w:noWrap w:val="0"/>
                  <w:vAlign w:val="center"/>
                </w:tcPr>
                <w:p>
                  <w:pPr>
                    <w:pStyle w:val="73"/>
                    <w:bidi w:val="0"/>
                    <w:rPr>
                      <w:rFonts w:hint="default"/>
                      <w:lang w:val="en-US" w:eastAsia="zh-CN"/>
                    </w:rPr>
                  </w:pPr>
                  <w:r>
                    <w:rPr>
                      <w:rFonts w:hint="default"/>
                    </w:rPr>
                    <w:t>米</w:t>
                  </w:r>
                </w:p>
              </w:tc>
              <w:tc>
                <w:tcPr>
                  <w:tcW w:w="3063" w:type="pct"/>
                  <w:noWrap w:val="0"/>
                  <w:vAlign w:val="center"/>
                </w:tcPr>
                <w:p>
                  <w:pPr>
                    <w:pStyle w:val="73"/>
                    <w:bidi w:val="0"/>
                    <w:rPr>
                      <w:rFonts w:hint="eastAsia"/>
                      <w:lang w:val="en-US" w:eastAsia="zh-CN"/>
                    </w:rPr>
                  </w:pPr>
                  <w:r>
                    <w:rPr>
                      <w:rFonts w:hint="default"/>
                    </w:rPr>
                    <w:t>不锈钢轨道，热镀锌吊架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eastAsia"/>
                      <w:lang w:val="en-US" w:eastAsia="zh-CN"/>
                    </w:rPr>
                    <w:t>10</w:t>
                  </w:r>
                </w:p>
              </w:tc>
              <w:tc>
                <w:tcPr>
                  <w:tcW w:w="888" w:type="pct"/>
                  <w:noWrap w:val="0"/>
                  <w:vAlign w:val="center"/>
                </w:tcPr>
                <w:p>
                  <w:pPr>
                    <w:pStyle w:val="73"/>
                    <w:bidi w:val="0"/>
                    <w:rPr>
                      <w:rFonts w:hint="default"/>
                      <w:lang w:val="en-US" w:eastAsia="zh-CN"/>
                    </w:rPr>
                  </w:pPr>
                  <w:r>
                    <w:rPr>
                      <w:rFonts w:hint="default"/>
                    </w:rPr>
                    <w:t>白内脏接收滑槽</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default"/>
                      <w:lang w:val="en-US" w:eastAsia="zh-CN"/>
                    </w:rPr>
                  </w:pPr>
                  <w:r>
                    <w:rPr>
                      <w:rFonts w:hint="default"/>
                    </w:rPr>
                    <w:t>用于接收白内脏，2440*1280*200mm；不锈钢制作，板材厚1.5mm。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eastAsia"/>
                      <w:lang w:val="en-US" w:eastAsia="zh-CN"/>
                    </w:rPr>
                    <w:t>11</w:t>
                  </w:r>
                </w:p>
              </w:tc>
              <w:tc>
                <w:tcPr>
                  <w:tcW w:w="888" w:type="pct"/>
                  <w:noWrap w:val="0"/>
                  <w:vAlign w:val="center"/>
                </w:tcPr>
                <w:p>
                  <w:pPr>
                    <w:pStyle w:val="73"/>
                    <w:bidi w:val="0"/>
                    <w:rPr>
                      <w:rFonts w:hint="default"/>
                      <w:lang w:val="en-US" w:eastAsia="zh-CN"/>
                    </w:rPr>
                  </w:pPr>
                  <w:r>
                    <w:rPr>
                      <w:rFonts w:hint="default"/>
                    </w:rPr>
                    <w:t>管轨滑轮吊钩</w:t>
                  </w:r>
                </w:p>
              </w:tc>
              <w:tc>
                <w:tcPr>
                  <w:tcW w:w="288" w:type="pct"/>
                  <w:noWrap w:val="0"/>
                  <w:vAlign w:val="center"/>
                </w:tcPr>
                <w:p>
                  <w:pPr>
                    <w:pStyle w:val="73"/>
                    <w:bidi w:val="0"/>
                    <w:rPr>
                      <w:rFonts w:hint="default"/>
                      <w:lang w:val="en-US" w:eastAsia="zh-CN"/>
                    </w:rPr>
                  </w:pPr>
                  <w:r>
                    <w:rPr>
                      <w:rFonts w:hint="default"/>
                    </w:rPr>
                    <w:t>20</w:t>
                  </w:r>
                </w:p>
              </w:tc>
              <w:tc>
                <w:tcPr>
                  <w:tcW w:w="389" w:type="pct"/>
                  <w:noWrap w:val="0"/>
                  <w:vAlign w:val="center"/>
                </w:tcPr>
                <w:p>
                  <w:pPr>
                    <w:pStyle w:val="73"/>
                    <w:bidi w:val="0"/>
                    <w:rPr>
                      <w:rFonts w:hint="default"/>
                      <w:lang w:val="en-US" w:eastAsia="zh-CN"/>
                    </w:rPr>
                  </w:pPr>
                  <w:r>
                    <w:rPr>
                      <w:rFonts w:hint="default"/>
                    </w:rPr>
                    <w:t>只</w:t>
                  </w:r>
                </w:p>
              </w:tc>
              <w:tc>
                <w:tcPr>
                  <w:tcW w:w="3063" w:type="pct"/>
                  <w:noWrap w:val="0"/>
                  <w:vAlign w:val="center"/>
                </w:tcPr>
                <w:p>
                  <w:pPr>
                    <w:pStyle w:val="73"/>
                    <w:bidi w:val="0"/>
                    <w:rPr>
                      <w:rFonts w:hint="default"/>
                      <w:lang w:val="en-US" w:eastAsia="zh-CN"/>
                    </w:rPr>
                  </w:pPr>
                  <w:r>
                    <w:rPr>
                      <w:rFonts w:hint="default"/>
                    </w:rPr>
                    <w:t>用于牛胴体的输送。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eastAsia"/>
                      <w:lang w:val="en-US" w:eastAsia="zh-CN"/>
                    </w:rPr>
                  </w:pPr>
                  <w:r>
                    <w:rPr>
                      <w:rFonts w:hint="default"/>
                    </w:rPr>
                    <w:t>1</w:t>
                  </w:r>
                  <w:r>
                    <w:rPr>
                      <w:rFonts w:hint="eastAsia"/>
                      <w:lang w:val="en-US" w:eastAsia="zh-CN"/>
                    </w:rPr>
                    <w:t>2</w:t>
                  </w:r>
                </w:p>
              </w:tc>
              <w:tc>
                <w:tcPr>
                  <w:tcW w:w="888" w:type="pct"/>
                  <w:noWrap w:val="0"/>
                  <w:vAlign w:val="center"/>
                </w:tcPr>
                <w:p>
                  <w:pPr>
                    <w:pStyle w:val="73"/>
                    <w:bidi w:val="0"/>
                    <w:rPr>
                      <w:rFonts w:hint="default"/>
                      <w:lang w:val="en-US" w:eastAsia="zh-CN"/>
                    </w:rPr>
                  </w:pPr>
                  <w:r>
                    <w:rPr>
                      <w:rFonts w:hint="default"/>
                    </w:rPr>
                    <w:t>气动双柱升降台</w:t>
                  </w:r>
                </w:p>
              </w:tc>
              <w:tc>
                <w:tcPr>
                  <w:tcW w:w="288" w:type="pct"/>
                  <w:noWrap w:val="0"/>
                  <w:vAlign w:val="center"/>
                </w:tcPr>
                <w:p>
                  <w:pPr>
                    <w:pStyle w:val="73"/>
                    <w:bidi w:val="0"/>
                    <w:rPr>
                      <w:rFonts w:hint="default"/>
                      <w:lang w:val="en-US" w:eastAsia="zh-CN"/>
                    </w:rPr>
                  </w:pPr>
                  <w:r>
                    <w:rPr>
                      <w:rFonts w:hint="default"/>
                    </w:rPr>
                    <w:t>2</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eastAsia"/>
                      <w:lang w:val="en-US" w:eastAsia="zh-CN"/>
                    </w:rPr>
                  </w:pPr>
                  <w:r>
                    <w:rPr>
                      <w:rFonts w:hint="default"/>
                    </w:rPr>
                    <w:t>用于预剥、劈半。包括：1套不锈钢平台和护栏、升降轨道；平台中间装有1个汽缸和升降车体相连</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eastAsia"/>
                      <w:lang w:val="en-US" w:eastAsia="zh-CN"/>
                    </w:rPr>
                  </w:pPr>
                  <w:r>
                    <w:rPr>
                      <w:rFonts w:hint="default"/>
                    </w:rPr>
                    <w:t>1</w:t>
                  </w:r>
                  <w:r>
                    <w:rPr>
                      <w:rFonts w:hint="eastAsia"/>
                      <w:lang w:val="en-US" w:eastAsia="zh-CN"/>
                    </w:rPr>
                    <w:t>3</w:t>
                  </w:r>
                </w:p>
              </w:tc>
              <w:tc>
                <w:tcPr>
                  <w:tcW w:w="888" w:type="pct"/>
                  <w:noWrap w:val="0"/>
                  <w:vAlign w:val="center"/>
                </w:tcPr>
                <w:p>
                  <w:pPr>
                    <w:pStyle w:val="73"/>
                    <w:bidi w:val="0"/>
                    <w:rPr>
                      <w:rFonts w:hint="default"/>
                      <w:lang w:val="en-US" w:eastAsia="zh-CN"/>
                    </w:rPr>
                  </w:pPr>
                  <w:r>
                    <w:rPr>
                      <w:rFonts w:hint="default"/>
                    </w:rPr>
                    <w:t>牛扯皮机</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default"/>
                      <w:lang w:val="en-US" w:eastAsia="zh-CN"/>
                    </w:rPr>
                  </w:pPr>
                  <w:r>
                    <w:rPr>
                      <w:rFonts w:hint="default"/>
                    </w:rPr>
                    <w:t>用于从上到下剥除牛皮；含压力系统和程序控制系统；1个升降气缸；2根不锈钢扯皮链条；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eastAsia"/>
                      <w:lang w:val="en-US" w:eastAsia="zh-CN"/>
                    </w:rPr>
                  </w:pPr>
                  <w:r>
                    <w:rPr>
                      <w:rFonts w:hint="default"/>
                    </w:rPr>
                    <w:t>1</w:t>
                  </w:r>
                  <w:r>
                    <w:rPr>
                      <w:rFonts w:hint="eastAsia"/>
                      <w:lang w:val="en-US" w:eastAsia="zh-CN"/>
                    </w:rPr>
                    <w:t>4</w:t>
                  </w:r>
                </w:p>
              </w:tc>
              <w:tc>
                <w:tcPr>
                  <w:tcW w:w="888" w:type="pct"/>
                  <w:noWrap w:val="0"/>
                  <w:vAlign w:val="center"/>
                </w:tcPr>
                <w:p>
                  <w:pPr>
                    <w:pStyle w:val="73"/>
                    <w:bidi w:val="0"/>
                    <w:rPr>
                      <w:rFonts w:hint="default"/>
                      <w:lang w:val="en-US" w:eastAsia="zh-CN"/>
                    </w:rPr>
                  </w:pPr>
                  <w:r>
                    <w:rPr>
                      <w:rFonts w:hint="eastAsia"/>
                      <w:lang w:eastAsia="zh-CN"/>
                    </w:rPr>
                    <w:t>拴牛</w:t>
                  </w:r>
                  <w:r>
                    <w:rPr>
                      <w:rFonts w:hint="default"/>
                    </w:rPr>
                    <w:t>架</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eastAsia"/>
                      <w:lang w:val="en-US" w:eastAsia="zh-CN"/>
                    </w:rPr>
                  </w:pPr>
                  <w:r>
                    <w:rPr>
                      <w:rFonts w:hint="default"/>
                    </w:rPr>
                    <w:t>用于牛扯皮时前腿的固定热镀锌架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70" w:type="pct"/>
                  <w:noWrap w:val="0"/>
                  <w:vAlign w:val="center"/>
                </w:tcPr>
                <w:p>
                  <w:pPr>
                    <w:pStyle w:val="73"/>
                    <w:bidi w:val="0"/>
                    <w:rPr>
                      <w:rFonts w:hint="eastAsia"/>
                      <w:lang w:val="en-US" w:eastAsia="zh-CN"/>
                    </w:rPr>
                  </w:pPr>
                  <w:r>
                    <w:rPr>
                      <w:rFonts w:hint="default"/>
                    </w:rPr>
                    <w:t>1</w:t>
                  </w:r>
                  <w:r>
                    <w:rPr>
                      <w:rFonts w:hint="eastAsia"/>
                      <w:lang w:val="en-US" w:eastAsia="zh-CN"/>
                    </w:rPr>
                    <w:t>5</w:t>
                  </w:r>
                </w:p>
              </w:tc>
              <w:tc>
                <w:tcPr>
                  <w:tcW w:w="888" w:type="pct"/>
                  <w:noWrap w:val="0"/>
                  <w:vAlign w:val="center"/>
                </w:tcPr>
                <w:p>
                  <w:pPr>
                    <w:pStyle w:val="73"/>
                    <w:bidi w:val="0"/>
                    <w:rPr>
                      <w:rFonts w:hint="default"/>
                      <w:lang w:val="en-US" w:eastAsia="zh-CN"/>
                    </w:rPr>
                  </w:pPr>
                  <w:r>
                    <w:rPr>
                      <w:rFonts w:hint="default"/>
                    </w:rPr>
                    <w:t>开胸站台</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default"/>
                      <w:lang w:val="en-US" w:eastAsia="zh-CN"/>
                    </w:rPr>
                  </w:pPr>
                  <w:r>
                    <w:rPr>
                      <w:rFonts w:hint="default"/>
                    </w:rPr>
                    <w:t>用于将牛体开胸的站台。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0" w:type="pct"/>
                  <w:noWrap w:val="0"/>
                  <w:vAlign w:val="center"/>
                </w:tcPr>
                <w:p>
                  <w:pPr>
                    <w:pStyle w:val="73"/>
                    <w:bidi w:val="0"/>
                    <w:rPr>
                      <w:rFonts w:hint="eastAsia"/>
                      <w:lang w:val="en-US" w:eastAsia="zh-CN"/>
                    </w:rPr>
                  </w:pPr>
                  <w:r>
                    <w:rPr>
                      <w:rFonts w:hint="default"/>
                    </w:rPr>
                    <w:t>1</w:t>
                  </w:r>
                  <w:r>
                    <w:rPr>
                      <w:rFonts w:hint="eastAsia"/>
                      <w:lang w:val="en-US" w:eastAsia="zh-CN"/>
                    </w:rPr>
                    <w:t>6</w:t>
                  </w:r>
                </w:p>
              </w:tc>
              <w:tc>
                <w:tcPr>
                  <w:tcW w:w="888" w:type="pct"/>
                  <w:noWrap w:val="0"/>
                  <w:vAlign w:val="center"/>
                </w:tcPr>
                <w:p>
                  <w:pPr>
                    <w:pStyle w:val="73"/>
                    <w:bidi w:val="0"/>
                    <w:rPr>
                      <w:rFonts w:hint="default"/>
                      <w:lang w:val="en-US" w:eastAsia="zh-CN"/>
                    </w:rPr>
                  </w:pPr>
                  <w:r>
                    <w:rPr>
                      <w:rFonts w:hint="default"/>
                    </w:rPr>
                    <w:t>取白脏升降台</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eastAsia"/>
                      <w:lang w:val="en-US" w:eastAsia="zh-CN"/>
                    </w:rPr>
                  </w:pPr>
                  <w:r>
                    <w:rPr>
                      <w:rFonts w:hint="default"/>
                    </w:rPr>
                    <w:t>用于取出牛白内脏</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0" w:type="pct"/>
                  <w:noWrap w:val="0"/>
                  <w:vAlign w:val="center"/>
                </w:tcPr>
                <w:p>
                  <w:pPr>
                    <w:pStyle w:val="73"/>
                    <w:bidi w:val="0"/>
                    <w:rPr>
                      <w:rFonts w:hint="default"/>
                      <w:lang w:val="en-US" w:eastAsia="zh-CN"/>
                    </w:rPr>
                  </w:pPr>
                  <w:r>
                    <w:rPr>
                      <w:rFonts w:hint="eastAsia"/>
                      <w:lang w:val="en-US" w:eastAsia="zh-CN"/>
                    </w:rPr>
                    <w:t>17</w:t>
                  </w:r>
                </w:p>
              </w:tc>
              <w:tc>
                <w:tcPr>
                  <w:tcW w:w="888" w:type="pct"/>
                  <w:noWrap w:val="0"/>
                  <w:vAlign w:val="center"/>
                </w:tcPr>
                <w:p>
                  <w:pPr>
                    <w:pStyle w:val="73"/>
                    <w:bidi w:val="0"/>
                    <w:rPr>
                      <w:rFonts w:hint="default"/>
                      <w:lang w:val="en-US" w:eastAsia="zh-CN"/>
                    </w:rPr>
                  </w:pPr>
                  <w:r>
                    <w:rPr>
                      <w:rFonts w:hint="default"/>
                    </w:rPr>
                    <w:t>轨道电子秤</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default"/>
                      <w:lang w:val="en-US" w:eastAsia="zh-CN"/>
                    </w:rPr>
                  </w:pPr>
                  <w:r>
                    <w:rPr>
                      <w:rFonts w:hint="default"/>
                    </w:rPr>
                    <w:t>用于四分体的称重</w:t>
                  </w:r>
                  <w:r>
                    <w:rPr>
                      <w:rFonts w:hint="eastAsia"/>
                      <w:lang w:eastAsia="zh-CN"/>
                    </w:rPr>
                    <w:t>；</w:t>
                  </w:r>
                  <w:r>
                    <w:rPr>
                      <w:rFonts w:hint="default"/>
                    </w:rPr>
                    <w:t>含显示屏、打印装置</w:t>
                  </w:r>
                  <w:r>
                    <w:rPr>
                      <w:rFonts w:hint="eastAsia"/>
                      <w:lang w:eastAsia="zh-CN"/>
                    </w:rPr>
                    <w:t>；</w:t>
                  </w:r>
                  <w:r>
                    <w:rPr>
                      <w:rFonts w:hint="default"/>
                    </w:rPr>
                    <w:t>最大称重：500KG。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eastAsia"/>
                      <w:lang w:val="en-US" w:eastAsia="zh-CN"/>
                    </w:rPr>
                    <w:t>18</w:t>
                  </w:r>
                </w:p>
              </w:tc>
              <w:tc>
                <w:tcPr>
                  <w:tcW w:w="888" w:type="pct"/>
                  <w:noWrap w:val="0"/>
                  <w:vAlign w:val="center"/>
                </w:tcPr>
                <w:p>
                  <w:pPr>
                    <w:pStyle w:val="73"/>
                    <w:bidi w:val="0"/>
                    <w:rPr>
                      <w:rFonts w:hint="default"/>
                      <w:lang w:val="en-US" w:eastAsia="zh-CN"/>
                    </w:rPr>
                  </w:pPr>
                  <w:r>
                    <w:rPr>
                      <w:rFonts w:hint="default"/>
                    </w:rPr>
                    <w:t>四分体提升机</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台</w:t>
                  </w:r>
                </w:p>
              </w:tc>
              <w:tc>
                <w:tcPr>
                  <w:tcW w:w="3063" w:type="pct"/>
                  <w:noWrap w:val="0"/>
                  <w:vAlign w:val="center"/>
                </w:tcPr>
                <w:p>
                  <w:pPr>
                    <w:pStyle w:val="73"/>
                    <w:bidi w:val="0"/>
                    <w:rPr>
                      <w:rFonts w:hint="eastAsia"/>
                      <w:lang w:val="en-US" w:eastAsia="zh-CN"/>
                    </w:rPr>
                  </w:pPr>
                  <w:r>
                    <w:rPr>
                      <w:rFonts w:hint="default"/>
                    </w:rPr>
                    <w:t>用于提升前腿转挂至低轨道上</w:t>
                  </w:r>
                  <w:r>
                    <w:rPr>
                      <w:rFonts w:hint="eastAsia"/>
                      <w:lang w:eastAsia="zh-CN"/>
                    </w:rPr>
                    <w:t>，</w:t>
                  </w:r>
                  <w:r>
                    <w:rPr>
                      <w:rFonts w:hint="default"/>
                    </w:rPr>
                    <w:t>提升高度</w:t>
                  </w:r>
                  <w:r>
                    <w:rPr>
                      <w:rFonts w:hint="eastAsia"/>
                      <w:lang w:eastAsia="zh-CN"/>
                    </w:rPr>
                    <w:t>：</w:t>
                  </w:r>
                  <w:r>
                    <w:rPr>
                      <w:rFonts w:hint="default"/>
                    </w:rPr>
                    <w:t>4m</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lang w:val="en-US" w:eastAsia="zh-CN"/>
                    </w:rPr>
                  </w:pPr>
                  <w:r>
                    <w:rPr>
                      <w:rFonts w:hint="eastAsia"/>
                      <w:lang w:val="en-US" w:eastAsia="zh-CN"/>
                    </w:rPr>
                    <w:t>19</w:t>
                  </w:r>
                </w:p>
              </w:tc>
              <w:tc>
                <w:tcPr>
                  <w:tcW w:w="888" w:type="pct"/>
                  <w:noWrap w:val="0"/>
                  <w:vAlign w:val="center"/>
                </w:tcPr>
                <w:p>
                  <w:pPr>
                    <w:pStyle w:val="73"/>
                    <w:bidi w:val="0"/>
                    <w:rPr>
                      <w:rFonts w:hint="default"/>
                      <w:lang w:val="en-US" w:eastAsia="zh-CN"/>
                    </w:rPr>
                  </w:pPr>
                  <w:r>
                    <w:rPr>
                      <w:rFonts w:hint="default"/>
                    </w:rPr>
                    <w:t>四分体提升下降</w:t>
                  </w:r>
                </w:p>
              </w:tc>
              <w:tc>
                <w:tcPr>
                  <w:tcW w:w="288" w:type="pct"/>
                  <w:noWrap w:val="0"/>
                  <w:vAlign w:val="center"/>
                </w:tcPr>
                <w:p>
                  <w:pPr>
                    <w:pStyle w:val="73"/>
                    <w:bidi w:val="0"/>
                    <w:rPr>
                      <w:rFonts w:hint="default"/>
                      <w:lang w:val="en-US" w:eastAsia="zh-CN"/>
                    </w:rPr>
                  </w:pPr>
                  <w:r>
                    <w:rPr>
                      <w:rFonts w:hint="default"/>
                    </w:rPr>
                    <w:t>1</w:t>
                  </w:r>
                </w:p>
              </w:tc>
              <w:tc>
                <w:tcPr>
                  <w:tcW w:w="389" w:type="pct"/>
                  <w:noWrap w:val="0"/>
                  <w:vAlign w:val="center"/>
                </w:tcPr>
                <w:p>
                  <w:pPr>
                    <w:pStyle w:val="73"/>
                    <w:bidi w:val="0"/>
                    <w:rPr>
                      <w:rFonts w:hint="default"/>
                      <w:lang w:val="en-US" w:eastAsia="zh-CN"/>
                    </w:rPr>
                  </w:pPr>
                  <w:r>
                    <w:rPr>
                      <w:rFonts w:hint="default"/>
                    </w:rPr>
                    <w:t>套</w:t>
                  </w:r>
                </w:p>
              </w:tc>
              <w:tc>
                <w:tcPr>
                  <w:tcW w:w="3063" w:type="pct"/>
                  <w:noWrap w:val="0"/>
                  <w:vAlign w:val="center"/>
                </w:tcPr>
                <w:p>
                  <w:pPr>
                    <w:pStyle w:val="73"/>
                    <w:bidi w:val="0"/>
                    <w:rPr>
                      <w:rFonts w:hint="eastAsia"/>
                      <w:lang w:val="en-US" w:eastAsia="zh-CN"/>
                    </w:rPr>
                  </w:pPr>
                  <w:r>
                    <w:rPr>
                      <w:rFonts w:hint="default"/>
                    </w:rPr>
                    <w:t>用于将分段后的后腿下到低轨道高度，便于操作</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70" w:type="pct"/>
                  <w:noWrap w:val="0"/>
                  <w:vAlign w:val="center"/>
                </w:tcPr>
                <w:p>
                  <w:pPr>
                    <w:pStyle w:val="73"/>
                    <w:bidi w:val="0"/>
                    <w:rPr>
                      <w:rFonts w:hint="default"/>
                      <w:lang w:val="en-US" w:eastAsia="zh-CN"/>
                    </w:rPr>
                  </w:pPr>
                  <w:r>
                    <w:rPr>
                      <w:rFonts w:hint="eastAsia"/>
                      <w:lang w:val="en-US" w:eastAsia="zh-CN"/>
                    </w:rPr>
                    <w:t>20</w:t>
                  </w:r>
                </w:p>
              </w:tc>
              <w:tc>
                <w:tcPr>
                  <w:tcW w:w="888" w:type="pct"/>
                  <w:noWrap w:val="0"/>
                  <w:vAlign w:val="center"/>
                </w:tcPr>
                <w:p>
                  <w:pPr>
                    <w:pStyle w:val="73"/>
                    <w:bidi w:val="0"/>
                    <w:rPr>
                      <w:rFonts w:hint="default"/>
                      <w:lang w:val="en-US" w:eastAsia="zh-CN"/>
                    </w:rPr>
                  </w:pPr>
                  <w:r>
                    <w:rPr>
                      <w:rFonts w:hint="default"/>
                    </w:rPr>
                    <w:t>电控箱</w:t>
                  </w:r>
                </w:p>
              </w:tc>
              <w:tc>
                <w:tcPr>
                  <w:tcW w:w="288" w:type="pct"/>
                  <w:noWrap w:val="0"/>
                  <w:vAlign w:val="center"/>
                </w:tcPr>
                <w:p>
                  <w:pPr>
                    <w:pStyle w:val="73"/>
                    <w:bidi w:val="0"/>
                    <w:rPr>
                      <w:rFonts w:hint="default"/>
                      <w:lang w:val="en-US" w:eastAsia="zh-CN"/>
                    </w:rPr>
                  </w:pPr>
                  <w:r>
                    <w:rPr>
                      <w:rFonts w:hint="default"/>
                    </w:rPr>
                    <w:t>2</w:t>
                  </w:r>
                </w:p>
              </w:tc>
              <w:tc>
                <w:tcPr>
                  <w:tcW w:w="389" w:type="pct"/>
                  <w:noWrap w:val="0"/>
                  <w:vAlign w:val="center"/>
                </w:tcPr>
                <w:p>
                  <w:pPr>
                    <w:pStyle w:val="73"/>
                    <w:bidi w:val="0"/>
                    <w:rPr>
                      <w:rFonts w:hint="default"/>
                      <w:lang w:val="en-US" w:eastAsia="zh-CN"/>
                    </w:rPr>
                  </w:pPr>
                  <w:r>
                    <w:rPr>
                      <w:rFonts w:hint="default"/>
                    </w:rPr>
                    <w:t>套</w:t>
                  </w:r>
                </w:p>
              </w:tc>
              <w:tc>
                <w:tcPr>
                  <w:tcW w:w="3063" w:type="pct"/>
                  <w:noWrap w:val="0"/>
                  <w:vAlign w:val="center"/>
                </w:tcPr>
                <w:p>
                  <w:pPr>
                    <w:pStyle w:val="73"/>
                    <w:bidi w:val="0"/>
                    <w:rPr>
                      <w:rFonts w:hint="eastAsia"/>
                      <w:lang w:val="en-US" w:eastAsia="zh-CN"/>
                    </w:rPr>
                  </w:pPr>
                  <w:r>
                    <w:rPr>
                      <w:rFonts w:hint="default"/>
                    </w:rPr>
                    <w:t>用于屠宰设备控制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5"/>
                  <w:noWrap w:val="0"/>
                  <w:vAlign w:val="center"/>
                </w:tcPr>
                <w:p>
                  <w:pPr>
                    <w:pStyle w:val="73"/>
                    <w:bidi w:val="0"/>
                    <w:rPr>
                      <w:rFonts w:hint="default"/>
                    </w:rPr>
                  </w:pPr>
                  <w:r>
                    <w:rPr>
                      <w:rFonts w:hint="eastAsia"/>
                      <w:lang w:val="en-US" w:eastAsia="zh-CN"/>
                    </w:rPr>
                    <w:t>二</w:t>
                  </w:r>
                  <w:r>
                    <w:rPr>
                      <w:rFonts w:hint="default"/>
                    </w:rPr>
                    <w:t>、羊屠宰设备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rPr>
                  </w:pPr>
                  <w:r>
                    <w:rPr>
                      <w:rFonts w:hint="default"/>
                    </w:rPr>
                    <w:t>1</w:t>
                  </w:r>
                </w:p>
              </w:tc>
              <w:tc>
                <w:tcPr>
                  <w:tcW w:w="888" w:type="pct"/>
                  <w:noWrap w:val="0"/>
                  <w:vAlign w:val="center"/>
                </w:tcPr>
                <w:p>
                  <w:pPr>
                    <w:pStyle w:val="73"/>
                    <w:bidi w:val="0"/>
                    <w:rPr>
                      <w:rFonts w:hint="default"/>
                    </w:rPr>
                  </w:pPr>
                  <w:r>
                    <w:rPr>
                      <w:rFonts w:hint="default"/>
                    </w:rPr>
                    <w:t>集血槽</w:t>
                  </w:r>
                </w:p>
              </w:tc>
              <w:tc>
                <w:tcPr>
                  <w:tcW w:w="288" w:type="pct"/>
                  <w:noWrap w:val="0"/>
                  <w:vAlign w:val="center"/>
                </w:tcPr>
                <w:p>
                  <w:pPr>
                    <w:pStyle w:val="73"/>
                    <w:bidi w:val="0"/>
                    <w:rPr>
                      <w:rFonts w:hint="default"/>
                    </w:rPr>
                  </w:pPr>
                  <w:r>
                    <w:rPr>
                      <w:rFonts w:hint="default"/>
                    </w:rPr>
                    <w:t>1</w:t>
                  </w:r>
                </w:p>
              </w:tc>
              <w:tc>
                <w:tcPr>
                  <w:tcW w:w="389" w:type="pct"/>
                  <w:noWrap w:val="0"/>
                  <w:vAlign w:val="center"/>
                </w:tcPr>
                <w:p>
                  <w:pPr>
                    <w:pStyle w:val="73"/>
                    <w:bidi w:val="0"/>
                    <w:rPr>
                      <w:rFonts w:hint="default"/>
                    </w:rPr>
                  </w:pPr>
                  <w:r>
                    <w:rPr>
                      <w:rFonts w:hint="default"/>
                    </w:rPr>
                    <w:t>件</w:t>
                  </w:r>
                </w:p>
              </w:tc>
              <w:tc>
                <w:tcPr>
                  <w:tcW w:w="3063" w:type="pct"/>
                  <w:noWrap w:val="0"/>
                  <w:vAlign w:val="center"/>
                </w:tcPr>
                <w:p>
                  <w:pPr>
                    <w:pStyle w:val="73"/>
                    <w:bidi w:val="0"/>
                    <w:rPr>
                      <w:rFonts w:hint="eastAsia"/>
                      <w:lang w:eastAsia="zh-CN"/>
                    </w:rPr>
                  </w:pPr>
                  <w:r>
                    <w:rPr>
                      <w:rFonts w:hint="default"/>
                      <w:lang w:val="en-US" w:eastAsia="zh-CN"/>
                    </w:rPr>
                    <w:t>全不锈钢制作，板厚2mm食品级不锈钢304。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rPr>
                  </w:pPr>
                  <w:r>
                    <w:rPr>
                      <w:rFonts w:hint="default"/>
                    </w:rPr>
                    <w:t>2</w:t>
                  </w:r>
                </w:p>
              </w:tc>
              <w:tc>
                <w:tcPr>
                  <w:tcW w:w="888" w:type="pct"/>
                  <w:noWrap w:val="0"/>
                  <w:vAlign w:val="center"/>
                </w:tcPr>
                <w:p>
                  <w:pPr>
                    <w:pStyle w:val="73"/>
                    <w:bidi w:val="0"/>
                    <w:rPr>
                      <w:rFonts w:hint="default"/>
                    </w:rPr>
                  </w:pPr>
                  <w:r>
                    <w:rPr>
                      <w:rFonts w:hint="default"/>
                    </w:rPr>
                    <w:t>扣脚链</w:t>
                  </w:r>
                </w:p>
              </w:tc>
              <w:tc>
                <w:tcPr>
                  <w:tcW w:w="288" w:type="pct"/>
                  <w:noWrap w:val="0"/>
                  <w:vAlign w:val="center"/>
                </w:tcPr>
                <w:p>
                  <w:pPr>
                    <w:pStyle w:val="73"/>
                    <w:bidi w:val="0"/>
                    <w:rPr>
                      <w:rFonts w:hint="default"/>
                    </w:rPr>
                  </w:pPr>
                  <w:r>
                    <w:rPr>
                      <w:rFonts w:hint="default"/>
                    </w:rPr>
                    <w:t>20</w:t>
                  </w:r>
                </w:p>
              </w:tc>
              <w:tc>
                <w:tcPr>
                  <w:tcW w:w="389" w:type="pct"/>
                  <w:noWrap w:val="0"/>
                  <w:vAlign w:val="center"/>
                </w:tcPr>
                <w:p>
                  <w:pPr>
                    <w:pStyle w:val="73"/>
                    <w:bidi w:val="0"/>
                    <w:rPr>
                      <w:rFonts w:hint="default"/>
                    </w:rPr>
                  </w:pPr>
                  <w:r>
                    <w:rPr>
                      <w:rFonts w:hint="default"/>
                    </w:rPr>
                    <w:t>根</w:t>
                  </w:r>
                </w:p>
              </w:tc>
              <w:tc>
                <w:tcPr>
                  <w:tcW w:w="3063" w:type="pct"/>
                  <w:noWrap w:val="0"/>
                  <w:vAlign w:val="center"/>
                </w:tcPr>
                <w:p>
                  <w:pPr>
                    <w:pStyle w:val="73"/>
                    <w:bidi w:val="0"/>
                    <w:rPr>
                      <w:rFonts w:hint="eastAsia"/>
                      <w:lang w:eastAsia="zh-CN"/>
                    </w:rPr>
                  </w:pPr>
                  <w:r>
                    <w:rPr>
                      <w:rFonts w:hint="default"/>
                    </w:rPr>
                    <w:t>用于扣羊后脚挂至放血线上，以便刺杀沥血</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rPr>
                  </w:pPr>
                  <w:r>
                    <w:rPr>
                      <w:rFonts w:hint="default"/>
                    </w:rPr>
                    <w:t>3</w:t>
                  </w:r>
                </w:p>
              </w:tc>
              <w:tc>
                <w:tcPr>
                  <w:tcW w:w="888" w:type="pct"/>
                  <w:noWrap w:val="0"/>
                  <w:vAlign w:val="center"/>
                </w:tcPr>
                <w:p>
                  <w:pPr>
                    <w:pStyle w:val="73"/>
                    <w:bidi w:val="0"/>
                    <w:rPr>
                      <w:rFonts w:hint="default"/>
                    </w:rPr>
                  </w:pPr>
                  <w:r>
                    <w:rPr>
                      <w:rFonts w:hint="default"/>
                    </w:rPr>
                    <w:t>毛羊放血提升机</w:t>
                  </w:r>
                </w:p>
              </w:tc>
              <w:tc>
                <w:tcPr>
                  <w:tcW w:w="288" w:type="pct"/>
                  <w:noWrap w:val="0"/>
                  <w:vAlign w:val="center"/>
                </w:tcPr>
                <w:p>
                  <w:pPr>
                    <w:pStyle w:val="73"/>
                    <w:bidi w:val="0"/>
                    <w:rPr>
                      <w:rFonts w:hint="default"/>
                    </w:rPr>
                  </w:pPr>
                  <w:r>
                    <w:rPr>
                      <w:rFonts w:hint="default"/>
                    </w:rPr>
                    <w:t>1</w:t>
                  </w:r>
                </w:p>
              </w:tc>
              <w:tc>
                <w:tcPr>
                  <w:tcW w:w="389" w:type="pct"/>
                  <w:noWrap w:val="0"/>
                  <w:vAlign w:val="center"/>
                </w:tcPr>
                <w:p>
                  <w:pPr>
                    <w:pStyle w:val="73"/>
                    <w:bidi w:val="0"/>
                    <w:rPr>
                      <w:rFonts w:hint="default"/>
                    </w:rPr>
                  </w:pPr>
                  <w:r>
                    <w:rPr>
                      <w:rFonts w:hint="default"/>
                    </w:rPr>
                    <w:t>套</w:t>
                  </w:r>
                </w:p>
              </w:tc>
              <w:tc>
                <w:tcPr>
                  <w:tcW w:w="3063" w:type="pct"/>
                  <w:noWrap w:val="0"/>
                  <w:vAlign w:val="center"/>
                </w:tcPr>
                <w:p>
                  <w:pPr>
                    <w:pStyle w:val="73"/>
                    <w:bidi w:val="0"/>
                    <w:rPr>
                      <w:rFonts w:hint="eastAsia"/>
                      <w:lang w:eastAsia="zh-CN"/>
                    </w:rPr>
                  </w:pPr>
                  <w:r>
                    <w:rPr>
                      <w:rFonts w:hint="default"/>
                    </w:rPr>
                    <w:t>用于将活羊提升到放血轨道上。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rPr>
                  </w:pPr>
                  <w:r>
                    <w:rPr>
                      <w:rFonts w:hint="default"/>
                    </w:rPr>
                    <w:t>4</w:t>
                  </w:r>
                </w:p>
              </w:tc>
              <w:tc>
                <w:tcPr>
                  <w:tcW w:w="888" w:type="pct"/>
                  <w:noWrap w:val="0"/>
                  <w:vAlign w:val="center"/>
                </w:tcPr>
                <w:p>
                  <w:pPr>
                    <w:pStyle w:val="73"/>
                    <w:bidi w:val="0"/>
                    <w:rPr>
                      <w:rFonts w:hint="default"/>
                    </w:rPr>
                  </w:pPr>
                  <w:r>
                    <w:rPr>
                      <w:rFonts w:hint="default"/>
                    </w:rPr>
                    <w:t>提升机电控箱</w:t>
                  </w:r>
                </w:p>
              </w:tc>
              <w:tc>
                <w:tcPr>
                  <w:tcW w:w="288" w:type="pct"/>
                  <w:noWrap w:val="0"/>
                  <w:vAlign w:val="center"/>
                </w:tcPr>
                <w:p>
                  <w:pPr>
                    <w:pStyle w:val="73"/>
                    <w:bidi w:val="0"/>
                    <w:rPr>
                      <w:rFonts w:hint="default"/>
                    </w:rPr>
                  </w:pPr>
                  <w:r>
                    <w:rPr>
                      <w:rFonts w:hint="default"/>
                    </w:rPr>
                    <w:t>1</w:t>
                  </w:r>
                </w:p>
              </w:tc>
              <w:tc>
                <w:tcPr>
                  <w:tcW w:w="389" w:type="pct"/>
                  <w:noWrap w:val="0"/>
                  <w:vAlign w:val="center"/>
                </w:tcPr>
                <w:p>
                  <w:pPr>
                    <w:pStyle w:val="73"/>
                    <w:bidi w:val="0"/>
                    <w:rPr>
                      <w:rFonts w:hint="default"/>
                    </w:rPr>
                  </w:pPr>
                  <w:r>
                    <w:rPr>
                      <w:rFonts w:hint="default"/>
                    </w:rPr>
                    <w:t>件</w:t>
                  </w:r>
                </w:p>
              </w:tc>
              <w:tc>
                <w:tcPr>
                  <w:tcW w:w="3063" w:type="pct"/>
                  <w:noWrap w:val="0"/>
                  <w:vAlign w:val="center"/>
                </w:tcPr>
                <w:p>
                  <w:pPr>
                    <w:pStyle w:val="73"/>
                    <w:bidi w:val="0"/>
                    <w:rPr>
                      <w:rFonts w:hint="eastAsia"/>
                      <w:lang w:eastAsia="zh-CN"/>
                    </w:rPr>
                  </w:pPr>
                  <w:r>
                    <w:rPr>
                      <w:rFonts w:hint="default"/>
                    </w:rPr>
                    <w:t>密封防水</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70" w:type="pct"/>
                  <w:noWrap w:val="0"/>
                  <w:vAlign w:val="center"/>
                </w:tcPr>
                <w:p>
                  <w:pPr>
                    <w:pStyle w:val="73"/>
                    <w:bidi w:val="0"/>
                    <w:rPr>
                      <w:rFonts w:hint="default"/>
                    </w:rPr>
                  </w:pPr>
                  <w:r>
                    <w:rPr>
                      <w:rFonts w:hint="default"/>
                    </w:rPr>
                    <w:t>5</w:t>
                  </w:r>
                </w:p>
              </w:tc>
              <w:tc>
                <w:tcPr>
                  <w:tcW w:w="888" w:type="pct"/>
                  <w:noWrap w:val="0"/>
                  <w:vAlign w:val="center"/>
                </w:tcPr>
                <w:p>
                  <w:pPr>
                    <w:pStyle w:val="73"/>
                    <w:bidi w:val="0"/>
                    <w:rPr>
                      <w:rFonts w:hint="default"/>
                    </w:rPr>
                  </w:pPr>
                  <w:r>
                    <w:rPr>
                      <w:rFonts w:hint="default"/>
                    </w:rPr>
                    <w:t>转挂站台</w:t>
                  </w:r>
                </w:p>
              </w:tc>
              <w:tc>
                <w:tcPr>
                  <w:tcW w:w="288" w:type="pct"/>
                  <w:noWrap w:val="0"/>
                  <w:vAlign w:val="center"/>
                </w:tcPr>
                <w:p>
                  <w:pPr>
                    <w:pStyle w:val="73"/>
                    <w:bidi w:val="0"/>
                    <w:rPr>
                      <w:rFonts w:hint="default"/>
                    </w:rPr>
                  </w:pPr>
                  <w:r>
                    <w:rPr>
                      <w:rFonts w:hint="default"/>
                    </w:rPr>
                    <w:t>1</w:t>
                  </w:r>
                </w:p>
              </w:tc>
              <w:tc>
                <w:tcPr>
                  <w:tcW w:w="389" w:type="pct"/>
                  <w:noWrap w:val="0"/>
                  <w:vAlign w:val="center"/>
                </w:tcPr>
                <w:p>
                  <w:pPr>
                    <w:pStyle w:val="73"/>
                    <w:bidi w:val="0"/>
                    <w:rPr>
                      <w:rFonts w:hint="default"/>
                    </w:rPr>
                  </w:pPr>
                  <w:r>
                    <w:rPr>
                      <w:rFonts w:hint="default"/>
                    </w:rPr>
                    <w:t>件</w:t>
                  </w:r>
                </w:p>
              </w:tc>
              <w:tc>
                <w:tcPr>
                  <w:tcW w:w="3063" w:type="pct"/>
                  <w:noWrap w:val="0"/>
                  <w:vAlign w:val="center"/>
                </w:tcPr>
                <w:p>
                  <w:pPr>
                    <w:pStyle w:val="73"/>
                    <w:bidi w:val="0"/>
                    <w:rPr>
                      <w:rFonts w:hint="eastAsia"/>
                      <w:lang w:eastAsia="zh-CN"/>
                    </w:rPr>
                  </w:pPr>
                  <w:r>
                    <w:rPr>
                      <w:rFonts w:hint="default"/>
                    </w:rPr>
                    <w:t>热镀锌机架，防滑网格台面</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70" w:type="pct"/>
                  <w:noWrap w:val="0"/>
                  <w:vAlign w:val="center"/>
                </w:tcPr>
                <w:p>
                  <w:pPr>
                    <w:pStyle w:val="73"/>
                    <w:bidi w:val="0"/>
                    <w:rPr>
                      <w:rFonts w:hint="eastAsia" w:eastAsia="宋体"/>
                      <w:lang w:val="en-US" w:eastAsia="zh-CN"/>
                    </w:rPr>
                  </w:pPr>
                  <w:r>
                    <w:rPr>
                      <w:rFonts w:hint="eastAsia"/>
                      <w:lang w:val="en-US" w:eastAsia="zh-CN"/>
                    </w:rPr>
                    <w:t>6</w:t>
                  </w:r>
                </w:p>
              </w:tc>
              <w:tc>
                <w:tcPr>
                  <w:tcW w:w="888" w:type="pct"/>
                  <w:noWrap w:val="0"/>
                  <w:vAlign w:val="center"/>
                </w:tcPr>
                <w:p>
                  <w:pPr>
                    <w:pStyle w:val="73"/>
                    <w:bidi w:val="0"/>
                    <w:rPr>
                      <w:rFonts w:hint="default"/>
                    </w:rPr>
                  </w:pPr>
                  <w:r>
                    <w:rPr>
                      <w:rFonts w:hint="eastAsia"/>
                      <w:lang w:val="en-US" w:eastAsia="zh-CN"/>
                    </w:rPr>
                    <w:t>羊</w:t>
                  </w:r>
                  <w:r>
                    <w:rPr>
                      <w:rFonts w:hint="default"/>
                    </w:rPr>
                    <w:t>扯皮机</w:t>
                  </w:r>
                </w:p>
              </w:tc>
              <w:tc>
                <w:tcPr>
                  <w:tcW w:w="288" w:type="pct"/>
                  <w:noWrap w:val="0"/>
                  <w:vAlign w:val="center"/>
                </w:tcPr>
                <w:p>
                  <w:pPr>
                    <w:pStyle w:val="73"/>
                    <w:bidi w:val="0"/>
                    <w:rPr>
                      <w:rFonts w:hint="default"/>
                    </w:rPr>
                  </w:pPr>
                  <w:r>
                    <w:rPr>
                      <w:rFonts w:hint="default"/>
                    </w:rPr>
                    <w:t>1</w:t>
                  </w:r>
                </w:p>
              </w:tc>
              <w:tc>
                <w:tcPr>
                  <w:tcW w:w="389" w:type="pct"/>
                  <w:noWrap w:val="0"/>
                  <w:vAlign w:val="center"/>
                </w:tcPr>
                <w:p>
                  <w:pPr>
                    <w:pStyle w:val="73"/>
                    <w:bidi w:val="0"/>
                    <w:rPr>
                      <w:rFonts w:hint="default"/>
                    </w:rPr>
                  </w:pPr>
                  <w:r>
                    <w:rPr>
                      <w:rFonts w:hint="default"/>
                    </w:rPr>
                    <w:t>台</w:t>
                  </w:r>
                </w:p>
              </w:tc>
              <w:tc>
                <w:tcPr>
                  <w:tcW w:w="3063" w:type="pct"/>
                  <w:noWrap w:val="0"/>
                  <w:vAlign w:val="center"/>
                </w:tcPr>
                <w:p>
                  <w:pPr>
                    <w:pStyle w:val="73"/>
                    <w:bidi w:val="0"/>
                    <w:rPr>
                      <w:rFonts w:hint="default"/>
                    </w:rPr>
                  </w:pPr>
                  <w:r>
                    <w:rPr>
                      <w:rFonts w:hint="default"/>
                    </w:rPr>
                    <w:t>用于从上到下剥除</w:t>
                  </w:r>
                  <w:r>
                    <w:rPr>
                      <w:rFonts w:hint="eastAsia"/>
                      <w:lang w:val="en-US" w:eastAsia="zh-CN"/>
                    </w:rPr>
                    <w:t>羊皮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70" w:type="pct"/>
                  <w:noWrap w:val="0"/>
                  <w:vAlign w:val="center"/>
                </w:tcPr>
                <w:p>
                  <w:pPr>
                    <w:pStyle w:val="73"/>
                    <w:bidi w:val="0"/>
                    <w:rPr>
                      <w:rFonts w:hint="eastAsia" w:eastAsia="宋体"/>
                      <w:lang w:val="en-US" w:eastAsia="zh-CN"/>
                    </w:rPr>
                  </w:pPr>
                  <w:r>
                    <w:rPr>
                      <w:rFonts w:hint="eastAsia"/>
                      <w:lang w:val="en-US" w:eastAsia="zh-CN"/>
                    </w:rPr>
                    <w:t>7</w:t>
                  </w:r>
                </w:p>
              </w:tc>
              <w:tc>
                <w:tcPr>
                  <w:tcW w:w="888" w:type="pct"/>
                  <w:noWrap w:val="0"/>
                  <w:vAlign w:val="center"/>
                </w:tcPr>
                <w:p>
                  <w:pPr>
                    <w:pStyle w:val="73"/>
                    <w:bidi w:val="0"/>
                    <w:rPr>
                      <w:rFonts w:hint="eastAsia"/>
                      <w:lang w:val="en-US" w:eastAsia="zh-CN"/>
                    </w:rPr>
                  </w:pPr>
                  <w:r>
                    <w:rPr>
                      <w:rFonts w:hint="default"/>
                    </w:rPr>
                    <w:t>开胸站台</w:t>
                  </w:r>
                </w:p>
              </w:tc>
              <w:tc>
                <w:tcPr>
                  <w:tcW w:w="288" w:type="pct"/>
                  <w:noWrap w:val="0"/>
                  <w:vAlign w:val="center"/>
                </w:tcPr>
                <w:p>
                  <w:pPr>
                    <w:pStyle w:val="73"/>
                    <w:bidi w:val="0"/>
                    <w:rPr>
                      <w:rFonts w:hint="default"/>
                    </w:rPr>
                  </w:pPr>
                  <w:r>
                    <w:rPr>
                      <w:rFonts w:hint="default"/>
                    </w:rPr>
                    <w:t>1</w:t>
                  </w:r>
                </w:p>
              </w:tc>
              <w:tc>
                <w:tcPr>
                  <w:tcW w:w="389" w:type="pct"/>
                  <w:noWrap w:val="0"/>
                  <w:vAlign w:val="center"/>
                </w:tcPr>
                <w:p>
                  <w:pPr>
                    <w:pStyle w:val="73"/>
                    <w:bidi w:val="0"/>
                    <w:rPr>
                      <w:rFonts w:hint="default"/>
                    </w:rPr>
                  </w:pPr>
                  <w:r>
                    <w:rPr>
                      <w:rFonts w:hint="default"/>
                    </w:rPr>
                    <w:t>台</w:t>
                  </w:r>
                </w:p>
              </w:tc>
              <w:tc>
                <w:tcPr>
                  <w:tcW w:w="3063" w:type="pct"/>
                  <w:noWrap w:val="0"/>
                  <w:vAlign w:val="center"/>
                </w:tcPr>
                <w:p>
                  <w:pPr>
                    <w:pStyle w:val="73"/>
                    <w:bidi w:val="0"/>
                    <w:rPr>
                      <w:rFonts w:hint="default"/>
                    </w:rPr>
                  </w:pPr>
                  <w:r>
                    <w:rPr>
                      <w:rFonts w:hint="default"/>
                    </w:rPr>
                    <w:t>用于将</w:t>
                  </w:r>
                  <w:r>
                    <w:rPr>
                      <w:rFonts w:hint="eastAsia"/>
                      <w:lang w:val="en-US" w:eastAsia="zh-CN"/>
                    </w:rPr>
                    <w:t>羊</w:t>
                  </w:r>
                  <w:r>
                    <w:rPr>
                      <w:rFonts w:hint="default"/>
                    </w:rPr>
                    <w:t>体开胸的站台。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70" w:type="pct"/>
                  <w:noWrap w:val="0"/>
                  <w:vAlign w:val="center"/>
                </w:tcPr>
                <w:p>
                  <w:pPr>
                    <w:pStyle w:val="73"/>
                    <w:bidi w:val="0"/>
                    <w:rPr>
                      <w:rFonts w:hint="default"/>
                      <w:lang w:val="en-US" w:eastAsia="zh-CN"/>
                    </w:rPr>
                  </w:pPr>
                  <w:r>
                    <w:rPr>
                      <w:rFonts w:hint="eastAsia"/>
                      <w:lang w:val="en-US" w:eastAsia="zh-CN"/>
                    </w:rPr>
                    <w:t>8</w:t>
                  </w:r>
                </w:p>
              </w:tc>
              <w:tc>
                <w:tcPr>
                  <w:tcW w:w="888" w:type="pct"/>
                  <w:noWrap w:val="0"/>
                  <w:vAlign w:val="center"/>
                </w:tcPr>
                <w:p>
                  <w:pPr>
                    <w:pStyle w:val="73"/>
                    <w:bidi w:val="0"/>
                    <w:rPr>
                      <w:rFonts w:hint="default"/>
                    </w:rPr>
                  </w:pPr>
                  <w:r>
                    <w:rPr>
                      <w:rFonts w:hint="default"/>
                    </w:rPr>
                    <w:t>四分体提升机</w:t>
                  </w:r>
                </w:p>
              </w:tc>
              <w:tc>
                <w:tcPr>
                  <w:tcW w:w="288" w:type="pct"/>
                  <w:noWrap w:val="0"/>
                  <w:vAlign w:val="center"/>
                </w:tcPr>
                <w:p>
                  <w:pPr>
                    <w:pStyle w:val="73"/>
                    <w:bidi w:val="0"/>
                    <w:rPr>
                      <w:rFonts w:hint="default"/>
                    </w:rPr>
                  </w:pPr>
                  <w:r>
                    <w:rPr>
                      <w:rFonts w:hint="default"/>
                    </w:rPr>
                    <w:t>1</w:t>
                  </w:r>
                </w:p>
              </w:tc>
              <w:tc>
                <w:tcPr>
                  <w:tcW w:w="389" w:type="pct"/>
                  <w:noWrap w:val="0"/>
                  <w:vAlign w:val="center"/>
                </w:tcPr>
                <w:p>
                  <w:pPr>
                    <w:pStyle w:val="73"/>
                    <w:bidi w:val="0"/>
                    <w:rPr>
                      <w:rFonts w:hint="default"/>
                    </w:rPr>
                  </w:pPr>
                  <w:r>
                    <w:rPr>
                      <w:rFonts w:hint="default"/>
                    </w:rPr>
                    <w:t>台</w:t>
                  </w:r>
                </w:p>
              </w:tc>
              <w:tc>
                <w:tcPr>
                  <w:tcW w:w="3063" w:type="pct"/>
                  <w:noWrap w:val="0"/>
                  <w:vAlign w:val="center"/>
                </w:tcPr>
                <w:p>
                  <w:pPr>
                    <w:pStyle w:val="73"/>
                    <w:bidi w:val="0"/>
                    <w:rPr>
                      <w:rFonts w:hint="default"/>
                    </w:rPr>
                  </w:pPr>
                  <w:r>
                    <w:rPr>
                      <w:rFonts w:hint="default"/>
                    </w:rPr>
                    <w:t>用于提升前腿转挂至低轨道上</w:t>
                  </w:r>
                  <w:r>
                    <w:rPr>
                      <w:rFonts w:hint="eastAsia"/>
                      <w:lang w:eastAsia="zh-CN"/>
                    </w:rPr>
                    <w:t>，</w:t>
                  </w:r>
                  <w:r>
                    <w:rPr>
                      <w:rFonts w:hint="default"/>
                    </w:rPr>
                    <w:t>提升高度</w:t>
                  </w:r>
                  <w:r>
                    <w:rPr>
                      <w:rFonts w:hint="eastAsia"/>
                      <w:lang w:eastAsia="zh-CN"/>
                    </w:rPr>
                    <w:t>：</w:t>
                  </w:r>
                  <w:r>
                    <w:rPr>
                      <w:rFonts w:hint="default"/>
                    </w:rPr>
                    <w:t>4m</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70" w:type="pct"/>
                  <w:noWrap w:val="0"/>
                  <w:vAlign w:val="center"/>
                </w:tcPr>
                <w:p>
                  <w:pPr>
                    <w:pStyle w:val="73"/>
                    <w:bidi w:val="0"/>
                    <w:rPr>
                      <w:rFonts w:hint="default"/>
                      <w:lang w:val="en-US" w:eastAsia="zh-CN"/>
                    </w:rPr>
                  </w:pPr>
                  <w:r>
                    <w:rPr>
                      <w:rFonts w:hint="eastAsia"/>
                      <w:lang w:val="en-US" w:eastAsia="zh-CN"/>
                    </w:rPr>
                    <w:t>9</w:t>
                  </w:r>
                </w:p>
              </w:tc>
              <w:tc>
                <w:tcPr>
                  <w:tcW w:w="888"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center"/>
                    <w:rPr>
                      <w:rFonts w:hint="default"/>
                    </w:rPr>
                  </w:pPr>
                  <w:r>
                    <w:rPr>
                      <w:rFonts w:hint="eastAsia"/>
                    </w:rPr>
                    <w:t>羊白内脏提升输送机</w:t>
                  </w:r>
                  <w:r>
                    <w:t>6</w:t>
                  </w:r>
                  <w:r>
                    <w:rPr>
                      <w:rFonts w:hint="eastAsia"/>
                    </w:rPr>
                    <w:t>米</w:t>
                  </w:r>
                </w:p>
              </w:tc>
              <w:tc>
                <w:tcPr>
                  <w:tcW w:w="288"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center"/>
                    <w:rPr>
                      <w:rFonts w:hint="default"/>
                    </w:rPr>
                  </w:pPr>
                  <w:r>
                    <w:t>1</w:t>
                  </w:r>
                </w:p>
              </w:tc>
              <w:tc>
                <w:tcPr>
                  <w:tcW w:w="389"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center"/>
                    <w:rPr>
                      <w:rFonts w:hint="default"/>
                    </w:rPr>
                  </w:pPr>
                  <w:r>
                    <w:rPr>
                      <w:rFonts w:hint="eastAsia"/>
                    </w:rPr>
                    <w:t>台</w:t>
                  </w:r>
                </w:p>
              </w:tc>
              <w:tc>
                <w:tcPr>
                  <w:tcW w:w="306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center"/>
                    <w:rPr>
                      <w:rFonts w:hint="default"/>
                    </w:rPr>
                  </w:pPr>
                  <w:r>
                    <w:rPr>
                      <w:rFonts w:hint="eastAsia"/>
                    </w:rPr>
                    <w:t>主框架采用</w:t>
                  </w:r>
                  <w:r>
                    <w:t>60*40*2</w:t>
                  </w:r>
                  <w:r>
                    <w:rPr>
                      <w:rFonts w:hint="eastAsia"/>
                    </w:rPr>
                    <w:t>不锈钢方管制作，不锈钢挡边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70" w:type="pct"/>
                  <w:noWrap w:val="0"/>
                  <w:vAlign w:val="center"/>
                </w:tcPr>
                <w:p>
                  <w:pPr>
                    <w:pStyle w:val="73"/>
                    <w:bidi w:val="0"/>
                    <w:rPr>
                      <w:rFonts w:hint="default"/>
                      <w:lang w:val="en-US" w:eastAsia="zh-CN"/>
                    </w:rPr>
                  </w:pPr>
                  <w:r>
                    <w:rPr>
                      <w:rFonts w:hint="eastAsia"/>
                      <w:lang w:val="en-US" w:eastAsia="zh-CN"/>
                    </w:rPr>
                    <w:t>10</w:t>
                  </w:r>
                </w:p>
              </w:tc>
              <w:tc>
                <w:tcPr>
                  <w:tcW w:w="888"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center"/>
                    <w:rPr>
                      <w:rFonts w:hint="eastAsia"/>
                    </w:rPr>
                  </w:pPr>
                  <w:r>
                    <w:rPr>
                      <w:rFonts w:hint="eastAsia"/>
                    </w:rPr>
                    <w:t>羊胴体加工输送机</w:t>
                  </w:r>
                </w:p>
              </w:tc>
              <w:tc>
                <w:tcPr>
                  <w:tcW w:w="288"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center"/>
                  </w:pPr>
                  <w:r>
                    <w:t>1</w:t>
                  </w:r>
                </w:p>
              </w:tc>
              <w:tc>
                <w:tcPr>
                  <w:tcW w:w="389"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center"/>
                    <w:rPr>
                      <w:rFonts w:hint="eastAsia"/>
                    </w:rPr>
                  </w:pPr>
                  <w:r>
                    <w:rPr>
                      <w:rFonts w:hint="eastAsia"/>
                    </w:rPr>
                    <w:t>台</w:t>
                  </w:r>
                </w:p>
              </w:tc>
              <w:tc>
                <w:tcPr>
                  <w:tcW w:w="306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center"/>
                    <w:rPr>
                      <w:rFonts w:hint="eastAsia"/>
                    </w:rPr>
                  </w:pPr>
                  <w:r>
                    <w:rPr>
                      <w:rFonts w:hint="eastAsia"/>
                    </w:rPr>
                    <w:t>立式结构；输送长度：</w:t>
                  </w:r>
                  <w:r>
                    <w:t>L=16.5m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pPr>
                    <w:pStyle w:val="73"/>
                    <w:bidi w:val="0"/>
                    <w:rPr>
                      <w:rFonts w:hint="default"/>
                    </w:rPr>
                  </w:pPr>
                  <w:r>
                    <w:rPr>
                      <w:rFonts w:hint="eastAsia"/>
                      <w:lang w:val="en-US" w:eastAsia="zh-CN"/>
                    </w:rPr>
                    <w:t>三、</w:t>
                  </w:r>
                  <w:r>
                    <w:rPr>
                      <w:rFonts w:hint="default"/>
                    </w:rPr>
                    <w:t>压缩空气系统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rPr>
                  </w:pPr>
                  <w:r>
                    <w:rPr>
                      <w:rFonts w:hint="default"/>
                    </w:rPr>
                    <w:t>1</w:t>
                  </w:r>
                </w:p>
              </w:tc>
              <w:tc>
                <w:tcPr>
                  <w:tcW w:w="888" w:type="pct"/>
                  <w:noWrap w:val="0"/>
                  <w:vAlign w:val="center"/>
                </w:tcPr>
                <w:p>
                  <w:pPr>
                    <w:pStyle w:val="73"/>
                    <w:bidi w:val="0"/>
                    <w:rPr>
                      <w:rFonts w:hint="default"/>
                    </w:rPr>
                  </w:pPr>
                  <w:r>
                    <w:rPr>
                      <w:rFonts w:hint="default"/>
                    </w:rPr>
                    <w:t>空气压缩机</w:t>
                  </w:r>
                </w:p>
              </w:tc>
              <w:tc>
                <w:tcPr>
                  <w:tcW w:w="288" w:type="pct"/>
                  <w:noWrap w:val="0"/>
                  <w:vAlign w:val="center"/>
                </w:tcPr>
                <w:p>
                  <w:pPr>
                    <w:pStyle w:val="73"/>
                    <w:bidi w:val="0"/>
                    <w:rPr>
                      <w:rFonts w:hint="default"/>
                    </w:rPr>
                  </w:pPr>
                  <w:r>
                    <w:rPr>
                      <w:rFonts w:hint="default"/>
                    </w:rPr>
                    <w:t>1</w:t>
                  </w:r>
                </w:p>
              </w:tc>
              <w:tc>
                <w:tcPr>
                  <w:tcW w:w="389" w:type="pct"/>
                  <w:noWrap w:val="0"/>
                  <w:vAlign w:val="center"/>
                </w:tcPr>
                <w:p>
                  <w:pPr>
                    <w:pStyle w:val="73"/>
                    <w:bidi w:val="0"/>
                    <w:rPr>
                      <w:rFonts w:hint="default"/>
                    </w:rPr>
                  </w:pPr>
                  <w:r>
                    <w:rPr>
                      <w:rFonts w:hint="default"/>
                    </w:rPr>
                    <w:t>台</w:t>
                  </w:r>
                </w:p>
              </w:tc>
              <w:tc>
                <w:tcPr>
                  <w:tcW w:w="3063" w:type="pct"/>
                  <w:noWrap w:val="0"/>
                  <w:vAlign w:val="center"/>
                </w:tcPr>
                <w:p>
                  <w:pPr>
                    <w:pStyle w:val="73"/>
                    <w:bidi w:val="0"/>
                    <w:rPr>
                      <w:rFonts w:hint="eastAsia"/>
                      <w:lang w:eastAsia="zh-CN"/>
                    </w:rPr>
                  </w:pPr>
                  <w:r>
                    <w:rPr>
                      <w:rFonts w:hint="default"/>
                    </w:rPr>
                    <w:t>用于生产线设备用气，3m</w:t>
                  </w:r>
                  <w:r>
                    <w:rPr>
                      <w:rFonts w:hint="default"/>
                      <w:vertAlign w:val="superscript"/>
                    </w:rPr>
                    <w:t>3</w:t>
                  </w:r>
                  <w:r>
                    <w:rPr>
                      <w:rFonts w:hint="default"/>
                    </w:rPr>
                    <w:t>/min，额定排气压力：0.85Mpa</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pPr>
                    <w:pStyle w:val="73"/>
                    <w:bidi w:val="0"/>
                    <w:rPr>
                      <w:rFonts w:hint="default"/>
                    </w:rPr>
                  </w:pPr>
                  <w:r>
                    <w:rPr>
                      <w:rFonts w:hint="default"/>
                    </w:rPr>
                    <w:t>2</w:t>
                  </w:r>
                </w:p>
              </w:tc>
              <w:tc>
                <w:tcPr>
                  <w:tcW w:w="888" w:type="pct"/>
                  <w:noWrap w:val="0"/>
                  <w:vAlign w:val="center"/>
                </w:tcPr>
                <w:p>
                  <w:pPr>
                    <w:pStyle w:val="73"/>
                    <w:bidi w:val="0"/>
                    <w:rPr>
                      <w:rFonts w:hint="default"/>
                    </w:rPr>
                  </w:pPr>
                  <w:r>
                    <w:rPr>
                      <w:rFonts w:hint="default"/>
                    </w:rPr>
                    <w:t>储气罐（1立方米/台）</w:t>
                  </w:r>
                </w:p>
              </w:tc>
              <w:tc>
                <w:tcPr>
                  <w:tcW w:w="288" w:type="pct"/>
                  <w:noWrap w:val="0"/>
                  <w:vAlign w:val="center"/>
                </w:tcPr>
                <w:p>
                  <w:pPr>
                    <w:pStyle w:val="73"/>
                    <w:bidi w:val="0"/>
                    <w:rPr>
                      <w:rFonts w:hint="default"/>
                    </w:rPr>
                  </w:pPr>
                  <w:r>
                    <w:rPr>
                      <w:rFonts w:hint="default"/>
                    </w:rPr>
                    <w:t>1</w:t>
                  </w:r>
                </w:p>
              </w:tc>
              <w:tc>
                <w:tcPr>
                  <w:tcW w:w="389" w:type="pct"/>
                  <w:noWrap w:val="0"/>
                  <w:vAlign w:val="center"/>
                </w:tcPr>
                <w:p>
                  <w:pPr>
                    <w:pStyle w:val="73"/>
                    <w:bidi w:val="0"/>
                    <w:rPr>
                      <w:rFonts w:hint="default"/>
                    </w:rPr>
                  </w:pPr>
                  <w:r>
                    <w:rPr>
                      <w:rFonts w:hint="default"/>
                    </w:rPr>
                    <w:t>台</w:t>
                  </w:r>
                </w:p>
              </w:tc>
              <w:tc>
                <w:tcPr>
                  <w:tcW w:w="3063" w:type="pct"/>
                  <w:noWrap w:val="0"/>
                  <w:vAlign w:val="center"/>
                </w:tcPr>
                <w:p>
                  <w:pPr>
                    <w:pStyle w:val="73"/>
                    <w:bidi w:val="0"/>
                    <w:rPr>
                      <w:rFonts w:hint="eastAsia"/>
                      <w:lang w:eastAsia="zh-CN"/>
                    </w:rPr>
                  </w:pPr>
                  <w:r>
                    <w:rPr>
                      <w:rFonts w:hint="default"/>
                    </w:rPr>
                    <w:t>容量：1立方米</w:t>
                  </w:r>
                  <w:r>
                    <w:rPr>
                      <w:rFonts w:hint="eastAsia"/>
                      <w:lang w:eastAsia="zh-CN"/>
                    </w:rPr>
                    <w:t>，</w:t>
                  </w:r>
                  <w:r>
                    <w:rPr>
                      <w:rFonts w:hint="default"/>
                    </w:rPr>
                    <w:t>设计压力</w:t>
                  </w:r>
                  <w:r>
                    <w:rPr>
                      <w:rFonts w:hint="eastAsia"/>
                      <w:lang w:eastAsia="zh-CN"/>
                    </w:rPr>
                    <w:t>：</w:t>
                  </w:r>
                  <w:r>
                    <w:rPr>
                      <w:rFonts w:hint="default"/>
                    </w:rPr>
                    <w:t>0.8MPa</w:t>
                  </w:r>
                  <w:r>
                    <w:rPr>
                      <w:rFonts w:hint="eastAsia"/>
                      <w:lang w:eastAsia="zh-CN"/>
                    </w:rPr>
                    <w:t>，</w:t>
                  </w:r>
                  <w:r>
                    <w:rPr>
                      <w:rFonts w:hint="default"/>
                    </w:rPr>
                    <w:t>额定气压：0.8MPa</w:t>
                  </w:r>
                  <w:r>
                    <w:rPr>
                      <w:rFonts w:hint="eastAsia"/>
                      <w:lang w:eastAsia="zh-CN"/>
                    </w:rPr>
                    <w:t>。</w:t>
                  </w:r>
                </w:p>
              </w:tc>
            </w:tr>
          </w:tbl>
          <w:p>
            <w:pPr>
              <w:pStyle w:val="2"/>
              <w:bidi w:val="0"/>
              <w:rPr>
                <w:rFonts w:hint="default"/>
              </w:rPr>
            </w:pPr>
            <w:r>
              <w:rPr>
                <w:rFonts w:hint="eastAsia"/>
                <w:lang w:val="en-US" w:eastAsia="zh-CN"/>
              </w:rPr>
              <w:t>7.</w:t>
            </w:r>
            <w:r>
              <w:rPr>
                <w:rFonts w:hint="default"/>
              </w:rPr>
              <w:t>主要原辅材料</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本项目所需主要原辅材料、能源消耗及来源见下表。</w:t>
            </w:r>
          </w:p>
          <w:p>
            <w:pPr>
              <w:pStyle w:val="49"/>
              <w:bidi w:val="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2-4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项目主要原辅材料、能源消耗和来源一览表</w:t>
            </w:r>
          </w:p>
          <w:tbl>
            <w:tblPr>
              <w:tblStyle w:val="25"/>
              <w:tblW w:w="8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048"/>
              <w:gridCol w:w="204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Align w:val="center"/>
                </w:tcPr>
                <w:p>
                  <w:pPr>
                    <w:pStyle w:val="73"/>
                    <w:bidi w:val="0"/>
                    <w:jc w:val="center"/>
                    <w:rPr>
                      <w:rFonts w:hint="default"/>
                      <w:lang w:val="en-US" w:eastAsia="zh-CN"/>
                    </w:rPr>
                  </w:pPr>
                  <w:r>
                    <w:rPr>
                      <w:rFonts w:hint="eastAsia"/>
                      <w:lang w:val="en-US" w:eastAsia="zh-CN"/>
                    </w:rPr>
                    <w:t>类别</w:t>
                  </w:r>
                </w:p>
              </w:tc>
              <w:tc>
                <w:tcPr>
                  <w:tcW w:w="2048" w:type="dxa"/>
                  <w:vAlign w:val="center"/>
                </w:tcPr>
                <w:p>
                  <w:pPr>
                    <w:pStyle w:val="73"/>
                    <w:bidi w:val="0"/>
                    <w:jc w:val="center"/>
                    <w:rPr>
                      <w:rFonts w:hint="eastAsia"/>
                      <w:lang w:val="en-US" w:eastAsia="zh-CN"/>
                    </w:rPr>
                  </w:pPr>
                  <w:r>
                    <w:rPr>
                      <w:rFonts w:hint="eastAsia"/>
                      <w:lang w:val="en-US" w:eastAsia="zh-CN"/>
                    </w:rPr>
                    <w:t>名称</w:t>
                  </w:r>
                </w:p>
              </w:tc>
              <w:tc>
                <w:tcPr>
                  <w:tcW w:w="2049" w:type="dxa"/>
                  <w:vAlign w:val="center"/>
                </w:tcPr>
                <w:p>
                  <w:pPr>
                    <w:pStyle w:val="73"/>
                    <w:bidi w:val="0"/>
                    <w:jc w:val="center"/>
                    <w:rPr>
                      <w:rFonts w:hint="eastAsia"/>
                      <w:lang w:val="en-US" w:eastAsia="zh-CN"/>
                    </w:rPr>
                  </w:pPr>
                  <w:r>
                    <w:rPr>
                      <w:rFonts w:hint="eastAsia"/>
                      <w:lang w:val="en-US" w:eastAsia="zh-CN"/>
                    </w:rPr>
                    <w:t>年消耗量</w:t>
                  </w:r>
                </w:p>
              </w:tc>
              <w:tc>
                <w:tcPr>
                  <w:tcW w:w="2049" w:type="dxa"/>
                  <w:vAlign w:val="center"/>
                </w:tcPr>
                <w:p>
                  <w:pPr>
                    <w:pStyle w:val="73"/>
                    <w:bidi w:val="0"/>
                    <w:jc w:val="center"/>
                    <w:rPr>
                      <w:rFonts w:hint="eastAsia"/>
                      <w:lang w:val="en-US" w:eastAsia="zh-CN"/>
                    </w:rPr>
                  </w:pPr>
                  <w:r>
                    <w:rPr>
                      <w:rFonts w:hint="eastAsia"/>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vAlign w:val="center"/>
                </w:tcPr>
                <w:p>
                  <w:pPr>
                    <w:pStyle w:val="73"/>
                    <w:bidi w:val="0"/>
                    <w:jc w:val="center"/>
                    <w:rPr>
                      <w:rFonts w:hint="eastAsia" w:eastAsia="宋体"/>
                      <w:lang w:val="en-US" w:eastAsia="zh-CN"/>
                    </w:rPr>
                  </w:pPr>
                  <w:r>
                    <w:rPr>
                      <w:rFonts w:hint="eastAsia"/>
                      <w:lang w:val="en-US" w:eastAsia="zh-CN"/>
                    </w:rPr>
                    <w:t>原料</w:t>
                  </w:r>
                </w:p>
              </w:tc>
              <w:tc>
                <w:tcPr>
                  <w:tcW w:w="2048" w:type="dxa"/>
                  <w:vAlign w:val="center"/>
                </w:tcPr>
                <w:p>
                  <w:pPr>
                    <w:pStyle w:val="73"/>
                    <w:bidi w:val="0"/>
                    <w:jc w:val="center"/>
                    <w:rPr>
                      <w:rFonts w:hint="default" w:eastAsia="宋体"/>
                      <w:lang w:val="en-US" w:eastAsia="zh-CN"/>
                    </w:rPr>
                  </w:pPr>
                  <w:r>
                    <w:rPr>
                      <w:rFonts w:hint="eastAsia"/>
                      <w:lang w:val="en-US" w:eastAsia="zh-CN"/>
                    </w:rPr>
                    <w:t>活肉牛</w:t>
                  </w:r>
                </w:p>
              </w:tc>
              <w:tc>
                <w:tcPr>
                  <w:tcW w:w="2049" w:type="dxa"/>
                  <w:vAlign w:val="center"/>
                </w:tcPr>
                <w:p>
                  <w:pPr>
                    <w:pStyle w:val="73"/>
                    <w:bidi w:val="0"/>
                    <w:jc w:val="center"/>
                    <w:rPr>
                      <w:rFonts w:hint="default" w:eastAsia="宋体"/>
                      <w:lang w:val="en-US" w:eastAsia="zh-CN"/>
                    </w:rPr>
                  </w:pPr>
                  <w:r>
                    <w:rPr>
                      <w:rFonts w:hint="eastAsia"/>
                      <w:lang w:val="en-US" w:eastAsia="zh-CN"/>
                    </w:rPr>
                    <w:t>900t/a</w:t>
                  </w:r>
                </w:p>
              </w:tc>
              <w:tc>
                <w:tcPr>
                  <w:tcW w:w="2049" w:type="dxa"/>
                  <w:vMerge w:val="restart"/>
                  <w:vAlign w:val="center"/>
                </w:tcPr>
                <w:p>
                  <w:pPr>
                    <w:pStyle w:val="73"/>
                    <w:bidi w:val="0"/>
                    <w:jc w:val="center"/>
                    <w:rPr>
                      <w:rFonts w:hint="default" w:eastAsia="宋体"/>
                      <w:lang w:val="en-US" w:eastAsia="zh-CN"/>
                    </w:rPr>
                  </w:pPr>
                  <w:r>
                    <w:rPr>
                      <w:rFonts w:hint="eastAsia"/>
                      <w:lang w:val="en-US" w:eastAsia="zh-CN"/>
                    </w:rPr>
                    <w:t>当地养殖场采购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vAlign w:val="center"/>
                </w:tcPr>
                <w:p>
                  <w:pPr>
                    <w:pStyle w:val="73"/>
                    <w:bidi w:val="0"/>
                    <w:jc w:val="center"/>
                    <w:rPr>
                      <w:rFonts w:hint="default"/>
                    </w:rPr>
                  </w:pPr>
                </w:p>
              </w:tc>
              <w:tc>
                <w:tcPr>
                  <w:tcW w:w="2048" w:type="dxa"/>
                  <w:vAlign w:val="center"/>
                </w:tcPr>
                <w:p>
                  <w:pPr>
                    <w:pStyle w:val="73"/>
                    <w:bidi w:val="0"/>
                    <w:jc w:val="center"/>
                    <w:rPr>
                      <w:rFonts w:hint="default" w:eastAsia="宋体"/>
                      <w:lang w:val="en-US" w:eastAsia="zh-CN"/>
                    </w:rPr>
                  </w:pPr>
                  <w:r>
                    <w:rPr>
                      <w:rFonts w:hint="eastAsia"/>
                      <w:lang w:val="en-US" w:eastAsia="zh-CN"/>
                    </w:rPr>
                    <w:t>活肉羊</w:t>
                  </w:r>
                </w:p>
              </w:tc>
              <w:tc>
                <w:tcPr>
                  <w:tcW w:w="2049" w:type="dxa"/>
                  <w:vAlign w:val="center"/>
                </w:tcPr>
                <w:p>
                  <w:pPr>
                    <w:pStyle w:val="73"/>
                    <w:bidi w:val="0"/>
                    <w:jc w:val="center"/>
                    <w:rPr>
                      <w:rFonts w:hint="default"/>
                    </w:rPr>
                  </w:pPr>
                  <w:r>
                    <w:rPr>
                      <w:rFonts w:hint="default"/>
                      <w:lang w:val="en-US" w:eastAsia="zh-CN"/>
                    </w:rPr>
                    <w:t>900t/a</w:t>
                  </w:r>
                </w:p>
              </w:tc>
              <w:tc>
                <w:tcPr>
                  <w:tcW w:w="2049" w:type="dxa"/>
                  <w:vMerge w:val="continue"/>
                  <w:vAlign w:val="center"/>
                </w:tcPr>
                <w:p>
                  <w:pPr>
                    <w:pStyle w:val="73"/>
                    <w:bidi w:val="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vAlign w:val="center"/>
                </w:tcPr>
                <w:p>
                  <w:pPr>
                    <w:pStyle w:val="73"/>
                    <w:bidi w:val="0"/>
                    <w:jc w:val="center"/>
                    <w:rPr>
                      <w:rFonts w:hint="eastAsia" w:eastAsia="宋体"/>
                      <w:lang w:val="en-US" w:eastAsia="zh-CN"/>
                    </w:rPr>
                  </w:pPr>
                  <w:r>
                    <w:rPr>
                      <w:rFonts w:hint="eastAsia"/>
                      <w:lang w:val="en-US" w:eastAsia="zh-CN"/>
                    </w:rPr>
                    <w:t>辅料</w:t>
                  </w:r>
                </w:p>
              </w:tc>
              <w:tc>
                <w:tcPr>
                  <w:tcW w:w="2048" w:type="dxa"/>
                  <w:vAlign w:val="center"/>
                </w:tcPr>
                <w:p>
                  <w:pPr>
                    <w:pStyle w:val="73"/>
                    <w:bidi w:val="0"/>
                    <w:jc w:val="center"/>
                    <w:rPr>
                      <w:rFonts w:hint="eastAsia" w:eastAsia="宋体"/>
                      <w:lang w:val="en-US" w:eastAsia="zh-CN"/>
                    </w:rPr>
                  </w:pPr>
                  <w:r>
                    <w:rPr>
                      <w:rFonts w:hint="eastAsia"/>
                      <w:lang w:val="en-US" w:eastAsia="zh-CN"/>
                    </w:rPr>
                    <w:t>消毒剂</w:t>
                  </w:r>
                </w:p>
              </w:tc>
              <w:tc>
                <w:tcPr>
                  <w:tcW w:w="2049" w:type="dxa"/>
                  <w:vAlign w:val="center"/>
                </w:tcPr>
                <w:p>
                  <w:pPr>
                    <w:pStyle w:val="73"/>
                    <w:bidi w:val="0"/>
                    <w:jc w:val="center"/>
                    <w:rPr>
                      <w:rFonts w:hint="default" w:eastAsia="宋体"/>
                      <w:lang w:val="en-US" w:eastAsia="zh-CN"/>
                    </w:rPr>
                  </w:pPr>
                  <w:r>
                    <w:rPr>
                      <w:rFonts w:hint="eastAsia"/>
                      <w:lang w:val="en-US" w:eastAsia="zh-CN"/>
                    </w:rPr>
                    <w:t>0.2t/a</w:t>
                  </w:r>
                </w:p>
              </w:tc>
              <w:tc>
                <w:tcPr>
                  <w:tcW w:w="2049" w:type="dxa"/>
                  <w:vAlign w:val="center"/>
                </w:tcPr>
                <w:p>
                  <w:pPr>
                    <w:pStyle w:val="73"/>
                    <w:bidi w:val="0"/>
                    <w:jc w:val="center"/>
                    <w:rPr>
                      <w:rFonts w:hint="default"/>
                    </w:rPr>
                  </w:pPr>
                  <w:r>
                    <w:rPr>
                      <w:rFonts w:hint="default"/>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vAlign w:val="center"/>
                </w:tcPr>
                <w:p>
                  <w:pPr>
                    <w:pStyle w:val="73"/>
                    <w:bidi w:val="0"/>
                    <w:jc w:val="center"/>
                    <w:rPr>
                      <w:rFonts w:hint="eastAsia"/>
                      <w:lang w:val="en-US" w:eastAsia="zh-CN"/>
                    </w:rPr>
                  </w:pPr>
                </w:p>
              </w:tc>
              <w:tc>
                <w:tcPr>
                  <w:tcW w:w="2048" w:type="dxa"/>
                  <w:vAlign w:val="center"/>
                </w:tcPr>
                <w:p>
                  <w:pPr>
                    <w:pStyle w:val="73"/>
                    <w:bidi w:val="0"/>
                    <w:jc w:val="center"/>
                    <w:rPr>
                      <w:rFonts w:hint="default" w:eastAsia="宋体"/>
                      <w:highlight w:val="none"/>
                      <w:lang w:val="en-US" w:eastAsia="zh-CN"/>
                    </w:rPr>
                  </w:pPr>
                  <w:r>
                    <w:rPr>
                      <w:rFonts w:hint="eastAsia"/>
                      <w:highlight w:val="none"/>
                      <w:lang w:val="en-US" w:eastAsia="zh-CN"/>
                    </w:rPr>
                    <w:t>生物除臭剂</w:t>
                  </w:r>
                </w:p>
              </w:tc>
              <w:tc>
                <w:tcPr>
                  <w:tcW w:w="2049" w:type="dxa"/>
                  <w:vAlign w:val="center"/>
                </w:tcPr>
                <w:p>
                  <w:pPr>
                    <w:pStyle w:val="73"/>
                    <w:bidi w:val="0"/>
                    <w:jc w:val="center"/>
                    <w:rPr>
                      <w:rFonts w:hint="default" w:eastAsia="宋体"/>
                      <w:highlight w:val="none"/>
                      <w:lang w:val="en-US" w:eastAsia="zh-CN"/>
                    </w:rPr>
                  </w:pPr>
                  <w:r>
                    <w:rPr>
                      <w:rFonts w:hint="eastAsia"/>
                      <w:highlight w:val="none"/>
                      <w:lang w:val="en-US" w:eastAsia="zh-CN"/>
                    </w:rPr>
                    <w:t>1.2t/a</w:t>
                  </w:r>
                </w:p>
              </w:tc>
              <w:tc>
                <w:tcPr>
                  <w:tcW w:w="2049" w:type="dxa"/>
                  <w:vAlign w:val="center"/>
                </w:tcPr>
                <w:p>
                  <w:pPr>
                    <w:pStyle w:val="73"/>
                    <w:bidi w:val="0"/>
                    <w:jc w:val="center"/>
                    <w:rPr>
                      <w:rFonts w:hint="eastAsia" w:eastAsia="宋体"/>
                      <w:lang w:val="en-US" w:eastAsia="zh-CN"/>
                    </w:rPr>
                  </w:pPr>
                  <w:r>
                    <w:rPr>
                      <w:rFonts w:hint="eastAsia"/>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vAlign w:val="center"/>
                </w:tcPr>
                <w:p>
                  <w:pPr>
                    <w:pStyle w:val="73"/>
                    <w:bidi w:val="0"/>
                    <w:jc w:val="center"/>
                    <w:rPr>
                      <w:rFonts w:hint="eastAsia"/>
                      <w:lang w:val="en-US" w:eastAsia="zh-CN"/>
                    </w:rPr>
                  </w:pPr>
                </w:p>
              </w:tc>
              <w:tc>
                <w:tcPr>
                  <w:tcW w:w="2048" w:type="dxa"/>
                  <w:vAlign w:val="center"/>
                </w:tcPr>
                <w:p>
                  <w:pPr>
                    <w:pStyle w:val="73"/>
                    <w:bidi w:val="0"/>
                    <w:jc w:val="center"/>
                    <w:rPr>
                      <w:rFonts w:hint="default"/>
                      <w:highlight w:val="none"/>
                      <w:lang w:val="en-US" w:eastAsia="zh-CN"/>
                    </w:rPr>
                  </w:pPr>
                  <w:r>
                    <w:rPr>
                      <w:rFonts w:hint="eastAsia"/>
                      <w:highlight w:val="none"/>
                      <w:lang w:val="en-US" w:eastAsia="zh-CN"/>
                    </w:rPr>
                    <w:t>R404A制冷剂</w:t>
                  </w:r>
                </w:p>
              </w:tc>
              <w:tc>
                <w:tcPr>
                  <w:tcW w:w="2049" w:type="dxa"/>
                  <w:vAlign w:val="center"/>
                </w:tcPr>
                <w:p>
                  <w:pPr>
                    <w:pStyle w:val="73"/>
                    <w:bidi w:val="0"/>
                    <w:jc w:val="center"/>
                    <w:rPr>
                      <w:rFonts w:hint="default"/>
                      <w:highlight w:val="none"/>
                    </w:rPr>
                  </w:pPr>
                  <w:r>
                    <w:rPr>
                      <w:rFonts w:hint="eastAsia"/>
                      <w:highlight w:val="none"/>
                      <w:lang w:val="en-US" w:eastAsia="zh-CN"/>
                    </w:rPr>
                    <w:t>0.1t/a</w:t>
                  </w:r>
                </w:p>
              </w:tc>
              <w:tc>
                <w:tcPr>
                  <w:tcW w:w="2049" w:type="dxa"/>
                  <w:vAlign w:val="center"/>
                </w:tcPr>
                <w:p>
                  <w:pPr>
                    <w:pStyle w:val="73"/>
                    <w:bidi w:val="0"/>
                    <w:jc w:val="center"/>
                    <w:rPr>
                      <w:rFonts w:hint="default"/>
                      <w:lang w:val="en-US" w:eastAsia="zh-CN"/>
                    </w:rPr>
                  </w:pPr>
                  <w:r>
                    <w:rPr>
                      <w:rFonts w:hint="eastAsia"/>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vAlign w:val="center"/>
                </w:tcPr>
                <w:p>
                  <w:pPr>
                    <w:pStyle w:val="73"/>
                    <w:bidi w:val="0"/>
                    <w:jc w:val="center"/>
                    <w:rPr>
                      <w:rFonts w:hint="eastAsia"/>
                      <w:lang w:val="en-US" w:eastAsia="zh-CN"/>
                    </w:rPr>
                  </w:pPr>
                </w:p>
              </w:tc>
              <w:tc>
                <w:tcPr>
                  <w:tcW w:w="2048" w:type="dxa"/>
                  <w:vAlign w:val="center"/>
                </w:tcPr>
                <w:p>
                  <w:pPr>
                    <w:pStyle w:val="73"/>
                    <w:bidi w:val="0"/>
                    <w:jc w:val="center"/>
                    <w:rPr>
                      <w:rFonts w:hint="default"/>
                      <w:highlight w:val="none"/>
                      <w:lang w:val="en-US" w:eastAsia="zh-CN"/>
                    </w:rPr>
                  </w:pPr>
                  <w:r>
                    <w:rPr>
                      <w:rFonts w:hint="eastAsia"/>
                      <w:highlight w:val="none"/>
                      <w:lang w:val="en-US" w:eastAsia="zh-CN"/>
                    </w:rPr>
                    <w:t>冷冻机油</w:t>
                  </w:r>
                </w:p>
              </w:tc>
              <w:tc>
                <w:tcPr>
                  <w:tcW w:w="2049" w:type="dxa"/>
                  <w:vAlign w:val="center"/>
                </w:tcPr>
                <w:p>
                  <w:pPr>
                    <w:pStyle w:val="73"/>
                    <w:bidi w:val="0"/>
                    <w:jc w:val="center"/>
                    <w:rPr>
                      <w:rFonts w:hint="default"/>
                      <w:highlight w:val="none"/>
                      <w:lang w:val="en-US" w:eastAsia="zh-CN"/>
                    </w:rPr>
                  </w:pPr>
                  <w:r>
                    <w:rPr>
                      <w:rFonts w:hint="eastAsia"/>
                      <w:highlight w:val="none"/>
                      <w:lang w:val="en-US" w:eastAsia="zh-CN"/>
                    </w:rPr>
                    <w:t>0.05t/a</w:t>
                  </w:r>
                </w:p>
              </w:tc>
              <w:tc>
                <w:tcPr>
                  <w:tcW w:w="2049" w:type="dxa"/>
                  <w:vAlign w:val="center"/>
                </w:tcPr>
                <w:p>
                  <w:pPr>
                    <w:pStyle w:val="73"/>
                    <w:bidi w:val="0"/>
                    <w:jc w:val="center"/>
                    <w:rPr>
                      <w:rFonts w:hint="eastAsia"/>
                      <w:lang w:val="en-US" w:eastAsia="zh-CN"/>
                    </w:rPr>
                  </w:pPr>
                  <w:r>
                    <w:rPr>
                      <w:rFonts w:hint="eastAsia"/>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vAlign w:val="center"/>
                </w:tcPr>
                <w:p>
                  <w:pPr>
                    <w:pStyle w:val="73"/>
                    <w:bidi w:val="0"/>
                    <w:jc w:val="center"/>
                    <w:rPr>
                      <w:rFonts w:hint="eastAsia" w:eastAsia="宋体"/>
                      <w:lang w:val="en-US" w:eastAsia="zh-CN"/>
                    </w:rPr>
                  </w:pPr>
                  <w:r>
                    <w:rPr>
                      <w:rFonts w:hint="eastAsia"/>
                      <w:lang w:val="en-US" w:eastAsia="zh-CN"/>
                    </w:rPr>
                    <w:t>能源</w:t>
                  </w:r>
                </w:p>
              </w:tc>
              <w:tc>
                <w:tcPr>
                  <w:tcW w:w="2048" w:type="dxa"/>
                  <w:vAlign w:val="center"/>
                </w:tcPr>
                <w:p>
                  <w:pPr>
                    <w:pStyle w:val="73"/>
                    <w:bidi w:val="0"/>
                    <w:jc w:val="center"/>
                    <w:rPr>
                      <w:rFonts w:hint="eastAsia" w:eastAsia="宋体"/>
                      <w:highlight w:val="none"/>
                      <w:lang w:val="en-US" w:eastAsia="zh-CN"/>
                    </w:rPr>
                  </w:pPr>
                  <w:r>
                    <w:rPr>
                      <w:rFonts w:hint="eastAsia"/>
                      <w:highlight w:val="none"/>
                      <w:lang w:val="en-US" w:eastAsia="zh-CN"/>
                    </w:rPr>
                    <w:t>水</w:t>
                  </w:r>
                </w:p>
              </w:tc>
              <w:tc>
                <w:tcPr>
                  <w:tcW w:w="2049" w:type="dxa"/>
                  <w:vAlign w:val="center"/>
                </w:tcPr>
                <w:p>
                  <w:pPr>
                    <w:pStyle w:val="73"/>
                    <w:bidi w:val="0"/>
                    <w:jc w:val="center"/>
                    <w:rPr>
                      <w:rFonts w:hint="default" w:eastAsia="宋体"/>
                      <w:highlight w:val="none"/>
                      <w:lang w:val="en-US" w:eastAsia="zh-CN"/>
                    </w:rPr>
                  </w:pPr>
                  <w:r>
                    <w:rPr>
                      <w:rFonts w:hint="eastAsia"/>
                      <w:highlight w:val="none"/>
                      <w:lang w:val="en-US" w:eastAsia="zh-CN"/>
                    </w:rPr>
                    <w:t>7926m</w:t>
                  </w:r>
                  <w:r>
                    <w:rPr>
                      <w:rFonts w:hint="eastAsia"/>
                      <w:highlight w:val="none"/>
                      <w:vertAlign w:val="superscript"/>
                      <w:lang w:val="en-US" w:eastAsia="zh-CN"/>
                    </w:rPr>
                    <w:t>3</w:t>
                  </w:r>
                  <w:r>
                    <w:rPr>
                      <w:rFonts w:hint="eastAsia"/>
                      <w:highlight w:val="none"/>
                      <w:lang w:val="en-US" w:eastAsia="zh-CN"/>
                    </w:rPr>
                    <w:t>/a</w:t>
                  </w:r>
                </w:p>
              </w:tc>
              <w:tc>
                <w:tcPr>
                  <w:tcW w:w="2049" w:type="dxa"/>
                  <w:vAlign w:val="center"/>
                </w:tcPr>
                <w:p>
                  <w:pPr>
                    <w:pStyle w:val="73"/>
                    <w:bidi w:val="0"/>
                    <w:jc w:val="center"/>
                    <w:rPr>
                      <w:rFonts w:hint="default" w:eastAsia="宋体"/>
                      <w:lang w:val="en-US" w:eastAsia="zh-CN"/>
                    </w:rPr>
                  </w:pPr>
                  <w:r>
                    <w:rPr>
                      <w:rFonts w:hint="eastAsia"/>
                      <w:lang w:val="en-US" w:eastAsia="zh-CN"/>
                    </w:rPr>
                    <w:t>市政管电网供电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vAlign w:val="center"/>
                </w:tcPr>
                <w:p>
                  <w:pPr>
                    <w:pStyle w:val="73"/>
                    <w:bidi w:val="0"/>
                    <w:jc w:val="center"/>
                    <w:rPr>
                      <w:rFonts w:hint="default"/>
                    </w:rPr>
                  </w:pPr>
                </w:p>
              </w:tc>
              <w:tc>
                <w:tcPr>
                  <w:tcW w:w="2048" w:type="dxa"/>
                  <w:vAlign w:val="center"/>
                </w:tcPr>
                <w:p>
                  <w:pPr>
                    <w:pStyle w:val="73"/>
                    <w:bidi w:val="0"/>
                    <w:jc w:val="center"/>
                    <w:rPr>
                      <w:rFonts w:hint="eastAsia" w:eastAsia="宋体"/>
                      <w:highlight w:val="none"/>
                      <w:lang w:val="en-US" w:eastAsia="zh-CN"/>
                    </w:rPr>
                  </w:pPr>
                  <w:r>
                    <w:rPr>
                      <w:rFonts w:hint="eastAsia"/>
                      <w:highlight w:val="none"/>
                      <w:lang w:val="en-US" w:eastAsia="zh-CN"/>
                    </w:rPr>
                    <w:t>电</w:t>
                  </w:r>
                </w:p>
              </w:tc>
              <w:tc>
                <w:tcPr>
                  <w:tcW w:w="2049" w:type="dxa"/>
                  <w:vAlign w:val="center"/>
                </w:tcPr>
                <w:p>
                  <w:pPr>
                    <w:pStyle w:val="73"/>
                    <w:bidi w:val="0"/>
                    <w:jc w:val="center"/>
                    <w:rPr>
                      <w:rFonts w:hint="default"/>
                      <w:highlight w:val="none"/>
                    </w:rPr>
                  </w:pPr>
                  <w:r>
                    <w:rPr>
                      <w:rFonts w:hint="eastAsia"/>
                      <w:highlight w:val="none"/>
                      <w:lang w:val="en-US" w:eastAsia="zh-CN"/>
                    </w:rPr>
                    <w:t>5万kW·h/a</w:t>
                  </w:r>
                </w:p>
              </w:tc>
              <w:tc>
                <w:tcPr>
                  <w:tcW w:w="2049" w:type="dxa"/>
                  <w:vAlign w:val="center"/>
                </w:tcPr>
                <w:p>
                  <w:pPr>
                    <w:pStyle w:val="73"/>
                    <w:bidi w:val="0"/>
                    <w:jc w:val="center"/>
                    <w:rPr>
                      <w:rFonts w:hint="default" w:eastAsia="宋体"/>
                      <w:lang w:val="en-US" w:eastAsia="zh-CN"/>
                    </w:rPr>
                  </w:pPr>
                  <w:r>
                    <w:rPr>
                      <w:rFonts w:hint="eastAsia"/>
                      <w:lang w:val="en-US" w:eastAsia="zh-CN"/>
                    </w:rPr>
                    <w:t>市政供水系统供给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48" w:type="dxa"/>
                  <w:vMerge w:val="restart"/>
                  <w:vAlign w:val="center"/>
                </w:tcPr>
                <w:p>
                  <w:pPr>
                    <w:pStyle w:val="73"/>
                    <w:bidi w:val="0"/>
                    <w:jc w:val="center"/>
                    <w:rPr>
                      <w:rFonts w:hint="eastAsia" w:eastAsia="宋体"/>
                      <w:lang w:val="en-US" w:eastAsia="zh-CN"/>
                    </w:rPr>
                  </w:pPr>
                  <w:r>
                    <w:rPr>
                      <w:rFonts w:hint="eastAsia"/>
                      <w:lang w:val="en-US" w:eastAsia="zh-CN"/>
                    </w:rPr>
                    <w:t>污水处理站</w:t>
                  </w:r>
                </w:p>
              </w:tc>
              <w:tc>
                <w:tcPr>
                  <w:tcW w:w="2048" w:type="dxa"/>
                  <w:vAlign w:val="center"/>
                </w:tcPr>
                <w:p>
                  <w:pPr>
                    <w:pStyle w:val="73"/>
                    <w:bidi w:val="0"/>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次氯酸钠</w:t>
                  </w:r>
                </w:p>
              </w:tc>
              <w:tc>
                <w:tcPr>
                  <w:tcW w:w="2049" w:type="dxa"/>
                  <w:vAlign w:val="center"/>
                </w:tcPr>
                <w:p>
                  <w:pPr>
                    <w:pStyle w:val="73"/>
                    <w:bidi w:val="0"/>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2.5t/a</w:t>
                  </w:r>
                </w:p>
              </w:tc>
              <w:tc>
                <w:tcPr>
                  <w:tcW w:w="2049" w:type="dxa"/>
                  <w:vAlign w:val="center"/>
                </w:tcPr>
                <w:p>
                  <w:pPr>
                    <w:pStyle w:val="73"/>
                    <w:bidi w:val="0"/>
                    <w:jc w:val="center"/>
                    <w:rPr>
                      <w:rFonts w:hint="eastAsia" w:ascii="Times New Roman" w:hAnsi="Times New Roman" w:eastAsia="宋体" w:cs="Times New Roman"/>
                      <w:kern w:val="2"/>
                      <w:sz w:val="21"/>
                      <w:szCs w:val="21"/>
                      <w:lang w:val="en-US" w:eastAsia="zh-CN" w:bidi="ar-SA"/>
                    </w:rPr>
                  </w:pPr>
                  <w:r>
                    <w:rPr>
                      <w:rFonts w:hint="eastAsia"/>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48" w:type="dxa"/>
                  <w:vMerge w:val="continue"/>
                  <w:vAlign w:val="center"/>
                </w:tcPr>
                <w:p>
                  <w:pPr>
                    <w:pStyle w:val="73"/>
                    <w:bidi w:val="0"/>
                    <w:jc w:val="center"/>
                    <w:rPr>
                      <w:rFonts w:hint="eastAsia"/>
                      <w:lang w:val="en-US" w:eastAsia="zh-CN"/>
                    </w:rPr>
                  </w:pPr>
                </w:p>
              </w:tc>
              <w:tc>
                <w:tcPr>
                  <w:tcW w:w="2048" w:type="dxa"/>
                  <w:vAlign w:val="center"/>
                </w:tcPr>
                <w:p>
                  <w:pPr>
                    <w:pStyle w:val="73"/>
                    <w:bidi w:val="0"/>
                    <w:jc w:val="center"/>
                    <w:rPr>
                      <w:rFonts w:hint="eastAsia"/>
                      <w:highlight w:val="none"/>
                      <w:lang w:val="en-US" w:eastAsia="zh-CN"/>
                    </w:rPr>
                  </w:pPr>
                  <w:r>
                    <w:rPr>
                      <w:rFonts w:hint="eastAsia"/>
                      <w:highlight w:val="none"/>
                      <w:lang w:val="en-US" w:eastAsia="zh-CN"/>
                    </w:rPr>
                    <w:t>聚丙烯酰胺</w:t>
                  </w:r>
                </w:p>
              </w:tc>
              <w:tc>
                <w:tcPr>
                  <w:tcW w:w="2049" w:type="dxa"/>
                  <w:vAlign w:val="center"/>
                </w:tcPr>
                <w:p>
                  <w:pPr>
                    <w:pStyle w:val="73"/>
                    <w:bidi w:val="0"/>
                    <w:jc w:val="center"/>
                    <w:rPr>
                      <w:rFonts w:hint="default"/>
                      <w:highlight w:val="none"/>
                      <w:lang w:val="en-US" w:eastAsia="zh-CN"/>
                    </w:rPr>
                  </w:pPr>
                  <w:r>
                    <w:rPr>
                      <w:rFonts w:hint="eastAsia"/>
                      <w:highlight w:val="none"/>
                      <w:lang w:val="en-US" w:eastAsia="zh-CN"/>
                    </w:rPr>
                    <w:t>1t/a</w:t>
                  </w:r>
                </w:p>
              </w:tc>
              <w:tc>
                <w:tcPr>
                  <w:tcW w:w="2049" w:type="dxa"/>
                  <w:vAlign w:val="center"/>
                </w:tcPr>
                <w:p>
                  <w:pPr>
                    <w:pStyle w:val="73"/>
                    <w:bidi w:val="0"/>
                    <w:jc w:val="center"/>
                    <w:rPr>
                      <w:rFonts w:hint="eastAsia"/>
                      <w:lang w:val="en-US" w:eastAsia="zh-CN"/>
                    </w:rPr>
                  </w:pPr>
                  <w:r>
                    <w:rPr>
                      <w:rFonts w:hint="eastAsia"/>
                      <w:lang w:val="en-US" w:eastAsia="zh-CN"/>
                    </w:rPr>
                    <w:t>外购</w:t>
                  </w:r>
                </w:p>
              </w:tc>
            </w:tr>
          </w:tbl>
          <w:p>
            <w:pPr>
              <w:pStyle w:val="7"/>
              <w:bidi w:val="0"/>
              <w:rPr>
                <w:rFonts w:hint="eastAsia"/>
                <w:lang w:val="en-US" w:eastAsia="zh-CN"/>
              </w:rPr>
            </w:pPr>
            <w:r>
              <w:rPr>
                <w:rFonts w:hint="eastAsia"/>
                <w:lang w:val="en-US" w:eastAsia="zh-CN"/>
              </w:rPr>
              <w:t>本项目原辅材料理化性质详见下表。</w:t>
            </w:r>
          </w:p>
          <w:p>
            <w:pPr>
              <w:pStyle w:val="72"/>
              <w:bidi w:val="0"/>
              <w:rPr>
                <w:rFonts w:hint="eastAsia"/>
                <w:lang w:val="en-US" w:eastAsia="zh-CN"/>
              </w:rPr>
            </w:pPr>
            <w:r>
              <w:rPr>
                <w:rFonts w:hint="default"/>
                <w:lang w:val="en-US" w:eastAsia="zh-CN"/>
              </w:rPr>
              <w:t>表2-5   主要原辅材料理化性质</w:t>
            </w:r>
          </w:p>
          <w:tbl>
            <w:tblPr>
              <w:tblStyle w:val="25"/>
              <w:tblW w:w="8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37"/>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pStyle w:val="73"/>
                    <w:bidi w:val="0"/>
                    <w:jc w:val="center"/>
                    <w:rPr>
                      <w:rFonts w:hint="default"/>
                      <w:lang w:val="en-US" w:eastAsia="zh-CN"/>
                    </w:rPr>
                  </w:pPr>
                  <w:r>
                    <w:rPr>
                      <w:rFonts w:hint="eastAsia"/>
                      <w:lang w:val="en-US" w:eastAsia="zh-CN"/>
                    </w:rPr>
                    <w:t>序号</w:t>
                  </w:r>
                </w:p>
              </w:tc>
              <w:tc>
                <w:tcPr>
                  <w:tcW w:w="1537" w:type="dxa"/>
                  <w:vAlign w:val="center"/>
                </w:tcPr>
                <w:p>
                  <w:pPr>
                    <w:pStyle w:val="73"/>
                    <w:bidi w:val="0"/>
                    <w:jc w:val="center"/>
                    <w:rPr>
                      <w:rFonts w:hint="default"/>
                      <w:lang w:val="en-US" w:eastAsia="zh-CN"/>
                    </w:rPr>
                  </w:pPr>
                  <w:r>
                    <w:rPr>
                      <w:rFonts w:hint="eastAsia"/>
                      <w:lang w:val="en-US" w:eastAsia="zh-CN"/>
                    </w:rPr>
                    <w:t>原辅材料名称</w:t>
                  </w:r>
                </w:p>
              </w:tc>
              <w:tc>
                <w:tcPr>
                  <w:tcW w:w="5964" w:type="dxa"/>
                  <w:vAlign w:val="center"/>
                </w:tcPr>
                <w:p>
                  <w:pPr>
                    <w:pStyle w:val="73"/>
                    <w:bidi w:val="0"/>
                    <w:jc w:val="center"/>
                    <w:rPr>
                      <w:rFonts w:hint="default"/>
                      <w:lang w:val="en-US" w:eastAsia="zh-CN"/>
                    </w:rPr>
                  </w:pPr>
                  <w:r>
                    <w:rPr>
                      <w:rFonts w:hint="eastAsia"/>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pStyle w:val="73"/>
                    <w:bidi w:val="0"/>
                    <w:jc w:val="center"/>
                    <w:rPr>
                      <w:rFonts w:hint="eastAsia"/>
                      <w:lang w:val="en-US" w:eastAsia="zh-CN"/>
                    </w:rPr>
                  </w:pPr>
                  <w:r>
                    <w:rPr>
                      <w:rFonts w:hint="eastAsia"/>
                      <w:lang w:val="en-US" w:eastAsia="zh-CN"/>
                    </w:rPr>
                    <w:t>1</w:t>
                  </w:r>
                </w:p>
              </w:tc>
              <w:tc>
                <w:tcPr>
                  <w:tcW w:w="1537" w:type="dxa"/>
                  <w:vAlign w:val="center"/>
                </w:tcPr>
                <w:p>
                  <w:pPr>
                    <w:pStyle w:val="73"/>
                    <w:bidi w:val="0"/>
                    <w:jc w:val="center"/>
                    <w:rPr>
                      <w:rFonts w:hint="default"/>
                      <w:highlight w:val="none"/>
                      <w:lang w:val="en-US" w:eastAsia="zh-CN"/>
                    </w:rPr>
                  </w:pPr>
                  <w:r>
                    <w:rPr>
                      <w:rFonts w:hint="eastAsia"/>
                      <w:highlight w:val="none"/>
                      <w:lang w:val="en-US" w:eastAsia="zh-CN"/>
                    </w:rPr>
                    <w:t>消毒剂</w:t>
                  </w:r>
                </w:p>
              </w:tc>
              <w:tc>
                <w:tcPr>
                  <w:tcW w:w="5964" w:type="dxa"/>
                  <w:vAlign w:val="center"/>
                </w:tcPr>
                <w:p>
                  <w:pPr>
                    <w:pStyle w:val="73"/>
                    <w:bidi w:val="0"/>
                    <w:jc w:val="center"/>
                    <w:rPr>
                      <w:rFonts w:hint="eastAsia"/>
                      <w:highlight w:val="none"/>
                      <w:lang w:val="en-US" w:eastAsia="zh-CN"/>
                    </w:rPr>
                  </w:pPr>
                  <w:r>
                    <w:rPr>
                      <w:rFonts w:hint="eastAsia"/>
                      <w:highlight w:val="none"/>
                      <w:lang w:val="en-US" w:eastAsia="zh-CN"/>
                    </w:rPr>
                    <w:t>采用食品级消毒剂，如奥克泰士等，属食品级复合型消毒杀菌剂，集合消毒、杀菌、除藻、除味等多功能于一体的消毒剂。主要成分为食品级过氧化氢银离子，产品无色，无味，无毒，无残留，广谱、高效、强力，对金属、塑料制品无腐蚀性，具有杀菌彻底，不产生微生物耐药性，无任何毒性残留，不造成重复污染等特点。所采用的氧化剂为过氧化物，它与稳定剂结合形成复合溶液。作为催化剂添加的痕量银离子可以保持长久的效用，可有效地降低畜禽圈舍氦气等有害气体的臭味，改善饲养环境，增进动物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pStyle w:val="73"/>
                    <w:bidi w:val="0"/>
                    <w:jc w:val="center"/>
                    <w:rPr>
                      <w:rFonts w:hint="default"/>
                      <w:lang w:val="en-US" w:eastAsia="zh-CN"/>
                    </w:rPr>
                  </w:pPr>
                  <w:r>
                    <w:rPr>
                      <w:rFonts w:hint="eastAsia"/>
                      <w:lang w:val="en-US" w:eastAsia="zh-CN"/>
                    </w:rPr>
                    <w:t>2</w:t>
                  </w:r>
                </w:p>
              </w:tc>
              <w:tc>
                <w:tcPr>
                  <w:tcW w:w="1537" w:type="dxa"/>
                  <w:vAlign w:val="center"/>
                </w:tcPr>
                <w:p>
                  <w:pPr>
                    <w:pStyle w:val="73"/>
                    <w:bidi w:val="0"/>
                    <w:jc w:val="center"/>
                    <w:rPr>
                      <w:rFonts w:hint="default"/>
                      <w:lang w:val="en-US" w:eastAsia="zh-CN"/>
                    </w:rPr>
                  </w:pPr>
                  <w:r>
                    <w:rPr>
                      <w:rFonts w:hint="eastAsia"/>
                      <w:lang w:val="en-US" w:eastAsia="zh-CN"/>
                    </w:rPr>
                    <w:t>R404A制冷剂</w:t>
                  </w:r>
                </w:p>
              </w:tc>
              <w:tc>
                <w:tcPr>
                  <w:tcW w:w="5964" w:type="dxa"/>
                  <w:vAlign w:val="center"/>
                </w:tcPr>
                <w:p>
                  <w:pPr>
                    <w:pStyle w:val="73"/>
                    <w:bidi w:val="0"/>
                    <w:jc w:val="center"/>
                    <w:rPr>
                      <w:rFonts w:hint="eastAsia"/>
                      <w:lang w:val="en-US" w:eastAsia="zh-CN"/>
                    </w:rPr>
                  </w:pPr>
                  <w:r>
                    <w:rPr>
                      <w:rFonts w:hint="eastAsia"/>
                      <w:lang w:val="en-US" w:eastAsia="zh-CN"/>
                    </w:rPr>
                    <w:t>由HFC125、HFC-134a和HFC-143混合而成，在常温下为无色气体，在自身压力下为无色透明液体，R-404A适用于中低温的新型商用制冷设备、交通运输制冷设备或更新设备。其主要成分分子式为CHF</w:t>
                  </w:r>
                  <w:r>
                    <w:rPr>
                      <w:rFonts w:hint="eastAsia"/>
                      <w:vertAlign w:val="subscript"/>
                      <w:lang w:val="en-US" w:eastAsia="zh-CN"/>
                    </w:rPr>
                    <w:t>2</w:t>
                  </w:r>
                  <w:r>
                    <w:rPr>
                      <w:rFonts w:hint="eastAsia"/>
                      <w:lang w:val="en-US" w:eastAsia="zh-CN"/>
                    </w:rPr>
                    <w:t>CF</w:t>
                  </w:r>
                  <w:r>
                    <w:rPr>
                      <w:rFonts w:hint="eastAsia"/>
                      <w:vertAlign w:val="subscript"/>
                      <w:lang w:val="en-US" w:eastAsia="zh-CN"/>
                    </w:rPr>
                    <w:t>3</w:t>
                  </w:r>
                  <w:r>
                    <w:rPr>
                      <w:rFonts w:hint="eastAsia"/>
                      <w:lang w:val="en-US" w:eastAsia="zh-CN"/>
                    </w:rPr>
                    <w:t>、CF</w:t>
                  </w:r>
                  <w:r>
                    <w:rPr>
                      <w:rFonts w:hint="eastAsia"/>
                      <w:vertAlign w:val="subscript"/>
                      <w:lang w:val="en-US" w:eastAsia="zh-CN"/>
                    </w:rPr>
                    <w:t>3</w:t>
                  </w:r>
                  <w:r>
                    <w:rPr>
                      <w:rFonts w:hint="eastAsia"/>
                      <w:lang w:val="en-US" w:eastAsia="zh-CN"/>
                    </w:rPr>
                    <w:t>CH</w:t>
                  </w:r>
                  <w:r>
                    <w:rPr>
                      <w:rFonts w:hint="eastAsia"/>
                      <w:vertAlign w:val="subscript"/>
                      <w:lang w:val="en-US" w:eastAsia="zh-CN"/>
                    </w:rPr>
                    <w:t>2</w:t>
                  </w:r>
                  <w:r>
                    <w:rPr>
                      <w:rFonts w:hint="eastAsia"/>
                      <w:lang w:val="en-US" w:eastAsia="zh-CN"/>
                    </w:rPr>
                    <w:t>F、CH</w:t>
                  </w:r>
                  <w:r>
                    <w:rPr>
                      <w:rFonts w:hint="eastAsia"/>
                      <w:vertAlign w:val="subscript"/>
                      <w:lang w:val="en-US" w:eastAsia="zh-CN"/>
                    </w:rPr>
                    <w:t>3</w:t>
                  </w:r>
                  <w:r>
                    <w:rPr>
                      <w:rFonts w:hint="eastAsia"/>
                      <w:lang w:val="en-US" w:eastAsia="zh-CN"/>
                    </w:rPr>
                    <w:t>CF</w:t>
                  </w:r>
                  <w:r>
                    <w:rPr>
                      <w:rFonts w:hint="eastAsia"/>
                      <w:vertAlign w:val="subscript"/>
                      <w:lang w:val="en-US" w:eastAsia="zh-CN"/>
                    </w:rPr>
                    <w:t>3</w:t>
                  </w:r>
                  <w:r>
                    <w:rPr>
                      <w:rFonts w:hint="eastAsia"/>
                      <w:lang w:val="en-US" w:eastAsia="zh-CN"/>
                    </w:rPr>
                    <w:t>，沸点（101.3kPa）：-46.1℃、临界温度：72.4℃；全球变暖系数值（GMP）：3850；由于R404A属于HFC型非共沸环保制冷剂（完全不含破坏臭氧层的CFC、HCFC），得到目前世界绝大多数国家的认可并推荐的主流低温环保制冷剂，泛用于新冷冻设备上的初装和维修过程中的再添加。符合美国环保组织EPA、SNAP和UL的标准，符合美国采暖、制冷空调工程师协会（ASHRAE）的A1安全等级类别（这是最高的级别，对人身体无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pStyle w:val="73"/>
                    <w:bidi w:val="0"/>
                    <w:jc w:val="center"/>
                    <w:rPr>
                      <w:rFonts w:hint="default"/>
                      <w:lang w:val="en-US" w:eastAsia="zh-CN"/>
                    </w:rPr>
                  </w:pPr>
                  <w:r>
                    <w:rPr>
                      <w:rFonts w:hint="eastAsia"/>
                      <w:lang w:val="en-US" w:eastAsia="zh-CN"/>
                    </w:rPr>
                    <w:t>3</w:t>
                  </w:r>
                </w:p>
              </w:tc>
              <w:tc>
                <w:tcPr>
                  <w:tcW w:w="1537" w:type="dxa"/>
                  <w:vAlign w:val="center"/>
                </w:tcPr>
                <w:p>
                  <w:pPr>
                    <w:pStyle w:val="73"/>
                    <w:bidi w:val="0"/>
                    <w:jc w:val="center"/>
                    <w:rPr>
                      <w:rFonts w:hint="default"/>
                      <w:lang w:val="en-US" w:eastAsia="zh-CN"/>
                    </w:rPr>
                  </w:pPr>
                  <w:r>
                    <w:rPr>
                      <w:rFonts w:hint="eastAsia"/>
                      <w:lang w:val="en-US" w:eastAsia="zh-CN"/>
                    </w:rPr>
                    <w:t>冷冻机油</w:t>
                  </w:r>
                </w:p>
              </w:tc>
              <w:tc>
                <w:tcPr>
                  <w:tcW w:w="5964" w:type="dxa"/>
                  <w:vAlign w:val="center"/>
                </w:tcPr>
                <w:p>
                  <w:pPr>
                    <w:pStyle w:val="73"/>
                    <w:bidi w:val="0"/>
                    <w:jc w:val="center"/>
                    <w:rPr>
                      <w:rFonts w:hint="default"/>
                      <w:lang w:val="en-US" w:eastAsia="zh-CN"/>
                    </w:rPr>
                  </w:pPr>
                  <w:r>
                    <w:rPr>
                      <w:rFonts w:hint="eastAsia"/>
                      <w:lang w:val="en-US" w:eastAsia="zh-CN"/>
                    </w:rPr>
                    <w:t>通常与制冷剂R404A配用的冷冻机油有：ICEMATIC SW32、SW220、EMKARATE RL32H、RL170H等，均为酯类油。酯类润滑油与水具有较高的亲和力，脱水性较差，因此在使用过程中应尽量避免与空气接触。一旦容器开封，应迅速使用并密封保存，同时远离氧化剂、强碱和强酸，确保在通风良好的环境中保存。此外，使用时应避免润滑油与皮肤和眼睛的直接接触，并防止吸入其蒸气和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pStyle w:val="73"/>
                    <w:bidi w:val="0"/>
                    <w:jc w:val="center"/>
                    <w:rPr>
                      <w:rFonts w:hint="default"/>
                      <w:lang w:val="en-US" w:eastAsia="zh-CN"/>
                    </w:rPr>
                  </w:pPr>
                  <w:r>
                    <w:rPr>
                      <w:rFonts w:hint="eastAsia"/>
                      <w:lang w:val="en-US" w:eastAsia="zh-CN"/>
                    </w:rPr>
                    <w:t>4</w:t>
                  </w:r>
                </w:p>
              </w:tc>
              <w:tc>
                <w:tcPr>
                  <w:tcW w:w="1537" w:type="dxa"/>
                  <w:vAlign w:val="center"/>
                </w:tcPr>
                <w:p>
                  <w:pPr>
                    <w:pStyle w:val="73"/>
                    <w:bidi w:val="0"/>
                    <w:jc w:val="center"/>
                    <w:rPr>
                      <w:rFonts w:hint="eastAsia"/>
                      <w:lang w:val="en-US" w:eastAsia="zh-CN"/>
                    </w:rPr>
                  </w:pPr>
                  <w:r>
                    <w:rPr>
                      <w:rFonts w:hint="eastAsia"/>
                      <w:lang w:val="en-US" w:eastAsia="zh-CN"/>
                    </w:rPr>
                    <w:t>除臭剂</w:t>
                  </w:r>
                </w:p>
              </w:tc>
              <w:tc>
                <w:tcPr>
                  <w:tcW w:w="5964" w:type="dxa"/>
                  <w:vAlign w:val="center"/>
                </w:tcPr>
                <w:p>
                  <w:pPr>
                    <w:pStyle w:val="73"/>
                    <w:bidi w:val="0"/>
                    <w:jc w:val="center"/>
                    <w:rPr>
                      <w:rFonts w:hint="eastAsia"/>
                      <w:lang w:val="en-US" w:eastAsia="zh-CN"/>
                    </w:rPr>
                  </w:pPr>
                  <w:r>
                    <w:rPr>
                      <w:rFonts w:hint="eastAsia"/>
                      <w:lang w:val="en-US" w:eastAsia="zh-CN"/>
                    </w:rPr>
                    <w:t>植物型除臭剂是指以天然植物萃取液或者天然植物提取物为主要原料加工而成的除臭剂，对人体和动物是无害的、无毒的，对土壤、植物均无损害，且无燃烧性和爆炸性，不含氟利昂和臭氧，使用安全。植物除臭剂具有抑菌、杀菌和除臭功效，对NH</w:t>
                  </w:r>
                  <w:r>
                    <w:rPr>
                      <w:rFonts w:hint="eastAsia"/>
                      <w:vertAlign w:val="subscript"/>
                      <w:lang w:val="en-US" w:eastAsia="zh-CN"/>
                    </w:rPr>
                    <w:t>3</w:t>
                  </w:r>
                  <w:r>
                    <w:rPr>
                      <w:rFonts w:hint="eastAsia"/>
                      <w:lang w:val="en-US" w:eastAsia="zh-CN"/>
                    </w:rPr>
                    <w:t>、H</w:t>
                  </w:r>
                  <w:r>
                    <w:rPr>
                      <w:rFonts w:hint="eastAsia"/>
                      <w:vertAlign w:val="subscript"/>
                      <w:lang w:val="en-US" w:eastAsia="zh-CN"/>
                    </w:rPr>
                    <w:t>2</w:t>
                  </w:r>
                  <w:r>
                    <w:rPr>
                      <w:rFonts w:hint="eastAsia"/>
                      <w:lang w:val="en-US" w:eastAsia="zh-CN"/>
                    </w:rPr>
                    <w:t>S等无机物和低分子脂肪酸、胺类、醛类、酮类、醚类、卤代烃等有机物等恶臭有吸附、遮盖、良好的分解，或者与异味分子发生碰撞，进行反应，促使异味分子发生改变原有分子结构，使之失去臭味，达到去除臭味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pStyle w:val="73"/>
                    <w:bidi w:val="0"/>
                    <w:jc w:val="center"/>
                    <w:rPr>
                      <w:rFonts w:hint="default"/>
                      <w:lang w:val="en-US" w:eastAsia="zh-CN"/>
                    </w:rPr>
                  </w:pPr>
                  <w:r>
                    <w:rPr>
                      <w:rFonts w:hint="eastAsia"/>
                      <w:lang w:val="en-US" w:eastAsia="zh-CN"/>
                    </w:rPr>
                    <w:t>5</w:t>
                  </w:r>
                </w:p>
              </w:tc>
              <w:tc>
                <w:tcPr>
                  <w:tcW w:w="1537" w:type="dxa"/>
                  <w:vAlign w:val="center"/>
                </w:tcPr>
                <w:p>
                  <w:pPr>
                    <w:pStyle w:val="73"/>
                    <w:bidi w:val="0"/>
                    <w:jc w:val="center"/>
                    <w:rPr>
                      <w:rFonts w:hint="eastAsia"/>
                      <w:lang w:val="en-US" w:eastAsia="zh-CN"/>
                    </w:rPr>
                  </w:pPr>
                  <w:r>
                    <w:rPr>
                      <w:rFonts w:hint="eastAsia"/>
                      <w:lang w:val="en-US" w:eastAsia="zh-CN"/>
                    </w:rPr>
                    <w:t>次氯酸钠</w:t>
                  </w:r>
                </w:p>
              </w:tc>
              <w:tc>
                <w:tcPr>
                  <w:tcW w:w="5964" w:type="dxa"/>
                  <w:vAlign w:val="center"/>
                </w:tcPr>
                <w:p>
                  <w:pPr>
                    <w:pStyle w:val="73"/>
                    <w:bidi w:val="0"/>
                    <w:jc w:val="center"/>
                    <w:rPr>
                      <w:rFonts w:hint="eastAsia"/>
                      <w:lang w:val="en-US" w:eastAsia="zh-CN"/>
                    </w:rPr>
                  </w:pPr>
                  <w:r>
                    <w:rPr>
                      <w:rFonts w:hint="eastAsia"/>
                      <w:lang w:val="en-US" w:eastAsia="zh-CN"/>
                    </w:rPr>
                    <w:t>次氯酸钠化学式NaClO，微黄色溶液，次氯酸钠可与水和二氧化碳发生反应，生成次氯酸(具有强氧化性)，还原有色物质，达到漂白的目的，受高热分解产生有毒的腐蚀性烟气。具有腐蚀性。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pStyle w:val="73"/>
                    <w:bidi w:val="0"/>
                    <w:jc w:val="center"/>
                    <w:rPr>
                      <w:rFonts w:hint="default"/>
                      <w:lang w:val="en-US" w:eastAsia="zh-CN"/>
                    </w:rPr>
                  </w:pPr>
                  <w:r>
                    <w:rPr>
                      <w:rFonts w:hint="eastAsia"/>
                      <w:lang w:val="en-US" w:eastAsia="zh-CN"/>
                    </w:rPr>
                    <w:t>6</w:t>
                  </w:r>
                </w:p>
              </w:tc>
              <w:tc>
                <w:tcPr>
                  <w:tcW w:w="1537" w:type="dxa"/>
                  <w:vAlign w:val="center"/>
                </w:tcPr>
                <w:p>
                  <w:pPr>
                    <w:pStyle w:val="73"/>
                    <w:bidi w:val="0"/>
                    <w:jc w:val="center"/>
                    <w:rPr>
                      <w:rFonts w:hint="default"/>
                      <w:lang w:val="en-US" w:eastAsia="zh-CN"/>
                    </w:rPr>
                  </w:pPr>
                  <w:r>
                    <w:rPr>
                      <w:rFonts w:hint="eastAsia"/>
                      <w:lang w:val="en-US" w:eastAsia="zh-CN"/>
                    </w:rPr>
                    <w:t>聚丙烯酰胺</w:t>
                  </w:r>
                </w:p>
              </w:tc>
              <w:tc>
                <w:tcPr>
                  <w:tcW w:w="5964" w:type="dxa"/>
                  <w:vAlign w:val="center"/>
                </w:tcPr>
                <w:p>
                  <w:pPr>
                    <w:pStyle w:val="73"/>
                    <w:bidi w:val="0"/>
                    <w:jc w:val="center"/>
                    <w:rPr>
                      <w:rFonts w:hint="eastAsia"/>
                      <w:lang w:val="en-US" w:eastAsia="zh-CN"/>
                    </w:rPr>
                  </w:pPr>
                  <w:r>
                    <w:rPr>
                      <w:rFonts w:hint="eastAsia"/>
                      <w:lang w:val="en-US" w:eastAsia="zh-CN"/>
                    </w:rPr>
                    <w:t>又叫PAM、三号凝聚剂，分子式为(CiHsNO)n，为无臭、白色粉末或半透明颗粒，溶于水，几乎不溶于有机溶剂，仅在乙二醇、甘油、甲方酰胺、乳酸、丙烯酸中溶解1%左右；无腐蚀性，无毒，单体有剧毒：超过120°C时易分解；广泛用于石油化工、冶金、煤炭、矿和纺织等工业部门，用作沉淀絮凝剂。</w:t>
                  </w:r>
                </w:p>
              </w:tc>
            </w:tr>
          </w:tbl>
          <w:p>
            <w:pPr>
              <w:pStyle w:val="2"/>
              <w:bidi w:val="0"/>
              <w:rPr>
                <w:rFonts w:hint="default"/>
              </w:rPr>
            </w:pPr>
            <w:r>
              <w:rPr>
                <w:rFonts w:hint="eastAsia"/>
                <w:lang w:val="en-US" w:eastAsia="zh-CN"/>
              </w:rPr>
              <w:t>8.</w:t>
            </w:r>
            <w:r>
              <w:rPr>
                <w:rFonts w:hint="default"/>
              </w:rPr>
              <w:t>劳动定员及工作制度</w:t>
            </w:r>
          </w:p>
          <w:p>
            <w:pPr>
              <w:pStyle w:val="18"/>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rPr>
              <w:t>本项目劳动定员</w:t>
            </w:r>
            <w:r>
              <w:rPr>
                <w:rFonts w:hint="eastAsia" w:cs="Times New Roman"/>
                <w:sz w:val="24"/>
                <w:szCs w:val="24"/>
                <w:highlight w:val="none"/>
                <w:lang w:val="en-US" w:eastAsia="zh-CN"/>
              </w:rPr>
              <w:t>20</w:t>
            </w:r>
            <w:r>
              <w:rPr>
                <w:rFonts w:hint="default" w:ascii="Times New Roman" w:hAnsi="Times New Roman" w:eastAsia="宋体" w:cs="Times New Roman"/>
                <w:sz w:val="24"/>
                <w:szCs w:val="24"/>
                <w:highlight w:val="none"/>
                <w:lang w:val="en-US" w:eastAsia="zh-CN"/>
              </w:rPr>
              <w:t>人</w:t>
            </w:r>
            <w:r>
              <w:rPr>
                <w:rFonts w:hint="default"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均从附近乡镇招聘，不在厂区食宿。年工作300天，</w:t>
            </w:r>
            <w:r>
              <w:rPr>
                <w:rFonts w:hint="default" w:ascii="Times New Roman" w:hAnsi="Times New Roman" w:eastAsia="宋体" w:cs="Times New Roman"/>
                <w:sz w:val="24"/>
                <w:szCs w:val="24"/>
                <w:highlight w:val="none"/>
                <w:lang w:val="en-US" w:eastAsia="zh-CN"/>
              </w:rPr>
              <w:t>每天一班工作制，每班运行8h。</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宋体" w:cs="Times New Roman"/>
                <w:b/>
                <w:bCs/>
                <w:kern w:val="2"/>
                <w:sz w:val="24"/>
                <w:szCs w:val="24"/>
                <w:lang w:val="en-US" w:eastAsia="zh-CN" w:bidi="ar-SA"/>
              </w:rPr>
            </w:pPr>
            <w:r>
              <w:rPr>
                <w:rFonts w:hint="eastAsia" w:cs="Times New Roman"/>
                <w:b/>
                <w:bCs/>
                <w:kern w:val="2"/>
                <w:sz w:val="24"/>
                <w:szCs w:val="24"/>
                <w:lang w:val="en-US" w:eastAsia="zh-CN" w:bidi="ar-SA"/>
              </w:rPr>
              <w:t>9.</w:t>
            </w:r>
            <w:r>
              <w:rPr>
                <w:rFonts w:hint="default" w:ascii="Times New Roman" w:hAnsi="Times New Roman" w:eastAsia="宋体" w:cs="Times New Roman"/>
                <w:b/>
                <w:bCs/>
                <w:kern w:val="2"/>
                <w:sz w:val="24"/>
                <w:szCs w:val="24"/>
                <w:lang w:val="en-US" w:eastAsia="zh-CN" w:bidi="ar-SA"/>
              </w:rPr>
              <w:t>厂区平面布置</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项目占地面积为2100m</w:t>
            </w:r>
            <w:r>
              <w:rPr>
                <w:rFonts w:hint="eastAsia"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，厂区出入口处设置运输车辆消毒通道，并单独设置人员消毒通道</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屠宰车间位于厂区中部，屠宰车间内按照工艺流程设置各类工作间</w:t>
            </w:r>
            <w:r>
              <w:rPr>
                <w:rFonts w:hint="eastAsia" w:cs="Times New Roman"/>
                <w:sz w:val="24"/>
                <w:szCs w:val="24"/>
                <w:lang w:val="en-US" w:eastAsia="zh-CN"/>
              </w:rPr>
              <w:t>，包括加工分割区、卫生间、检疫室</w:t>
            </w:r>
            <w:r>
              <w:rPr>
                <w:rFonts w:hint="eastAsia" w:ascii="Times New Roman" w:hAnsi="Times New Roman" w:eastAsia="宋体" w:cs="Times New Roman"/>
                <w:sz w:val="24"/>
                <w:szCs w:val="24"/>
                <w:lang w:val="en-US" w:eastAsia="zh-CN"/>
              </w:rPr>
              <w:t>，布设满足《牛羊屠宰与分割车间设计规范》(GB51225-2017)的布局要求</w:t>
            </w:r>
            <w:r>
              <w:rPr>
                <w:rFonts w:hint="default" w:ascii="Times New Roman" w:hAnsi="Times New Roman" w:eastAsia="宋体" w:cs="Times New Roman"/>
                <w:sz w:val="24"/>
                <w:szCs w:val="24"/>
                <w:lang w:val="en-US" w:eastAsia="zh-CN"/>
              </w:rPr>
              <w:t>。总图布置在满足生产工艺流程的前提下，严格遵循安全、卫生等有关规范规定，充分利用地形优势，做到功能分区明确。此外为方便生产和管理，尽量减少人流、物流的交叉干扰，以满足厂区洁净要求和安全要求。厂区内建设厂内道路、景观绿化等。</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本项目在平面布置上功能分区相对独立，通过合理组织功能分区，合理布置工艺车间，保证生产工艺流程畅通</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厂区平面布置详见附图。</w:t>
            </w:r>
          </w:p>
          <w:p>
            <w:pPr>
              <w:pStyle w:val="2"/>
              <w:bidi w:val="0"/>
              <w:rPr>
                <w:rFonts w:hint="eastAsia"/>
                <w:lang w:val="en-US" w:eastAsia="zh-CN"/>
              </w:rPr>
            </w:pPr>
            <w:r>
              <w:rPr>
                <w:rFonts w:hint="eastAsia"/>
                <w:lang w:val="en-US" w:eastAsia="zh-CN"/>
              </w:rPr>
              <w:t>10.给排水工程</w:t>
            </w:r>
          </w:p>
          <w:p>
            <w:pPr>
              <w:pStyle w:val="2"/>
              <w:bidi w:val="0"/>
              <w:rPr>
                <w:rFonts w:hint="default"/>
                <w:lang w:val="en-US" w:eastAsia="zh-CN"/>
              </w:rPr>
            </w:pPr>
            <w:r>
              <w:rPr>
                <w:rFonts w:hint="eastAsia"/>
                <w:lang w:val="en-US" w:eastAsia="zh-CN"/>
              </w:rPr>
              <w:t>10.1</w:t>
            </w:r>
            <w:r>
              <w:rPr>
                <w:rFonts w:hint="default"/>
                <w:lang w:val="en-US" w:eastAsia="zh-CN"/>
              </w:rPr>
              <w:t>给水</w:t>
            </w:r>
          </w:p>
          <w:p>
            <w:pPr>
              <w:pStyle w:val="7"/>
              <w:bidi w:val="0"/>
              <w:rPr>
                <w:rFonts w:hint="default"/>
                <w:lang w:val="en-US" w:eastAsia="zh-CN"/>
              </w:rPr>
            </w:pPr>
            <w:r>
              <w:rPr>
                <w:rFonts w:hint="default"/>
                <w:lang w:val="en-US" w:eastAsia="zh-CN"/>
              </w:rPr>
              <w:t>本项</w:t>
            </w:r>
            <w:r>
              <w:rPr>
                <w:rFonts w:hint="eastAsia"/>
                <w:lang w:val="en-US" w:eastAsia="zh-CN"/>
              </w:rPr>
              <w:t>目</w:t>
            </w:r>
            <w:r>
              <w:rPr>
                <w:rFonts w:hint="default"/>
                <w:lang w:val="en-US" w:eastAsia="zh-CN"/>
              </w:rPr>
              <w:t>用水主要为</w:t>
            </w:r>
            <w:r>
              <w:rPr>
                <w:rFonts w:hint="eastAsia"/>
                <w:lang w:val="en-US" w:eastAsia="zh-CN"/>
              </w:rPr>
              <w:t>生活用水、</w:t>
            </w:r>
            <w:r>
              <w:rPr>
                <w:rFonts w:hint="default"/>
                <w:lang w:val="en-US" w:eastAsia="zh-CN"/>
              </w:rPr>
              <w:t>屠宰用水</w:t>
            </w:r>
            <w:r>
              <w:rPr>
                <w:rFonts w:hint="eastAsia"/>
                <w:lang w:val="en-US" w:eastAsia="zh-CN"/>
              </w:rPr>
              <w:t>和</w:t>
            </w:r>
            <w:r>
              <w:rPr>
                <w:rFonts w:hint="default"/>
                <w:lang w:val="en-US" w:eastAsia="zh-CN"/>
              </w:rPr>
              <w:t>活牛羊待宰饮用水，供水由</w:t>
            </w:r>
            <w:r>
              <w:rPr>
                <w:rFonts w:hint="eastAsia"/>
                <w:lang w:val="en-US" w:eastAsia="zh-CN"/>
              </w:rPr>
              <w:t>市政</w:t>
            </w:r>
            <w:r>
              <w:rPr>
                <w:rFonts w:hint="default"/>
                <w:lang w:val="en-US" w:eastAsia="zh-CN"/>
              </w:rPr>
              <w:t>供水管网提供。</w:t>
            </w:r>
          </w:p>
          <w:p>
            <w:pPr>
              <w:pStyle w:val="7"/>
              <w:numPr>
                <w:ilvl w:val="0"/>
                <w:numId w:val="0"/>
              </w:numPr>
              <w:bidi w:val="0"/>
              <w:ind w:left="0" w:leftChars="0" w:right="0" w:rightChars="0" w:firstLine="480" w:firstLineChars="200"/>
              <w:rPr>
                <w:rFonts w:hint="default"/>
                <w:lang w:val="en-US" w:eastAsia="zh-CN"/>
              </w:rPr>
            </w:pPr>
            <w:r>
              <w:rPr>
                <w:rFonts w:hint="default" w:ascii="Times New Roman" w:hAnsi="Times New Roman" w:eastAsia="宋体" w:cs="Times New Roman"/>
                <w:kern w:val="0"/>
                <w:sz w:val="24"/>
                <w:szCs w:val="20"/>
                <w:lang w:val="en-US" w:eastAsia="zh-CN" w:bidi="ar-SA"/>
              </w:rPr>
              <w:t>（1）</w:t>
            </w:r>
            <w:r>
              <w:rPr>
                <w:rFonts w:hint="eastAsia"/>
                <w:lang w:val="en-US" w:eastAsia="zh-CN"/>
              </w:rPr>
              <w:t>生活用水</w:t>
            </w:r>
          </w:p>
          <w:p>
            <w:pPr>
              <w:pStyle w:val="7"/>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项目运营期劳动定员</w:t>
            </w:r>
            <w:r>
              <w:rPr>
                <w:rFonts w:hint="eastAsia" w:ascii="Times New Roman" w:hAnsi="Times New Roman" w:eastAsia="宋体" w:cs="Times New Roman"/>
                <w:lang w:val="en-US" w:eastAsia="zh-CN"/>
              </w:rPr>
              <w:t>20</w:t>
            </w:r>
            <w:r>
              <w:rPr>
                <w:rFonts w:hint="default" w:ascii="Times New Roman" w:hAnsi="Times New Roman" w:eastAsia="宋体" w:cs="Times New Roman"/>
                <w:lang w:val="en-US" w:eastAsia="zh-CN"/>
              </w:rPr>
              <w:t>人，</w:t>
            </w:r>
            <w:r>
              <w:rPr>
                <w:rFonts w:hint="eastAsia" w:ascii="Times New Roman" w:hAnsi="Times New Roman" w:eastAsia="宋体" w:cs="Times New Roman"/>
                <w:lang w:val="en-US" w:eastAsia="zh-CN"/>
              </w:rPr>
              <w:t>不在厂区内食宿，</w:t>
            </w:r>
            <w:r>
              <w:rPr>
                <w:rFonts w:hint="default" w:ascii="Times New Roman" w:hAnsi="Times New Roman" w:eastAsia="宋体" w:cs="Times New Roman"/>
                <w:lang w:val="en-US" w:eastAsia="zh-CN"/>
              </w:rPr>
              <w:t>年工作300d，根据《新疆维吾尔自治区生活用水定额》，生活用水定额取</w:t>
            </w:r>
            <w:r>
              <w:rPr>
                <w:rFonts w:hint="eastAsia" w:ascii="Times New Roman" w:hAnsi="Times New Roman" w:eastAsia="宋体" w:cs="Times New Roman"/>
                <w:lang w:val="en-US" w:eastAsia="zh-CN"/>
              </w:rPr>
              <w:t>25</w:t>
            </w:r>
            <w:r>
              <w:rPr>
                <w:rFonts w:hint="default" w:ascii="Times New Roman" w:hAnsi="Times New Roman" w:eastAsia="宋体" w:cs="Times New Roman"/>
                <w:lang w:val="en-US" w:eastAsia="zh-CN"/>
              </w:rPr>
              <w:t>L/人·d计，则职工生活用水量为0.</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/d（1</w:t>
            </w:r>
            <w:r>
              <w:rPr>
                <w:rFonts w:hint="eastAsia" w:ascii="Times New Roman" w:hAnsi="Times New Roman" w:eastAsia="宋体" w:cs="Times New Roman"/>
                <w:lang w:val="en-US" w:eastAsia="zh-CN"/>
              </w:rPr>
              <w:t>50</w:t>
            </w:r>
            <w:r>
              <w:rPr>
                <w:rFonts w:hint="default" w:ascii="Times New Roman" w:hAnsi="Times New Roman" w:eastAsia="宋体" w:cs="Times New Roman"/>
                <w:lang w:val="en-US" w:eastAsia="zh-CN"/>
              </w:rPr>
              <w:t>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/a）。</w:t>
            </w:r>
          </w:p>
          <w:p>
            <w:pPr>
              <w:pStyle w:val="7"/>
              <w:numPr>
                <w:ilvl w:val="0"/>
                <w:numId w:val="0"/>
              </w:numPr>
              <w:bidi w:val="0"/>
              <w:ind w:left="0" w:leftChars="0" w:right="0" w:rightChars="0" w:firstLine="480" w:firstLineChars="200"/>
              <w:rPr>
                <w:rFonts w:hint="default"/>
                <w:lang w:val="en-US" w:eastAsia="zh-CN"/>
              </w:rPr>
            </w:pPr>
            <w:r>
              <w:rPr>
                <w:rFonts w:hint="default" w:ascii="Times New Roman" w:hAnsi="Times New Roman" w:eastAsia="宋体" w:cs="Times New Roman"/>
                <w:kern w:val="0"/>
                <w:sz w:val="24"/>
                <w:szCs w:val="20"/>
                <w:lang w:val="en-US" w:eastAsia="zh-CN" w:bidi="ar-SA"/>
              </w:rPr>
              <w:t>（2）</w:t>
            </w:r>
            <w:r>
              <w:rPr>
                <w:rFonts w:hint="eastAsia"/>
                <w:lang w:val="en-US" w:eastAsia="zh-CN"/>
              </w:rPr>
              <w:t>屠宰</w:t>
            </w:r>
            <w:r>
              <w:rPr>
                <w:rFonts w:hint="default"/>
                <w:lang w:val="en-US" w:eastAsia="zh-CN"/>
              </w:rPr>
              <w:t>用水</w:t>
            </w:r>
          </w:p>
          <w:p>
            <w:pPr>
              <w:pStyle w:val="7"/>
              <w:bidi w:val="0"/>
              <w:rPr>
                <w:rFonts w:hint="default"/>
                <w:lang w:val="en-US" w:eastAsia="zh-CN"/>
              </w:rPr>
            </w:pPr>
            <w:r>
              <w:rPr>
                <w:rFonts w:hint="default"/>
                <w:lang w:val="en-US" w:eastAsia="zh-CN"/>
              </w:rPr>
              <w:t>屠宰用水主要包括待宰圈冲洗、宰前淋洗或剥皮、开腔、劈半、解体、内脏洗涤及屠宰车间冲洗用水等</w:t>
            </w:r>
            <w:r>
              <w:rPr>
                <w:rFonts w:hint="eastAsia"/>
                <w:lang w:val="en-US" w:eastAsia="zh-CN"/>
              </w:rPr>
              <w:t>。</w:t>
            </w:r>
            <w:r>
              <w:rPr>
                <w:rFonts w:hint="default"/>
                <w:lang w:val="en-US" w:eastAsia="zh-CN"/>
              </w:rPr>
              <w:t>本项目</w:t>
            </w:r>
            <w:r>
              <w:rPr>
                <w:rFonts w:hint="eastAsia"/>
                <w:lang w:val="en-US" w:eastAsia="zh-CN"/>
              </w:rPr>
              <w:t>肉</w:t>
            </w:r>
            <w:r>
              <w:rPr>
                <w:rFonts w:hint="default"/>
                <w:lang w:val="en-US" w:eastAsia="zh-CN"/>
              </w:rPr>
              <w:t>牛年屠宰量为</w:t>
            </w:r>
            <w:r>
              <w:rPr>
                <w:rFonts w:hint="eastAsia"/>
                <w:lang w:val="en-US" w:eastAsia="zh-CN"/>
              </w:rPr>
              <w:t>1800</w:t>
            </w:r>
            <w:r>
              <w:rPr>
                <w:rFonts w:hint="default"/>
                <w:lang w:val="en-US" w:eastAsia="zh-CN"/>
              </w:rPr>
              <w:t>头（</w:t>
            </w:r>
            <w:r>
              <w:rPr>
                <w:rFonts w:hint="eastAsia"/>
                <w:lang w:val="en-US" w:eastAsia="zh-CN"/>
              </w:rPr>
              <w:t>6</w:t>
            </w:r>
            <w:r>
              <w:rPr>
                <w:rFonts w:hint="default"/>
                <w:lang w:val="en-US" w:eastAsia="zh-CN"/>
              </w:rPr>
              <w:t>头/天），</w:t>
            </w:r>
            <w:r>
              <w:rPr>
                <w:rFonts w:hint="eastAsia"/>
                <w:lang w:val="en-US" w:eastAsia="zh-CN"/>
              </w:rPr>
              <w:t>肉</w:t>
            </w:r>
            <w:r>
              <w:rPr>
                <w:rFonts w:hint="default"/>
                <w:lang w:val="en-US" w:eastAsia="zh-CN"/>
              </w:rPr>
              <w:t>羊年屠宰量为</w:t>
            </w:r>
            <w:r>
              <w:rPr>
                <w:rFonts w:hint="eastAsia"/>
                <w:lang w:val="en-US" w:eastAsia="zh-CN"/>
              </w:rPr>
              <w:t>18000</w:t>
            </w:r>
            <w:r>
              <w:rPr>
                <w:rFonts w:hint="default"/>
                <w:lang w:val="en-US" w:eastAsia="zh-CN"/>
              </w:rPr>
              <w:t>只（</w:t>
            </w:r>
            <w:r>
              <w:rPr>
                <w:rFonts w:hint="eastAsia"/>
                <w:lang w:val="en-US" w:eastAsia="zh-CN"/>
              </w:rPr>
              <w:t>60</w:t>
            </w:r>
            <w:r>
              <w:rPr>
                <w:rFonts w:hint="default"/>
                <w:lang w:val="en-US" w:eastAsia="zh-CN"/>
              </w:rPr>
              <w:t>只/天）</w:t>
            </w:r>
            <w:r>
              <w:rPr>
                <w:rFonts w:hint="eastAsia"/>
                <w:lang w:val="en-US" w:eastAsia="zh-CN"/>
              </w:rPr>
              <w:t>。</w:t>
            </w:r>
            <w:r>
              <w:rPr>
                <w:rFonts w:hint="default"/>
                <w:lang w:val="en-US" w:eastAsia="zh-CN"/>
              </w:rPr>
              <w:t>根据《新疆工业和生活用水定额说明》，牛屠宰用水定额为1.2m</w:t>
            </w:r>
            <w:r>
              <w:rPr>
                <w:rFonts w:hint="default"/>
                <w:vertAlign w:val="superscript"/>
                <w:lang w:val="en-US" w:eastAsia="zh-CN"/>
              </w:rPr>
              <w:t>3</w:t>
            </w:r>
            <w:r>
              <w:rPr>
                <w:rFonts w:hint="default"/>
                <w:lang w:val="en-US" w:eastAsia="zh-CN"/>
              </w:rPr>
              <w:t>/头</w:t>
            </w:r>
            <w:r>
              <w:rPr>
                <w:rFonts w:hint="eastAsia"/>
                <w:lang w:val="en-US" w:eastAsia="zh-CN"/>
              </w:rPr>
              <w:t>，</w:t>
            </w:r>
            <w:r>
              <w:rPr>
                <w:rFonts w:hint="default"/>
                <w:lang w:val="en-US" w:eastAsia="zh-CN"/>
              </w:rPr>
              <w:t>羊屠宰用水定额为0.3m</w:t>
            </w:r>
            <w:r>
              <w:rPr>
                <w:rFonts w:hint="default"/>
                <w:vertAlign w:val="superscript"/>
                <w:lang w:val="en-US" w:eastAsia="zh-CN"/>
              </w:rPr>
              <w:t>3</w:t>
            </w:r>
            <w:r>
              <w:rPr>
                <w:rFonts w:hint="default"/>
                <w:lang w:val="en-US" w:eastAsia="zh-CN"/>
              </w:rPr>
              <w:t>/只</w:t>
            </w:r>
            <w:r>
              <w:rPr>
                <w:rFonts w:hint="eastAsia"/>
                <w:lang w:val="en-US" w:eastAsia="zh-CN"/>
              </w:rPr>
              <w:t>，则屠宰用水总量为25.2</w:t>
            </w:r>
            <w:r>
              <w:rPr>
                <w:rFonts w:hint="default"/>
                <w:lang w:val="en-US" w:eastAsia="zh-CN"/>
              </w:rPr>
              <w:t>m</w:t>
            </w:r>
            <w:r>
              <w:rPr>
                <w:rFonts w:hint="default"/>
                <w:vertAlign w:val="superscript"/>
                <w:lang w:val="en-US" w:eastAsia="zh-CN"/>
              </w:rPr>
              <w:t>3</w:t>
            </w:r>
            <w:r>
              <w:rPr>
                <w:rFonts w:hint="default"/>
                <w:lang w:val="en-US" w:eastAsia="zh-CN"/>
              </w:rPr>
              <w:t>/d（</w:t>
            </w:r>
            <w:r>
              <w:rPr>
                <w:rFonts w:hint="eastAsia"/>
                <w:lang w:val="en-US" w:eastAsia="zh-CN"/>
              </w:rPr>
              <w:t>7560</w:t>
            </w:r>
            <w:r>
              <w:rPr>
                <w:rFonts w:hint="default"/>
                <w:lang w:val="en-US" w:eastAsia="zh-CN"/>
              </w:rPr>
              <w:t>m</w:t>
            </w:r>
            <w:r>
              <w:rPr>
                <w:rFonts w:hint="default"/>
                <w:vertAlign w:val="superscript"/>
                <w:lang w:val="en-US" w:eastAsia="zh-CN"/>
              </w:rPr>
              <w:t>3</w:t>
            </w:r>
            <w:r>
              <w:rPr>
                <w:rFonts w:hint="default"/>
                <w:lang w:val="en-US" w:eastAsia="zh-CN"/>
              </w:rPr>
              <w:t>/a）。</w:t>
            </w:r>
          </w:p>
          <w:p>
            <w:pPr>
              <w:pStyle w:val="7"/>
              <w:bidi w:val="0"/>
              <w:rPr>
                <w:rFonts w:hint="default"/>
                <w:lang w:val="en-US" w:eastAsia="zh-CN"/>
              </w:rPr>
            </w:pPr>
            <w:r>
              <w:rPr>
                <w:rFonts w:hint="default"/>
                <w:lang w:val="en-US" w:eastAsia="zh-CN"/>
              </w:rPr>
              <w:t>（</w:t>
            </w:r>
            <w:r>
              <w:rPr>
                <w:rFonts w:hint="eastAsia"/>
                <w:lang w:val="en-US" w:eastAsia="zh-CN"/>
              </w:rPr>
              <w:t>2</w:t>
            </w:r>
            <w:r>
              <w:rPr>
                <w:rFonts w:hint="default"/>
                <w:lang w:val="en-US" w:eastAsia="zh-CN"/>
              </w:rPr>
              <w:t>）活牛羊待宰饮用水</w:t>
            </w:r>
          </w:p>
          <w:p>
            <w:pPr>
              <w:pStyle w:val="7"/>
              <w:bidi w:val="0"/>
              <w:rPr>
                <w:rFonts w:hint="default"/>
                <w:lang w:val="en-US" w:eastAsia="zh-CN"/>
              </w:rPr>
            </w:pPr>
            <w:r>
              <w:rPr>
                <w:rFonts w:hint="default"/>
                <w:lang w:val="en-US" w:eastAsia="zh-CN"/>
              </w:rPr>
              <w:t>根据工艺流程，经检验合格的牛、羊准予屠宰，被送入待宰圈停食静养12-24h，供给充足的饮水。参考《新疆维吾尔自治区生活用水定额》，</w:t>
            </w:r>
            <w:r>
              <w:rPr>
                <w:rFonts w:hint="eastAsia"/>
                <w:lang w:val="en-US" w:eastAsia="zh-CN"/>
              </w:rPr>
              <w:t>大牲畜养殖30~40L/头·天，小牲畜8L/头·天。本项目</w:t>
            </w:r>
            <w:r>
              <w:rPr>
                <w:rFonts w:hint="default"/>
                <w:lang w:val="en-US" w:eastAsia="zh-CN"/>
              </w:rPr>
              <w:t>活牛养殖用水定额为40L/头·天，羊为8L/只·天，项目年屠宰牛</w:t>
            </w:r>
            <w:r>
              <w:rPr>
                <w:rFonts w:hint="eastAsia"/>
                <w:lang w:val="en-US" w:eastAsia="zh-CN"/>
              </w:rPr>
              <w:t>1800</w:t>
            </w:r>
            <w:r>
              <w:rPr>
                <w:rFonts w:hint="default"/>
                <w:lang w:val="en-US" w:eastAsia="zh-CN"/>
              </w:rPr>
              <w:t>头、羊</w:t>
            </w:r>
            <w:r>
              <w:rPr>
                <w:rFonts w:hint="eastAsia"/>
                <w:lang w:val="en-US" w:eastAsia="zh-CN"/>
              </w:rPr>
              <w:t>18000</w:t>
            </w:r>
            <w:r>
              <w:rPr>
                <w:rFonts w:hint="default"/>
                <w:lang w:val="en-US" w:eastAsia="zh-CN"/>
              </w:rPr>
              <w:t>只，则活牛羊待宰饮用水量为</w:t>
            </w:r>
            <w:r>
              <w:rPr>
                <w:rFonts w:hint="eastAsia"/>
                <w:lang w:val="en-US" w:eastAsia="zh-CN"/>
              </w:rPr>
              <w:t>0.72</w:t>
            </w:r>
            <w:r>
              <w:rPr>
                <w:rFonts w:hint="default"/>
                <w:lang w:val="en-US" w:eastAsia="zh-CN"/>
              </w:rPr>
              <w:t>m</w:t>
            </w:r>
            <w:r>
              <w:rPr>
                <w:rFonts w:hint="default"/>
                <w:vertAlign w:val="superscript"/>
                <w:lang w:val="en-US" w:eastAsia="zh-CN"/>
              </w:rPr>
              <w:t>3</w:t>
            </w:r>
            <w:r>
              <w:rPr>
                <w:rFonts w:hint="default"/>
                <w:lang w:val="en-US" w:eastAsia="zh-CN"/>
              </w:rPr>
              <w:t>/d（</w:t>
            </w:r>
            <w:r>
              <w:rPr>
                <w:rFonts w:hint="eastAsia"/>
                <w:lang w:val="en-US" w:eastAsia="zh-CN"/>
              </w:rPr>
              <w:t>216</w:t>
            </w:r>
            <w:r>
              <w:rPr>
                <w:rFonts w:hint="default"/>
                <w:lang w:val="en-US" w:eastAsia="zh-CN"/>
              </w:rPr>
              <w:t>m</w:t>
            </w:r>
            <w:r>
              <w:rPr>
                <w:rFonts w:hint="default"/>
                <w:vertAlign w:val="superscript"/>
                <w:lang w:val="en-US" w:eastAsia="zh-CN"/>
              </w:rPr>
              <w:t>3</w:t>
            </w:r>
            <w:r>
              <w:rPr>
                <w:rFonts w:hint="default"/>
                <w:lang w:val="en-US" w:eastAsia="zh-CN"/>
              </w:rPr>
              <w:t>/a）。</w:t>
            </w:r>
          </w:p>
          <w:p>
            <w:pPr>
              <w:pStyle w:val="2"/>
              <w:bidi w:val="0"/>
              <w:rPr>
                <w:rFonts w:hint="default"/>
                <w:highlight w:val="none"/>
                <w:lang w:val="en-US" w:eastAsia="zh-CN"/>
              </w:rPr>
            </w:pPr>
            <w:r>
              <w:rPr>
                <w:rFonts w:hint="eastAsia"/>
                <w:highlight w:val="none"/>
                <w:lang w:val="en-US" w:eastAsia="zh-CN"/>
              </w:rPr>
              <w:t>10.2</w:t>
            </w:r>
            <w:r>
              <w:rPr>
                <w:rFonts w:hint="default"/>
                <w:highlight w:val="none"/>
                <w:lang w:val="en-US" w:eastAsia="zh-CN"/>
              </w:rPr>
              <w:t>排水</w:t>
            </w:r>
          </w:p>
          <w:p>
            <w:pPr>
              <w:pStyle w:val="7"/>
              <w:keepNext w:val="0"/>
              <w:keepLines w:val="0"/>
              <w:pageBreakBefore w:val="0"/>
              <w:widowControl/>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生活污水：生活污水产污系数按0.8计，则废水排放量为0.4m</w:t>
            </w:r>
            <w:r>
              <w:rPr>
                <w:rFonts w:hint="eastAsia"/>
                <w:vertAlign w:val="superscript"/>
                <w:lang w:val="en-US" w:eastAsia="zh-CN"/>
              </w:rPr>
              <w:t>3</w:t>
            </w:r>
            <w:r>
              <w:rPr>
                <w:rFonts w:hint="eastAsia"/>
                <w:lang w:val="en-US" w:eastAsia="zh-CN"/>
              </w:rPr>
              <w:t>/d（120m</w:t>
            </w:r>
            <w:r>
              <w:rPr>
                <w:rFonts w:hint="eastAsia"/>
                <w:vertAlign w:val="superscript"/>
                <w:lang w:val="en-US" w:eastAsia="zh-CN"/>
              </w:rPr>
              <w:t>3</w:t>
            </w:r>
            <w:r>
              <w:rPr>
                <w:rFonts w:hint="eastAsia"/>
                <w:lang w:val="en-US" w:eastAsia="zh-CN"/>
              </w:rPr>
              <w:t>/a）。本项目生活污水进入厂区污水处理站处理，处理后拉运到若羌县污水处理厂。</w:t>
            </w:r>
          </w:p>
          <w:p>
            <w:pPr>
              <w:pStyle w:val="7"/>
              <w:bidi w:val="0"/>
              <w:rPr>
                <w:rFonts w:hint="default"/>
                <w:lang w:val="en-US" w:eastAsia="zh-CN"/>
              </w:rPr>
            </w:pPr>
            <w:r>
              <w:rPr>
                <w:rFonts w:hint="eastAsia"/>
                <w:lang w:val="en-US" w:eastAsia="zh-CN"/>
              </w:rPr>
              <w:t>屠宰</w:t>
            </w:r>
            <w:r>
              <w:rPr>
                <w:rFonts w:hint="default"/>
                <w:lang w:val="en-US" w:eastAsia="zh-CN"/>
              </w:rPr>
              <w:t>废水：项目</w:t>
            </w:r>
            <w:r>
              <w:rPr>
                <w:rFonts w:hint="eastAsia"/>
                <w:lang w:val="en-US" w:eastAsia="zh-CN"/>
              </w:rPr>
              <w:t>肉</w:t>
            </w:r>
            <w:r>
              <w:rPr>
                <w:rFonts w:hint="default"/>
                <w:lang w:val="en-US" w:eastAsia="zh-CN"/>
              </w:rPr>
              <w:t>牛年屠宰量为</w:t>
            </w:r>
            <w:r>
              <w:rPr>
                <w:rFonts w:hint="eastAsia"/>
                <w:lang w:val="en-US" w:eastAsia="zh-CN"/>
              </w:rPr>
              <w:t>1800</w:t>
            </w:r>
            <w:r>
              <w:rPr>
                <w:rFonts w:hint="default"/>
                <w:lang w:val="en-US" w:eastAsia="zh-CN"/>
              </w:rPr>
              <w:t>头（</w:t>
            </w:r>
            <w:r>
              <w:rPr>
                <w:rFonts w:hint="eastAsia"/>
                <w:lang w:val="en-US" w:eastAsia="zh-CN"/>
              </w:rPr>
              <w:t>6</w:t>
            </w:r>
            <w:r>
              <w:rPr>
                <w:rFonts w:hint="default"/>
                <w:lang w:val="en-US" w:eastAsia="zh-CN"/>
              </w:rPr>
              <w:t>头/天），</w:t>
            </w:r>
            <w:r>
              <w:rPr>
                <w:rFonts w:hint="eastAsia"/>
                <w:lang w:val="en-US" w:eastAsia="zh-CN"/>
              </w:rPr>
              <w:t>肉</w:t>
            </w:r>
            <w:r>
              <w:rPr>
                <w:rFonts w:hint="default"/>
                <w:lang w:val="en-US" w:eastAsia="zh-CN"/>
              </w:rPr>
              <w:t>羊年屠宰量为</w:t>
            </w:r>
            <w:r>
              <w:rPr>
                <w:rFonts w:hint="eastAsia"/>
                <w:lang w:val="en-US" w:eastAsia="zh-CN"/>
              </w:rPr>
              <w:t>18000</w:t>
            </w:r>
            <w:r>
              <w:rPr>
                <w:rFonts w:hint="default"/>
                <w:lang w:val="en-US" w:eastAsia="zh-CN"/>
              </w:rPr>
              <w:t>只（</w:t>
            </w:r>
            <w:r>
              <w:rPr>
                <w:rFonts w:hint="eastAsia"/>
                <w:lang w:val="en-US" w:eastAsia="zh-CN"/>
              </w:rPr>
              <w:t>60</w:t>
            </w:r>
            <w:r>
              <w:rPr>
                <w:rFonts w:hint="default"/>
                <w:lang w:val="en-US" w:eastAsia="zh-CN"/>
              </w:rPr>
              <w:t>只/天），根据《屠宰与肉类加工废水治理工程技术规范》（HJ2001-2010），按全厂用水量估算总废水排放量时，废水量宜取全厂用水量的80%~90%，产污系数取</w:t>
            </w:r>
            <w:r>
              <w:rPr>
                <w:rFonts w:hint="eastAsia"/>
                <w:lang w:val="en-US" w:eastAsia="zh-CN"/>
              </w:rPr>
              <w:t>85</w:t>
            </w:r>
            <w:r>
              <w:rPr>
                <w:rFonts w:hint="default"/>
                <w:lang w:val="en-US" w:eastAsia="zh-CN"/>
              </w:rPr>
              <w:t>%</w:t>
            </w:r>
            <w:r>
              <w:rPr>
                <w:rFonts w:hint="eastAsia"/>
                <w:lang w:val="en-US" w:eastAsia="zh-CN"/>
              </w:rPr>
              <w:t>。则</w:t>
            </w:r>
            <w:r>
              <w:rPr>
                <w:rFonts w:hint="default"/>
                <w:lang w:val="en-US" w:eastAsia="zh-CN"/>
              </w:rPr>
              <w:t>屠宰废水总产生量为</w:t>
            </w:r>
            <w:r>
              <w:rPr>
                <w:rFonts w:hint="default"/>
                <w:lang w:eastAsia="zh-CN"/>
              </w:rPr>
              <w:t>21.42</w:t>
            </w:r>
            <w:r>
              <w:rPr>
                <w:rFonts w:hint="default"/>
                <w:lang w:val="en-US" w:eastAsia="zh-CN"/>
              </w:rPr>
              <w:t>m</w:t>
            </w:r>
            <w:r>
              <w:rPr>
                <w:rFonts w:hint="default"/>
                <w:vertAlign w:val="superscript"/>
                <w:lang w:val="en-US" w:eastAsia="zh-CN"/>
              </w:rPr>
              <w:t>3</w:t>
            </w:r>
            <w:r>
              <w:rPr>
                <w:rFonts w:hint="default"/>
                <w:lang w:val="en-US" w:eastAsia="zh-CN"/>
              </w:rPr>
              <w:t>/d（</w:t>
            </w:r>
            <w:r>
              <w:rPr>
                <w:rFonts w:hint="default"/>
                <w:lang w:eastAsia="zh-CN"/>
              </w:rPr>
              <w:t>6426</w:t>
            </w:r>
            <w:r>
              <w:rPr>
                <w:rFonts w:hint="default"/>
                <w:lang w:val="en-US" w:eastAsia="zh-CN"/>
              </w:rPr>
              <w:t>m</w:t>
            </w:r>
            <w:r>
              <w:rPr>
                <w:rFonts w:hint="default"/>
                <w:vertAlign w:val="superscript"/>
                <w:lang w:val="en-US" w:eastAsia="zh-CN"/>
              </w:rPr>
              <w:t>3</w:t>
            </w:r>
            <w:r>
              <w:rPr>
                <w:rFonts w:hint="default"/>
                <w:lang w:val="en-US" w:eastAsia="zh-CN"/>
              </w:rPr>
              <w:t>/a），废水进</w:t>
            </w:r>
            <w:r>
              <w:rPr>
                <w:rFonts w:hint="default"/>
                <w:highlight w:val="none"/>
                <w:lang w:val="en-US" w:eastAsia="zh-CN"/>
              </w:rPr>
              <w:t>厂区污水处理站</w:t>
            </w:r>
            <w:r>
              <w:rPr>
                <w:rFonts w:hint="default"/>
                <w:lang w:val="en-US" w:eastAsia="zh-CN"/>
              </w:rPr>
              <w:t>处理，达到《肉类加工工业水污染物排放标准》（GB13457-92）表3的</w:t>
            </w:r>
            <w:r>
              <w:rPr>
                <w:rFonts w:hint="eastAsia"/>
                <w:lang w:val="en-US" w:eastAsia="zh-CN"/>
              </w:rPr>
              <w:t>三</w:t>
            </w:r>
            <w:r>
              <w:rPr>
                <w:rFonts w:hint="default"/>
                <w:lang w:val="en-US" w:eastAsia="zh-CN"/>
              </w:rPr>
              <w:t>级标准值后，拉运到</w:t>
            </w:r>
            <w:r>
              <w:rPr>
                <w:rFonts w:hint="eastAsia"/>
                <w:lang w:val="en-US" w:eastAsia="zh-CN"/>
              </w:rPr>
              <w:t>若羌县</w:t>
            </w:r>
            <w:r>
              <w:rPr>
                <w:rFonts w:hint="default"/>
                <w:lang w:val="en-US" w:eastAsia="zh-CN"/>
              </w:rPr>
              <w:t>污水处理厂处理。</w:t>
            </w:r>
          </w:p>
          <w:p>
            <w:pPr>
              <w:pStyle w:val="7"/>
              <w:bidi w:val="0"/>
              <w:rPr>
                <w:rFonts w:hint="default"/>
                <w:lang w:val="en-US" w:eastAsia="zh-CN"/>
              </w:rPr>
            </w:pPr>
            <w:r>
              <w:rPr>
                <w:rFonts w:hint="default"/>
                <w:lang w:val="en-US" w:eastAsia="zh-CN"/>
              </w:rPr>
              <w:t>本项目水平衡图见图2-1。</w:t>
            </w:r>
          </w:p>
          <w:p>
            <w:pPr>
              <w:pStyle w:val="49"/>
              <w:bidi w:val="0"/>
              <w:rPr>
                <w:rFonts w:hint="eastAsia"/>
                <w:lang w:val="en-US" w:eastAsia="zh-CN"/>
              </w:rPr>
            </w:pPr>
            <w:r>
              <w:rPr>
                <w:rFonts w:hint="default" w:ascii="Times New Roman" w:hAnsi="Times New Roman" w:cs="Times New Roman"/>
                <w:lang w:val="en-US" w:eastAsia="zh-CN"/>
              </w:rPr>
              <w:drawing>
                <wp:inline distT="0" distB="0" distL="114300" distR="114300">
                  <wp:extent cx="5200015" cy="2200910"/>
                  <wp:effectExtent l="0" t="0" r="635" b="889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5200015" cy="2200910"/>
                          </a:xfrm>
                          <a:prstGeom prst="rect">
                            <a:avLst/>
                          </a:prstGeom>
                          <a:noFill/>
                          <a:ln>
                            <a:noFill/>
                          </a:ln>
                        </pic:spPr>
                      </pic:pic>
                    </a:graphicData>
                  </a:graphic>
                </wp:inline>
              </w:drawing>
            </w:r>
            <w:r>
              <w:rPr>
                <w:rFonts w:hint="default" w:ascii="Times New Roman" w:hAnsi="Times New Roman" w:cs="Times New Roman"/>
                <w:lang w:val="en-US" w:eastAsia="zh-CN"/>
              </w:rPr>
              <w:t>图</w:t>
            </w:r>
            <w:r>
              <w:rPr>
                <w:rFonts w:hint="eastAsia" w:ascii="Times New Roman" w:hAnsi="Times New Roman" w:cs="Times New Roman"/>
                <w:lang w:val="en-US" w:eastAsia="zh-CN"/>
              </w:rPr>
              <w:t xml:space="preserve">2-1   </w:t>
            </w:r>
            <w:r>
              <w:rPr>
                <w:rFonts w:hint="default" w:ascii="Times New Roman" w:hAnsi="Times New Roman" w:cs="Times New Roman"/>
                <w:lang w:val="en-US" w:eastAsia="zh-CN"/>
              </w:rPr>
              <w:t>项目水平衡示意图（m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w:t>
            </w:r>
            <w:r>
              <w:rPr>
                <w:rFonts w:hint="eastAsia" w:ascii="Times New Roman" w:hAnsi="Times New Roman" w:cs="Times New Roman"/>
                <w:lang w:val="en-US" w:eastAsia="zh-CN"/>
              </w:rPr>
              <w:t>a</w:t>
            </w:r>
            <w:r>
              <w:rPr>
                <w:rFonts w:hint="default" w:ascii="Times New Roman" w:hAnsi="Times New Roman" w:cs="Times New Roman"/>
                <w:lang w:val="en-US" w:eastAsia="zh-CN"/>
              </w:rPr>
              <w:t>）</w:t>
            </w:r>
          </w:p>
          <w:p>
            <w:pPr>
              <w:pStyle w:val="2"/>
              <w:bidi w:val="0"/>
              <w:rPr>
                <w:rFonts w:hint="default"/>
                <w:lang w:val="en-US" w:eastAsia="zh-CN"/>
              </w:rPr>
            </w:pPr>
            <w:r>
              <w:rPr>
                <w:rFonts w:hint="eastAsia"/>
                <w:lang w:val="en-US" w:eastAsia="zh-CN"/>
              </w:rPr>
              <w:t>11.</w:t>
            </w:r>
            <w:r>
              <w:rPr>
                <w:rFonts w:hint="default"/>
                <w:lang w:val="en-US" w:eastAsia="zh-CN"/>
              </w:rPr>
              <w:t>项目环保投资估</w:t>
            </w:r>
            <w:r>
              <w:rPr>
                <w:rFonts w:hint="eastAsia"/>
                <w:lang w:val="en-US" w:eastAsia="zh-CN"/>
              </w:rPr>
              <w:t>算</w:t>
            </w:r>
          </w:p>
          <w:p>
            <w:pPr>
              <w:pStyle w:val="18"/>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sz w:val="24"/>
                <w:szCs w:val="24"/>
                <w:highlight w:val="none"/>
                <w:lang w:eastAsia="zh-CN"/>
              </w:rPr>
              <w:t>本项目总投资</w:t>
            </w:r>
            <w:r>
              <w:rPr>
                <w:rFonts w:hint="eastAsia" w:cs="Times New Roman"/>
                <w:b w:val="0"/>
                <w:bCs w:val="0"/>
                <w:sz w:val="24"/>
                <w:szCs w:val="24"/>
                <w:highlight w:val="none"/>
                <w:lang w:val="en-US" w:eastAsia="zh-CN"/>
              </w:rPr>
              <w:t>280</w:t>
            </w:r>
            <w:r>
              <w:rPr>
                <w:rFonts w:hint="default" w:ascii="Times New Roman" w:hAnsi="Times New Roman" w:cs="Times New Roman"/>
                <w:b w:val="0"/>
                <w:bCs w:val="0"/>
                <w:sz w:val="24"/>
                <w:szCs w:val="24"/>
                <w:highlight w:val="none"/>
                <w:lang w:val="en-US" w:eastAsia="zh-CN"/>
              </w:rPr>
              <w:t>万元，其中环保投资</w:t>
            </w:r>
            <w:r>
              <w:rPr>
                <w:rFonts w:hint="eastAsia" w:cs="Times New Roman"/>
                <w:b w:val="0"/>
                <w:bCs w:val="0"/>
                <w:sz w:val="24"/>
                <w:szCs w:val="24"/>
                <w:highlight w:val="none"/>
                <w:lang w:val="en-US" w:eastAsia="zh-CN"/>
              </w:rPr>
              <w:t>35</w:t>
            </w:r>
            <w:r>
              <w:rPr>
                <w:rFonts w:hint="default" w:ascii="Times New Roman" w:hAnsi="Times New Roman" w:cs="Times New Roman"/>
                <w:b w:val="0"/>
                <w:bCs w:val="0"/>
                <w:sz w:val="24"/>
                <w:szCs w:val="24"/>
                <w:highlight w:val="none"/>
                <w:lang w:val="en-US" w:eastAsia="zh-CN"/>
              </w:rPr>
              <w:t>万元，占投资的</w:t>
            </w:r>
            <w:r>
              <w:rPr>
                <w:rFonts w:hint="eastAsia" w:cs="Times New Roman"/>
                <w:b w:val="0"/>
                <w:bCs w:val="0"/>
                <w:sz w:val="24"/>
                <w:szCs w:val="24"/>
                <w:highlight w:val="none"/>
                <w:lang w:val="en-US" w:eastAsia="zh-CN"/>
              </w:rPr>
              <w:t>12.5</w:t>
            </w:r>
            <w:r>
              <w:rPr>
                <w:rFonts w:hint="default" w:ascii="Times New Roman" w:hAnsi="Times New Roman" w:cs="Times New Roman"/>
                <w:b w:val="0"/>
                <w:bCs w:val="0"/>
                <w:sz w:val="24"/>
                <w:szCs w:val="24"/>
                <w:highlight w:val="none"/>
                <w:lang w:val="en-US" w:eastAsia="zh-CN"/>
              </w:rPr>
              <w:t>%，具体情况见下表。</w:t>
            </w:r>
          </w:p>
          <w:p>
            <w:pPr>
              <w:pStyle w:val="72"/>
              <w:bidi w:val="0"/>
              <w:rPr>
                <w:rFonts w:hint="default" w:ascii="Times New Roman" w:hAnsi="Times New Roman" w:cs="Times New Roman"/>
                <w:b/>
                <w:bCs/>
                <w:szCs w:val="24"/>
                <w:highlight w:val="none"/>
                <w:lang w:val="en-US" w:eastAsia="zh-CN"/>
              </w:rPr>
            </w:pPr>
            <w:r>
              <w:rPr>
                <w:rFonts w:hint="default" w:ascii="Times New Roman" w:hAnsi="Times New Roman" w:cs="Times New Roman"/>
                <w:highlight w:val="none"/>
                <w:lang w:val="en-US" w:eastAsia="zh-CN"/>
              </w:rPr>
              <w:t>表2-</w:t>
            </w:r>
            <w:r>
              <w:rPr>
                <w:rFonts w:hint="eastAsia" w:cs="Times New Roman"/>
                <w:highlight w:val="none"/>
                <w:lang w:val="en-US" w:eastAsia="zh-CN"/>
              </w:rPr>
              <w:t>6</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环保设施（措施）及投资估算一览表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46"/>
              <w:gridCol w:w="1886"/>
              <w:gridCol w:w="3668"/>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19"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时段</w:t>
                  </w:r>
                </w:p>
              </w:tc>
              <w:tc>
                <w:tcPr>
                  <w:tcW w:w="1547" w:type="pct"/>
                  <w:gridSpan w:val="2"/>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项目</w:t>
                  </w:r>
                </w:p>
              </w:tc>
              <w:tc>
                <w:tcPr>
                  <w:tcW w:w="224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环保措施</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19" w:type="pct"/>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lang w:eastAsia="zh-CN"/>
                    </w:rPr>
                    <w:t>施工期</w:t>
                  </w:r>
                </w:p>
              </w:tc>
              <w:tc>
                <w:tcPr>
                  <w:tcW w:w="1547" w:type="pct"/>
                  <w:gridSpan w:val="2"/>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噪声治理</w:t>
                  </w:r>
                </w:p>
              </w:tc>
              <w:tc>
                <w:tcPr>
                  <w:tcW w:w="224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施工设备降噪</w:t>
                  </w:r>
                  <w:r>
                    <w:rPr>
                      <w:rFonts w:hint="eastAsia" w:cs="Times New Roman"/>
                      <w:b w:val="0"/>
                      <w:bCs w:val="0"/>
                      <w:sz w:val="21"/>
                      <w:szCs w:val="21"/>
                      <w:vertAlign w:val="baseline"/>
                      <w:lang w:val="en-US" w:eastAsia="zh-CN"/>
                    </w:rPr>
                    <w:t>。</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0.</w:t>
                  </w:r>
                  <w:r>
                    <w:rPr>
                      <w:rFonts w:hint="eastAsia" w:cs="Times New Roman"/>
                      <w:b w:val="0"/>
                      <w:bCs w:val="0"/>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lang w:eastAsia="zh-CN"/>
                    </w:rPr>
                  </w:pPr>
                </w:p>
              </w:tc>
              <w:tc>
                <w:tcPr>
                  <w:tcW w:w="1547" w:type="pct"/>
                  <w:gridSpan w:val="2"/>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扬尘</w:t>
                  </w:r>
                </w:p>
              </w:tc>
              <w:tc>
                <w:tcPr>
                  <w:tcW w:w="224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围挡、围护、洒水抑尘、车辆运输加装篷盖。</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lang w:eastAsia="zh-CN"/>
                    </w:rPr>
                  </w:pPr>
                </w:p>
              </w:tc>
              <w:tc>
                <w:tcPr>
                  <w:tcW w:w="1547" w:type="pct"/>
                  <w:gridSpan w:val="2"/>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固废</w:t>
                  </w:r>
                </w:p>
              </w:tc>
              <w:tc>
                <w:tcPr>
                  <w:tcW w:w="224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弃土渣用于场内平整</w:t>
                  </w:r>
                  <w:r>
                    <w:rPr>
                      <w:rFonts w:hint="eastAsia" w:cs="Times New Roman"/>
                      <w:b w:val="0"/>
                      <w:bCs w:val="0"/>
                      <w:sz w:val="21"/>
                      <w:szCs w:val="21"/>
                      <w:vertAlign w:val="baseline"/>
                      <w:lang w:val="en-US" w:eastAsia="zh-CN"/>
                    </w:rPr>
                    <w:t>。</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lang w:eastAsia="zh-CN"/>
                    </w:rPr>
                  </w:pPr>
                </w:p>
              </w:tc>
              <w:tc>
                <w:tcPr>
                  <w:tcW w:w="1547" w:type="pct"/>
                  <w:gridSpan w:val="2"/>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废水</w:t>
                  </w:r>
                </w:p>
              </w:tc>
              <w:tc>
                <w:tcPr>
                  <w:tcW w:w="224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施工现场设一座废水沉淀池用于集中收集施工废水</w:t>
                  </w:r>
                  <w:r>
                    <w:rPr>
                      <w:rFonts w:hint="eastAsia" w:cs="Times New Roman"/>
                      <w:b w:val="0"/>
                      <w:bCs w:val="0"/>
                      <w:sz w:val="21"/>
                      <w:szCs w:val="21"/>
                      <w:vertAlign w:val="baseline"/>
                      <w:lang w:val="en-US" w:eastAsia="zh-CN"/>
                    </w:rPr>
                    <w:t>，处理后用于洒水降尘</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9" w:type="pct"/>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运营期</w:t>
                  </w:r>
                </w:p>
              </w:tc>
              <w:tc>
                <w:tcPr>
                  <w:tcW w:w="394"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废气治理</w:t>
                  </w:r>
                </w:p>
              </w:tc>
              <w:tc>
                <w:tcPr>
                  <w:tcW w:w="115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恶臭无组织排放</w:t>
                  </w:r>
                </w:p>
              </w:tc>
              <w:tc>
                <w:tcPr>
                  <w:tcW w:w="224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干清粪、日产日清、及时冲洗，喷洒除臭剂，加强车间通风。</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394" w:type="pct"/>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废水治理</w:t>
                  </w:r>
                </w:p>
              </w:tc>
              <w:tc>
                <w:tcPr>
                  <w:tcW w:w="115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生产废水</w:t>
                  </w:r>
                </w:p>
              </w:tc>
              <w:tc>
                <w:tcPr>
                  <w:tcW w:w="224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建设1座污水处理站，采用</w:t>
                  </w:r>
                  <w:r>
                    <w:rPr>
                      <w:rFonts w:hint="eastAsia" w:cs="Times New Roman"/>
                      <w:b w:val="0"/>
                      <w:bCs w:val="0"/>
                      <w:color w:val="auto"/>
                      <w:sz w:val="21"/>
                      <w:szCs w:val="21"/>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格栅+气浮+厌氧+好氧+沉淀+消毒</w:t>
                  </w:r>
                  <w:r>
                    <w:rPr>
                      <w:rFonts w:hint="eastAsia" w:cs="Times New Roman"/>
                      <w:b w:val="0"/>
                      <w:bCs w:val="0"/>
                      <w:color w:val="auto"/>
                      <w:sz w:val="21"/>
                      <w:szCs w:val="21"/>
                      <w:vertAlign w:val="baseline"/>
                      <w:lang w:val="en-US" w:eastAsia="zh-CN"/>
                    </w:rPr>
                    <w:t>”处理</w:t>
                  </w:r>
                  <w:r>
                    <w:rPr>
                      <w:rFonts w:hint="default" w:ascii="Times New Roman" w:hAnsi="Times New Roman" w:cs="Times New Roman"/>
                      <w:b w:val="0"/>
                      <w:bCs w:val="0"/>
                      <w:color w:val="auto"/>
                      <w:sz w:val="21"/>
                      <w:szCs w:val="21"/>
                      <w:vertAlign w:val="baseline"/>
                      <w:lang w:val="en-US" w:eastAsia="zh-CN"/>
                    </w:rPr>
                    <w:t>工艺，处理规模为</w:t>
                  </w:r>
                  <w:r>
                    <w:rPr>
                      <w:rFonts w:hint="eastAsia" w:cs="Times New Roman"/>
                      <w:b w:val="0"/>
                      <w:bCs w:val="0"/>
                      <w:color w:val="auto"/>
                      <w:sz w:val="21"/>
                      <w:szCs w:val="21"/>
                      <w:vertAlign w:val="baseline"/>
                      <w:lang w:val="en-US" w:eastAsia="zh-CN"/>
                    </w:rPr>
                    <w:t>50</w:t>
                  </w:r>
                  <w:r>
                    <w:rPr>
                      <w:rFonts w:hint="default" w:ascii="Times New Roman" w:hAnsi="Times New Roman" w:cs="Times New Roman"/>
                      <w:b w:val="0"/>
                      <w:bCs w:val="0"/>
                      <w:color w:val="auto"/>
                      <w:sz w:val="21"/>
                      <w:szCs w:val="21"/>
                      <w:vertAlign w:val="baseline"/>
                      <w:lang w:val="en-US" w:eastAsia="zh-CN"/>
                    </w:rPr>
                    <w:t>m³/d，处理达标后</w:t>
                  </w:r>
                  <w:r>
                    <w:rPr>
                      <w:rFonts w:hint="eastAsia" w:cs="Times New Roman"/>
                      <w:b w:val="0"/>
                      <w:bCs w:val="0"/>
                      <w:color w:val="auto"/>
                      <w:sz w:val="21"/>
                      <w:szCs w:val="21"/>
                      <w:vertAlign w:val="baseline"/>
                      <w:lang w:val="en-US" w:eastAsia="zh-CN"/>
                    </w:rPr>
                    <w:t>拉运至若羌县污水处理厂</w:t>
                  </w:r>
                  <w:r>
                    <w:rPr>
                      <w:rFonts w:hint="default" w:ascii="Times New Roman" w:hAnsi="Times New Roman" w:cs="Times New Roman"/>
                      <w:b w:val="0"/>
                      <w:bCs w:val="0"/>
                      <w:color w:val="auto"/>
                      <w:sz w:val="21"/>
                      <w:szCs w:val="21"/>
                      <w:vertAlign w:val="baseline"/>
                      <w:lang w:val="en-US" w:eastAsia="zh-CN"/>
                    </w:rPr>
                    <w:t>。</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394"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p>
              </w:tc>
              <w:tc>
                <w:tcPr>
                  <w:tcW w:w="115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生活污水</w:t>
                  </w:r>
                </w:p>
              </w:tc>
              <w:tc>
                <w:tcPr>
                  <w:tcW w:w="224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highlight w:val="none"/>
                      <w:vertAlign w:val="baseline"/>
                      <w:lang w:val="en-US" w:eastAsia="zh-CN"/>
                    </w:rPr>
                    <w:t>排入厂区污水处理站</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394"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噪声治理</w:t>
                  </w:r>
                </w:p>
              </w:tc>
              <w:tc>
                <w:tcPr>
                  <w:tcW w:w="115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设备运行噪声</w:t>
                  </w:r>
                </w:p>
              </w:tc>
              <w:tc>
                <w:tcPr>
                  <w:tcW w:w="224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低噪声设备、建筑隔声、设备减震</w:t>
                  </w:r>
                  <w:r>
                    <w:rPr>
                      <w:rFonts w:hint="eastAsia" w:cs="Times New Roman"/>
                      <w:b w:val="0"/>
                      <w:bCs w:val="0"/>
                      <w:sz w:val="21"/>
                      <w:szCs w:val="21"/>
                      <w:vertAlign w:val="baseline"/>
                      <w:lang w:val="en-US" w:eastAsia="zh-CN"/>
                    </w:rPr>
                    <w:t>。</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394" w:type="pct"/>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固废治理</w:t>
                  </w:r>
                </w:p>
              </w:tc>
              <w:tc>
                <w:tcPr>
                  <w:tcW w:w="1152" w:type="pct"/>
                  <w:noWrap w:val="0"/>
                  <w:vAlign w:val="center"/>
                </w:tcPr>
                <w:p>
                  <w:pPr>
                    <w:keepLines w:val="0"/>
                    <w:pageBreakBefore w:val="0"/>
                    <w:widowControl w:val="0"/>
                    <w:kinsoku/>
                    <w:wordWrap/>
                    <w:topLinePunct w:val="0"/>
                    <w:autoSpaceDE/>
                    <w:autoSpaceDN/>
                    <w:bidi w:val="0"/>
                    <w:adjustRightInd/>
                    <w:spacing w:line="240" w:lineRule="auto"/>
                    <w:ind w:left="0" w:firstLine="0"/>
                    <w:jc w:val="center"/>
                    <w:textAlignment w:val="auto"/>
                    <w:rPr>
                      <w:rFonts w:hint="default" w:ascii="Times New Roman" w:hAnsi="Times New Roman" w:cs="Times New Roman"/>
                      <w:szCs w:val="21"/>
                    </w:rPr>
                  </w:pPr>
                  <w:r>
                    <w:rPr>
                      <w:rFonts w:hint="default" w:ascii="Times New Roman" w:hAnsi="Times New Roman" w:eastAsia="宋体" w:cs="Times New Roman"/>
                      <w:szCs w:val="21"/>
                      <w:lang w:val="en-US" w:eastAsia="zh-CN"/>
                    </w:rPr>
                    <w:t>牛羊粪便、屠宰废物、肠胃内容物</w:t>
                  </w:r>
                </w:p>
              </w:tc>
              <w:tc>
                <w:tcPr>
                  <w:tcW w:w="2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r>
                    <w:rPr>
                      <w:rFonts w:hint="default" w:ascii="Times New Roman" w:hAnsi="Times New Roman" w:eastAsia="宋体" w:cs="Times New Roman"/>
                      <w:szCs w:val="21"/>
                      <w:lang w:val="en-US" w:eastAsia="zh-CN"/>
                    </w:rPr>
                    <w:t>作为有机肥原料外售综合利用。</w:t>
                  </w:r>
                </w:p>
              </w:tc>
              <w:tc>
                <w:tcPr>
                  <w:tcW w:w="791" w:type="pct"/>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394"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1152" w:type="pct"/>
                  <w:noWrap w:val="0"/>
                  <w:vAlign w:val="center"/>
                </w:tcPr>
                <w:p>
                  <w:pPr>
                    <w:keepLines w:val="0"/>
                    <w:pageBreakBefore w:val="0"/>
                    <w:widowControl w:val="0"/>
                    <w:kinsoku/>
                    <w:wordWrap/>
                    <w:topLinePunct w:val="0"/>
                    <w:autoSpaceDE/>
                    <w:autoSpaceDN/>
                    <w:bidi w:val="0"/>
                    <w:adjustRightInd/>
                    <w:spacing w:line="240" w:lineRule="auto"/>
                    <w:ind w:left="0" w:firstLine="0"/>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污水处理站的栅渣、污泥</w:t>
                  </w:r>
                </w:p>
              </w:tc>
              <w:tc>
                <w:tcPr>
                  <w:tcW w:w="2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作为</w:t>
                  </w:r>
                  <w:r>
                    <w:rPr>
                      <w:rFonts w:hint="eastAsia" w:cs="Times New Roman"/>
                      <w:szCs w:val="21"/>
                      <w:lang w:val="en-US" w:eastAsia="zh-CN"/>
                    </w:rPr>
                    <w:t>农家肥</w:t>
                  </w:r>
                  <w:r>
                    <w:rPr>
                      <w:rFonts w:hint="default" w:ascii="Times New Roman" w:hAnsi="Times New Roman" w:eastAsia="宋体" w:cs="Times New Roman"/>
                      <w:szCs w:val="21"/>
                      <w:lang w:val="en-US" w:eastAsia="zh-CN"/>
                    </w:rPr>
                    <w:t>外售综合利用。</w:t>
                  </w:r>
                </w:p>
              </w:tc>
              <w:tc>
                <w:tcPr>
                  <w:tcW w:w="791"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394"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lang w:val="en-US"/>
                    </w:rPr>
                  </w:pPr>
                  <w:r>
                    <w:rPr>
                      <w:rFonts w:hint="eastAsia" w:cs="Times New Roman"/>
                      <w:b w:val="0"/>
                      <w:bCs w:val="0"/>
                      <w:color w:val="auto"/>
                      <w:kern w:val="2"/>
                      <w:sz w:val="21"/>
                      <w:szCs w:val="21"/>
                      <w:lang w:val="en-US" w:eastAsia="zh-CN" w:bidi="ar-SA"/>
                    </w:rPr>
                    <w:t>病死牛羊、检疫残肉、不可食用内脏</w:t>
                  </w:r>
                </w:p>
              </w:tc>
              <w:tc>
                <w:tcPr>
                  <w:tcW w:w="2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r>
                    <w:rPr>
                      <w:rFonts w:hint="default" w:ascii="Times New Roman" w:hAnsi="Times New Roman" w:eastAsia="宋体" w:cs="Times New Roman"/>
                      <w:b w:val="0"/>
                      <w:bCs w:val="0"/>
                      <w:color w:val="auto"/>
                      <w:kern w:val="2"/>
                      <w:sz w:val="21"/>
                      <w:szCs w:val="21"/>
                      <w:lang w:val="en-US" w:eastAsia="zh-CN" w:bidi="ar-SA"/>
                    </w:rPr>
                    <w:t>进行无害化处理。</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394"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废弃卫生检疫用品</w:t>
                  </w:r>
                </w:p>
              </w:tc>
              <w:tc>
                <w:tcPr>
                  <w:tcW w:w="2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lang w:val="en-US" w:eastAsia="zh-CN"/>
                    </w:rPr>
                    <w:t>分类暂存集中拉运至一般固废处置场所</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394"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生活垃圾</w:t>
                  </w:r>
                </w:p>
              </w:tc>
              <w:tc>
                <w:tcPr>
                  <w:tcW w:w="2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分类收集后由环卫部门定期清运处理</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154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cs="Times New Roman"/>
                      <w:b w:val="0"/>
                      <w:bCs w:val="0"/>
                      <w:color w:val="auto"/>
                      <w:kern w:val="2"/>
                      <w:sz w:val="21"/>
                      <w:szCs w:val="21"/>
                      <w:lang w:val="en-US" w:eastAsia="zh-CN" w:bidi="ar-SA"/>
                    </w:rPr>
                  </w:pPr>
                  <w:r>
                    <w:rPr>
                      <w:rFonts w:hint="eastAsia" w:ascii="Times New Roman" w:hAnsi="Times New Roman" w:eastAsia="宋体" w:cs="宋体"/>
                      <w:lang w:val="en-US" w:eastAsia="zh-CN"/>
                    </w:rPr>
                    <w:t>危险废物处置</w:t>
                  </w:r>
                </w:p>
              </w:tc>
              <w:tc>
                <w:tcPr>
                  <w:tcW w:w="2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建设一座10m</w:t>
                  </w:r>
                  <w:r>
                    <w:rPr>
                      <w:rFonts w:hint="eastAsia" w:cs="Times New Roman"/>
                      <w:b w:val="0"/>
                      <w:bCs w:val="0"/>
                      <w:color w:val="auto"/>
                      <w:kern w:val="2"/>
                      <w:sz w:val="21"/>
                      <w:szCs w:val="21"/>
                      <w:vertAlign w:val="superscript"/>
                      <w:lang w:val="en-US" w:eastAsia="zh-CN" w:bidi="ar-SA"/>
                    </w:rPr>
                    <w:t>2</w:t>
                  </w:r>
                  <w:r>
                    <w:rPr>
                      <w:rFonts w:hint="eastAsia" w:cs="Times New Roman"/>
                      <w:b w:val="0"/>
                      <w:bCs w:val="0"/>
                      <w:color w:val="auto"/>
                      <w:kern w:val="2"/>
                      <w:sz w:val="21"/>
                      <w:szCs w:val="21"/>
                      <w:lang w:val="en-US" w:eastAsia="zh-CN" w:bidi="ar-SA"/>
                    </w:rPr>
                    <w:t>危险废物贮存点用于危险废物的收集暂存</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pct"/>
                  <w:gridSpan w:val="3"/>
                  <w:noWrap w:val="0"/>
                  <w:vAlign w:val="center"/>
                </w:tcPr>
                <w:p>
                  <w:pPr>
                    <w:pStyle w:val="73"/>
                    <w:bidi w:val="0"/>
                    <w:rPr>
                      <w:rFonts w:hint="default" w:ascii="Times New Roman" w:hAnsi="Times New Roman" w:eastAsia="宋体" w:cs="宋体"/>
                      <w:lang w:val="en-US" w:eastAsia="zh-CN"/>
                    </w:rPr>
                  </w:pPr>
                  <w:r>
                    <w:rPr>
                      <w:rFonts w:hint="default" w:ascii="Times New Roman" w:hAnsi="Times New Roman" w:cs="Times New Roman"/>
                      <w:color w:val="000000" w:themeColor="text1"/>
                      <w:highlight w:val="none"/>
                      <w:lang w:val="en-US" w:eastAsia="zh-CN"/>
                      <w14:textFill>
                        <w14:solidFill>
                          <w14:schemeClr w14:val="tx1"/>
                        </w14:solidFill>
                      </w14:textFill>
                    </w:rPr>
                    <w:t>环境风险防范工程</w:t>
                  </w:r>
                </w:p>
              </w:tc>
              <w:tc>
                <w:tcPr>
                  <w:tcW w:w="2241" w:type="pct"/>
                  <w:noWrap w:val="0"/>
                  <w:vAlign w:val="center"/>
                </w:tcPr>
                <w:p>
                  <w:pPr>
                    <w:pStyle w:val="73"/>
                    <w:bidi w:val="0"/>
                    <w:rPr>
                      <w:rFonts w:hint="default" w:cs="Times New Roman"/>
                      <w:b w:val="0"/>
                      <w:bCs w:val="0"/>
                      <w:color w:val="auto"/>
                      <w:kern w:val="2"/>
                      <w:sz w:val="21"/>
                      <w:szCs w:val="21"/>
                      <w:lang w:val="en-US" w:eastAsia="zh-CN" w:bidi="ar-SA"/>
                    </w:rPr>
                  </w:pPr>
                  <w:r>
                    <w:rPr>
                      <w:rFonts w:hint="default" w:ascii="Times New Roman" w:hAnsi="Times New Roman" w:cs="Times New Roman"/>
                      <w:color w:val="000000" w:themeColor="text1"/>
                      <w:highlight w:val="none"/>
                      <w:lang w:val="en-US" w:eastAsia="zh-CN"/>
                      <w14:textFill>
                        <w14:solidFill>
                          <w14:schemeClr w14:val="tx1"/>
                        </w14:solidFill>
                      </w14:textFill>
                    </w:rPr>
                    <w:t>制定环境风险管理制度</w:t>
                  </w:r>
                  <w:r>
                    <w:rPr>
                      <w:rFonts w:hint="eastAsia" w:cs="Times New Roman"/>
                      <w:color w:val="000000" w:themeColor="text1"/>
                      <w:highlight w:val="none"/>
                      <w:lang w:val="en-US" w:eastAsia="zh-CN"/>
                      <w14:textFill>
                        <w14:solidFill>
                          <w14:schemeClr w14:val="tx1"/>
                        </w14:solidFill>
                      </w14:textFill>
                    </w:rPr>
                    <w:t>，做好分区防渗</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pct"/>
                  <w:gridSpan w:val="4"/>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合计</w:t>
                  </w:r>
                </w:p>
              </w:tc>
              <w:tc>
                <w:tcPr>
                  <w:tcW w:w="791"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35</w:t>
                  </w:r>
                </w:p>
              </w:tc>
            </w:tr>
          </w:tbl>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center"/>
              <w:rPr>
                <w:rFonts w:hint="default" w:ascii="Times New Roman" w:hAnsi="Times New Roman" w:cs="Times New Roman"/>
                <w:bCs/>
                <w:szCs w:val="21"/>
              </w:rPr>
            </w:pPr>
          </w:p>
          <w:p>
            <w:pPr>
              <w:adjustRightInd w:val="0"/>
              <w:snapToGrid w:val="0"/>
              <w:jc w:val="both"/>
              <w:rPr>
                <w:rFonts w:hint="default" w:ascii="Times New Roman" w:hAnsi="Times New Roman"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55" w:hRule="atLeast"/>
          <w:jc w:val="center"/>
        </w:trPr>
        <w:tc>
          <w:tcPr>
            <w:tcW w:w="650" w:type="dxa"/>
            <w:tcBorders>
              <w:top w:val="single" w:color="000000" w:sz="8" w:space="0"/>
            </w:tcBorders>
            <w:noWrap w:val="0"/>
            <w:vAlign w:val="center"/>
          </w:tcPr>
          <w:p>
            <w:pPr>
              <w:pStyle w:val="19"/>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sz w:val="21"/>
                <w:szCs w:val="21"/>
              </w:rPr>
              <w:t>工艺流程和产排污环节</w:t>
            </w:r>
          </w:p>
        </w:tc>
        <w:tc>
          <w:tcPr>
            <w:tcW w:w="8410" w:type="dxa"/>
            <w:tcBorders>
              <w:top w:val="single" w:color="000000" w:sz="8" w:space="0"/>
            </w:tcBorders>
            <w:noWrap w:val="0"/>
            <w:vAlign w:val="center"/>
          </w:tcPr>
          <w:p>
            <w:pPr>
              <w:pStyle w:val="70"/>
              <w:bidi w:val="0"/>
              <w:rPr>
                <w:rFonts w:hint="eastAsia"/>
                <w:lang w:val="en-US" w:eastAsia="zh-CN"/>
              </w:rPr>
            </w:pPr>
            <w:r>
              <w:rPr>
                <w:rFonts w:hint="eastAsia"/>
                <w:lang w:val="en-US" w:eastAsia="zh-CN"/>
              </w:rPr>
              <w:t>1.施工期工艺流程及产污环节图</w:t>
            </w:r>
          </w:p>
          <w:p>
            <w:pPr>
              <w:pStyle w:val="71"/>
              <w:bidi w:val="0"/>
              <w:rPr>
                <w:rFonts w:hint="eastAsia"/>
                <w:lang w:val="en-US" w:eastAsia="zh-CN"/>
              </w:rPr>
            </w:pPr>
            <w:r>
              <w:rPr>
                <w:rFonts w:hint="eastAsia"/>
                <w:lang w:val="en-US" w:eastAsia="zh-CN"/>
              </w:rPr>
              <w:t>施工期工艺流程：</w:t>
            </w:r>
          </w:p>
          <w:p>
            <w:pPr>
              <w:pStyle w:val="72"/>
              <w:bidi w:val="0"/>
              <w:rPr>
                <w:rFonts w:hint="default"/>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-15875</wp:posOffset>
                  </wp:positionH>
                  <wp:positionV relativeFrom="paragraph">
                    <wp:posOffset>33655</wp:posOffset>
                  </wp:positionV>
                  <wp:extent cx="5197475" cy="1555115"/>
                  <wp:effectExtent l="0" t="0" r="3175" b="6985"/>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197475" cy="1555115"/>
                          </a:xfrm>
                          <a:prstGeom prst="rect">
                            <a:avLst/>
                          </a:prstGeom>
                          <a:noFill/>
                          <a:ln>
                            <a:noFill/>
                          </a:ln>
                        </pic:spPr>
                      </pic:pic>
                    </a:graphicData>
                  </a:graphic>
                </wp:anchor>
              </w:drawing>
            </w:r>
            <w:r>
              <w:rPr>
                <w:rFonts w:hint="eastAsia"/>
                <w:lang w:val="en-US" w:eastAsia="zh-CN"/>
              </w:rPr>
              <w:t>图2-2   施工期工艺及产污环节图</w:t>
            </w:r>
          </w:p>
          <w:p>
            <w:pPr>
              <w:pStyle w:val="71"/>
              <w:bidi w:val="0"/>
              <w:rPr>
                <w:rFonts w:hint="eastAsia"/>
                <w:lang w:val="en-US" w:eastAsia="zh-CN"/>
              </w:rPr>
            </w:pPr>
            <w:r>
              <w:rPr>
                <w:rFonts w:hint="default"/>
                <w:lang w:val="en-US" w:eastAsia="zh-CN"/>
              </w:rPr>
              <w:t>项目主要建设屠宰车间、待宰</w:t>
            </w:r>
            <w:r>
              <w:rPr>
                <w:rFonts w:hint="eastAsia"/>
                <w:lang w:val="en-US" w:eastAsia="zh-CN"/>
              </w:rPr>
              <w:t>圈</w:t>
            </w:r>
            <w:r>
              <w:rPr>
                <w:rFonts w:hint="default"/>
                <w:lang w:val="en-US" w:eastAsia="zh-CN"/>
              </w:rPr>
              <w:t>、</w:t>
            </w:r>
            <w:r>
              <w:rPr>
                <w:rFonts w:hint="eastAsia"/>
                <w:lang w:val="en-US" w:eastAsia="zh-CN"/>
              </w:rPr>
              <w:t>消毒间</w:t>
            </w:r>
            <w:r>
              <w:rPr>
                <w:rFonts w:hint="default"/>
                <w:lang w:val="en-US" w:eastAsia="zh-CN"/>
              </w:rPr>
              <w:t>、</w:t>
            </w:r>
            <w:r>
              <w:rPr>
                <w:rFonts w:hint="eastAsia"/>
                <w:lang w:val="en-US" w:eastAsia="zh-CN"/>
              </w:rPr>
              <w:t>门卫室、冷藏库</w:t>
            </w:r>
            <w:r>
              <w:rPr>
                <w:rFonts w:hint="default"/>
                <w:lang w:val="en-US" w:eastAsia="zh-CN"/>
              </w:rPr>
              <w:t>、污水</w:t>
            </w:r>
            <w:r>
              <w:rPr>
                <w:rFonts w:hint="eastAsia"/>
                <w:lang w:val="en-US" w:eastAsia="zh-CN"/>
              </w:rPr>
              <w:t>处理系统</w:t>
            </w:r>
            <w:r>
              <w:rPr>
                <w:rFonts w:hint="default"/>
                <w:lang w:val="en-US" w:eastAsia="zh-CN"/>
              </w:rPr>
              <w:t>，厂区道路及修建围栏附属设施，工程为钢筋混凝土框架结构和钢结构组成，主体工程完工后主要生产设备即可进场进行安装调试，并根据设计进行设备管道</w:t>
            </w:r>
            <w:r>
              <w:rPr>
                <w:rFonts w:hint="eastAsia"/>
                <w:lang w:val="en-US" w:eastAsia="zh-CN"/>
              </w:rPr>
              <w:t>。</w:t>
            </w:r>
            <w:r>
              <w:rPr>
                <w:rFonts w:hint="default"/>
                <w:lang w:val="en-US" w:eastAsia="zh-CN"/>
              </w:rPr>
              <w:t>施工期的主要污染因素是扬尘、施工机械尾气、施工废水、噪声、建筑垃圾。施工场地要设置围挡，</w:t>
            </w:r>
            <w:r>
              <w:rPr>
                <w:rFonts w:hint="eastAsia"/>
                <w:lang w:val="en-US" w:eastAsia="zh-CN"/>
              </w:rPr>
              <w:t>使用</w:t>
            </w:r>
            <w:r>
              <w:rPr>
                <w:rFonts w:hint="default"/>
                <w:lang w:val="en-US" w:eastAsia="zh-CN"/>
              </w:rPr>
              <w:t>彩钢板在施工区四周围屏以防扬尘扩散。废水主要为混凝土养护废水和设备、工具清洗废水，产生量较小，经过沉淀池沉淀后，用于洒水抑尘；建筑垃圾由各施工队妥善处理，及时清运到环卫部门指定的地方处置。合理安排施工时间，应尽可能避免大量高噪声设备同时施工，使用高噪声设备的施工阶段应尽量安排在白天，无特殊工艺施工要求，夜间不施工</w:t>
            </w:r>
            <w:r>
              <w:rPr>
                <w:rFonts w:hint="eastAsia"/>
                <w:lang w:val="en-US" w:eastAsia="zh-CN"/>
              </w:rPr>
              <w:t>。</w:t>
            </w:r>
          </w:p>
          <w:p>
            <w:pPr>
              <w:pStyle w:val="70"/>
              <w:numPr>
                <w:ilvl w:val="0"/>
                <w:numId w:val="0"/>
              </w:numPr>
              <w:bidi w:val="0"/>
              <w:rPr>
                <w:rFonts w:hint="eastAsia"/>
                <w:lang w:val="en-US" w:eastAsia="zh-CN"/>
              </w:rPr>
            </w:pPr>
            <w:r>
              <w:rPr>
                <w:rFonts w:hint="eastAsia"/>
                <w:lang w:val="en-US" w:eastAsia="zh-CN"/>
              </w:rPr>
              <w:t>2.运营期工艺流程及产污环节图</w:t>
            </w:r>
          </w:p>
          <w:p>
            <w:pPr>
              <w:pStyle w:val="70"/>
              <w:widowControl w:val="0"/>
              <w:numPr>
                <w:ilvl w:val="0"/>
                <w:numId w:val="0"/>
              </w:numPr>
              <w:bidi w:val="0"/>
              <w:adjustRightInd w:val="0"/>
              <w:snapToGrid w:val="0"/>
              <w:spacing w:line="520" w:lineRule="exact"/>
              <w:jc w:val="left"/>
              <w:rPr>
                <w:rFonts w:hint="default"/>
                <w:lang w:val="en-US" w:eastAsia="zh-CN"/>
              </w:rPr>
            </w:pPr>
          </w:p>
          <w:p>
            <w:pPr>
              <w:pStyle w:val="70"/>
              <w:widowControl w:val="0"/>
              <w:numPr>
                <w:ilvl w:val="0"/>
                <w:numId w:val="0"/>
              </w:numPr>
              <w:bidi w:val="0"/>
              <w:adjustRightInd w:val="0"/>
              <w:snapToGrid w:val="0"/>
              <w:spacing w:line="520" w:lineRule="exact"/>
              <w:jc w:val="left"/>
              <w:rPr>
                <w:rFonts w:hint="default"/>
                <w:lang w:val="en-US" w:eastAsia="zh-CN"/>
              </w:rPr>
            </w:pPr>
          </w:p>
          <w:p>
            <w:pPr>
              <w:pStyle w:val="70"/>
              <w:widowControl w:val="0"/>
              <w:numPr>
                <w:ilvl w:val="0"/>
                <w:numId w:val="0"/>
              </w:numPr>
              <w:bidi w:val="0"/>
              <w:adjustRightInd w:val="0"/>
              <w:snapToGrid w:val="0"/>
              <w:spacing w:line="520" w:lineRule="exact"/>
              <w:jc w:val="left"/>
              <w:rPr>
                <w:rFonts w:hint="default"/>
                <w:lang w:val="en-US" w:eastAsia="zh-CN"/>
              </w:rPr>
            </w:pPr>
          </w:p>
          <w:p>
            <w:pPr>
              <w:pStyle w:val="70"/>
              <w:widowControl w:val="0"/>
              <w:numPr>
                <w:ilvl w:val="0"/>
                <w:numId w:val="0"/>
              </w:numPr>
              <w:bidi w:val="0"/>
              <w:adjustRightInd w:val="0"/>
              <w:snapToGrid w:val="0"/>
              <w:spacing w:line="520" w:lineRule="exact"/>
              <w:jc w:val="left"/>
              <w:rPr>
                <w:rFonts w:hint="default"/>
                <w:lang w:val="en-US" w:eastAsia="zh-CN"/>
              </w:rPr>
            </w:pPr>
          </w:p>
          <w:p>
            <w:pPr>
              <w:pStyle w:val="70"/>
              <w:widowControl w:val="0"/>
              <w:numPr>
                <w:ilvl w:val="0"/>
                <w:numId w:val="0"/>
              </w:numPr>
              <w:bidi w:val="0"/>
              <w:adjustRightInd w:val="0"/>
              <w:snapToGrid w:val="0"/>
              <w:spacing w:line="520" w:lineRule="exact"/>
              <w:jc w:val="left"/>
              <w:rPr>
                <w:rFonts w:hint="default"/>
                <w:lang w:val="en-US" w:eastAsia="zh-CN"/>
              </w:rPr>
            </w:pPr>
          </w:p>
          <w:p>
            <w:pPr>
              <w:pStyle w:val="70"/>
              <w:widowControl w:val="0"/>
              <w:numPr>
                <w:ilvl w:val="0"/>
                <w:numId w:val="0"/>
              </w:numPr>
              <w:bidi w:val="0"/>
              <w:adjustRightInd w:val="0"/>
              <w:snapToGrid w:val="0"/>
              <w:spacing w:line="520" w:lineRule="exact"/>
              <w:jc w:val="left"/>
              <w:rPr>
                <w:rFonts w:hint="default"/>
                <w:lang w:val="en-US" w:eastAsia="zh-CN"/>
              </w:rPr>
            </w:pPr>
          </w:p>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drawing>
                <wp:inline distT="0" distB="0" distL="114300" distR="114300">
                  <wp:extent cx="4143375" cy="5791200"/>
                  <wp:effectExtent l="0" t="0" r="952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4143375" cy="5791200"/>
                          </a:xfrm>
                          <a:prstGeom prst="rect">
                            <a:avLst/>
                          </a:prstGeom>
                          <a:noFill/>
                          <a:ln>
                            <a:noFill/>
                          </a:ln>
                        </pic:spPr>
                      </pic:pic>
                    </a:graphicData>
                  </a:graphic>
                </wp:inline>
              </w:drawing>
            </w:r>
          </w:p>
          <w:p>
            <w:pPr>
              <w:pStyle w:val="72"/>
              <w:bidi w:val="0"/>
              <w:rPr>
                <w:rFonts w:hint="default"/>
                <w:lang w:val="en-US" w:eastAsia="zh-CN"/>
              </w:rPr>
            </w:pPr>
            <w:r>
              <w:rPr>
                <w:rFonts w:hint="default"/>
                <w:lang w:val="en-US" w:eastAsia="zh-CN"/>
              </w:rPr>
              <w:t>图2</w:t>
            </w:r>
            <w:r>
              <w:rPr>
                <w:rFonts w:hint="eastAsia"/>
                <w:lang w:val="en-US" w:eastAsia="zh-CN"/>
              </w:rPr>
              <w:t xml:space="preserve">-3   </w:t>
            </w:r>
            <w:r>
              <w:rPr>
                <w:rFonts w:hint="default"/>
                <w:lang w:val="en-US" w:eastAsia="zh-CN"/>
              </w:rPr>
              <w:t>工艺流程</w:t>
            </w:r>
            <w:r>
              <w:rPr>
                <w:rFonts w:hint="eastAsia"/>
                <w:lang w:val="en-US" w:eastAsia="zh-CN"/>
              </w:rPr>
              <w:t>及产污环节示意</w:t>
            </w:r>
            <w:r>
              <w:rPr>
                <w:rFonts w:hint="default"/>
                <w:lang w:val="en-US" w:eastAsia="zh-CN"/>
              </w:rPr>
              <w:t>图</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工艺流程简述：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eastAsia" w:cs="Times New Roman"/>
                <w:sz w:val="24"/>
                <w:szCs w:val="24"/>
                <w:lang w:val="en-US" w:eastAsia="zh-CN"/>
              </w:rPr>
              <w:t>宰前处理</w:t>
            </w:r>
            <w:r>
              <w:rPr>
                <w:rFonts w:hint="default" w:ascii="Times New Roman" w:hAnsi="Times New Roman" w:cs="Times New Roman"/>
                <w:sz w:val="24"/>
                <w:szCs w:val="24"/>
                <w:lang w:val="en-US" w:eastAsia="zh-CN"/>
              </w:rPr>
              <w:t>：</w:t>
            </w:r>
          </w:p>
          <w:p>
            <w:pPr>
              <w:pStyle w:val="71"/>
              <w:bidi w:val="0"/>
              <w:rPr>
                <w:rFonts w:hint="default"/>
                <w:lang w:val="en-US" w:eastAsia="zh-CN"/>
              </w:rPr>
            </w:pPr>
            <w:r>
              <w:rPr>
                <w:rFonts w:hint="default"/>
                <w:lang w:val="en-US" w:eastAsia="zh-CN"/>
              </w:rPr>
              <w:t>待宰的牛羊送宰前在待宰圈内静养，只进水不喂食。</w:t>
            </w:r>
            <w:r>
              <w:rPr>
                <w:rFonts w:hint="eastAsia"/>
                <w:lang w:val="en-US" w:eastAsia="zh-CN"/>
              </w:rPr>
              <w:t>在待宰圈静养的牛羊</w:t>
            </w:r>
            <w:r>
              <w:rPr>
                <w:rFonts w:hint="default"/>
                <w:lang w:val="en-US" w:eastAsia="zh-CN"/>
              </w:rPr>
              <w:t>产生噪声</w:t>
            </w:r>
            <w:r>
              <w:rPr>
                <w:rFonts w:hint="eastAsia"/>
                <w:lang w:val="en-US" w:eastAsia="zh-CN"/>
              </w:rPr>
              <w:t>和</w:t>
            </w:r>
            <w:r>
              <w:rPr>
                <w:rFonts w:hint="default"/>
                <w:lang w:val="en-US" w:eastAsia="zh-CN"/>
              </w:rPr>
              <w:t>少量</w:t>
            </w:r>
            <w:r>
              <w:rPr>
                <w:rFonts w:hint="eastAsia"/>
                <w:lang w:val="en-US" w:eastAsia="zh-CN"/>
              </w:rPr>
              <w:t>的</w:t>
            </w:r>
            <w:r>
              <w:rPr>
                <w:rFonts w:hint="default"/>
                <w:lang w:val="en-US" w:eastAsia="zh-CN"/>
              </w:rPr>
              <w:t>粪便</w:t>
            </w:r>
            <w:r>
              <w:rPr>
                <w:rFonts w:hint="eastAsia"/>
                <w:lang w:val="en-US" w:eastAsia="zh-CN"/>
              </w:rPr>
              <w:t>及恶臭气体</w:t>
            </w:r>
            <w:r>
              <w:rPr>
                <w:rFonts w:hint="default"/>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left="0" w:leftChars="0" w:firstLine="480" w:firstLineChars="200"/>
              <w:jc w:val="left"/>
              <w:textAlignment w:val="auto"/>
              <w:rPr>
                <w:rFonts w:hint="eastAsia"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cs="Times New Roman"/>
                <w:sz w:val="24"/>
                <w:szCs w:val="24"/>
                <w:lang w:val="en-US" w:eastAsia="zh-CN"/>
              </w:rPr>
              <w:t>检疫：宰前检验的目的是通过检疫、检测，以控制各种疫病的传入和扩散，减少污染，维护产品质量</w:t>
            </w:r>
            <w:r>
              <w:rPr>
                <w:rFonts w:hint="eastAsia" w:cs="Times New Roman"/>
                <w:sz w:val="24"/>
                <w:szCs w:val="24"/>
                <w:lang w:val="en-US" w:eastAsia="zh-CN"/>
              </w:rPr>
              <w:t>，包括进厂检疫、候宰检查和宰前检疫。</w:t>
            </w:r>
          </w:p>
          <w:p>
            <w:pPr>
              <w:pStyle w:val="71"/>
              <w:bidi w:val="0"/>
              <w:rPr>
                <w:rFonts w:hint="eastAsia"/>
                <w:lang w:val="en-US" w:eastAsia="zh-CN"/>
              </w:rPr>
            </w:pPr>
            <w:r>
              <w:rPr>
                <w:rFonts w:hint="eastAsia"/>
                <w:lang w:val="en-US" w:eastAsia="zh-CN"/>
              </w:rPr>
              <w:t>进厂检疫是指在未卸车之前，检疫员向押运员索取检疫证或防疫注射证，以便从侧面了解产地疫情；持证核对品种及头数，发现不符，及时查明原因，直到认为没有可疑疫情时允许卸下，借过磅验级之际，留神观察牲畜健康状态，对可疑者应做进一步诊断，必要时组织会诊。当确诊疫病时，及时封锁，上报疫情。同时立即采取措施，就地扑灭，确保人畜的安全。</w:t>
            </w:r>
          </w:p>
          <w:p>
            <w:pPr>
              <w:pStyle w:val="71"/>
              <w:bidi w:val="0"/>
              <w:rPr>
                <w:rFonts w:hint="eastAsia"/>
                <w:lang w:val="en-US" w:eastAsia="zh-CN"/>
              </w:rPr>
            </w:pPr>
            <w:r>
              <w:rPr>
                <w:rFonts w:hint="eastAsia"/>
                <w:lang w:val="en-US" w:eastAsia="zh-CN"/>
              </w:rPr>
              <w:t>候宰检查是指卫检员深入待宰圈内观察牛羊休息、饮食和行动状态，发现异常，随时进行临床检查，必要时采取急宰后剖检诊断。</w:t>
            </w:r>
          </w:p>
          <w:p>
            <w:pPr>
              <w:pStyle w:val="71"/>
              <w:bidi w:val="0"/>
              <w:rPr>
                <w:rFonts w:hint="default"/>
                <w:lang w:val="en-US" w:eastAsia="zh-CN"/>
              </w:rPr>
            </w:pPr>
            <w:r>
              <w:rPr>
                <w:rFonts w:hint="eastAsia"/>
                <w:lang w:val="en-US" w:eastAsia="zh-CN"/>
              </w:rPr>
              <w:t>宰前检疫是在临宰前对牛羊进行一次普查，确保其健康，是减少屠宰过程中相互污染，保证产品质量的有效措施。该过程会产生病死牛羊和废弃卫生检疫用品。</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（3）</w:t>
            </w:r>
            <w:r>
              <w:rPr>
                <w:rFonts w:hint="eastAsia" w:ascii="Times New Roman" w:hAnsi="Times New Roman" w:cs="Times New Roman"/>
                <w:sz w:val="24"/>
                <w:szCs w:val="24"/>
                <w:lang w:val="en-US" w:eastAsia="zh-CN"/>
              </w:rPr>
              <w:t>挂牛羊、</w:t>
            </w:r>
            <w:r>
              <w:rPr>
                <w:rFonts w:hint="default" w:ascii="Times New Roman" w:hAnsi="Times New Roman" w:cs="Times New Roman"/>
                <w:sz w:val="24"/>
                <w:szCs w:val="24"/>
                <w:lang w:val="en-US" w:eastAsia="zh-CN"/>
              </w:rPr>
              <w:t>宰杀放血：存放在待宰圈的牛羊拉进屠宰车间后用绳索套牢，从颈部下刀割断食管进行放血、沥血，牛羊血收集后外售。</w:t>
            </w:r>
            <w:r>
              <w:rPr>
                <w:rFonts w:hint="eastAsia" w:ascii="Times New Roman" w:hAnsi="Times New Roman" w:cs="Times New Roman"/>
                <w:sz w:val="24"/>
                <w:szCs w:val="24"/>
                <w:lang w:val="en-US" w:eastAsia="zh-CN"/>
              </w:rPr>
              <w:t>该过程牛羊会发出噪声。</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（4）剥皮：</w:t>
            </w:r>
            <w:r>
              <w:rPr>
                <w:rFonts w:hint="eastAsia" w:cs="Times New Roman"/>
                <w:sz w:val="24"/>
                <w:szCs w:val="24"/>
                <w:lang w:val="en-US" w:eastAsia="zh-CN"/>
              </w:rPr>
              <w:t>使用剥皮机</w:t>
            </w:r>
            <w:r>
              <w:rPr>
                <w:rFonts w:hint="default" w:ascii="Times New Roman" w:hAnsi="Times New Roman" w:cs="Times New Roman"/>
                <w:sz w:val="24"/>
                <w:szCs w:val="24"/>
                <w:lang w:val="en-US" w:eastAsia="zh-CN"/>
              </w:rPr>
              <w:t>剥离牛羊皮，作业过程中应注意防止扯坏皮张</w:t>
            </w:r>
            <w:r>
              <w:rPr>
                <w:rFonts w:hint="eastAsia" w:ascii="Times New Roman" w:hAnsi="Times New Roman" w:cs="Times New Roman"/>
                <w:sz w:val="24"/>
                <w:szCs w:val="24"/>
                <w:lang w:val="en-US" w:eastAsia="zh-CN"/>
              </w:rPr>
              <w:t>，该过程产生噪声和恶臭气体。</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（5）开膛：屠体锯胸骨开膛，取出红、白内脏，去除内容物，进行初步清洗。</w:t>
            </w:r>
            <w:r>
              <w:rPr>
                <w:rFonts w:hint="eastAsia" w:ascii="Times New Roman" w:hAnsi="Times New Roman" w:cs="Times New Roman"/>
                <w:sz w:val="24"/>
                <w:szCs w:val="24"/>
                <w:lang w:val="en-US" w:eastAsia="zh-CN"/>
              </w:rPr>
              <w:t>该过程产生噪声、清洗废水、肠胃内容物、恶臭气体。</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left"/>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（6）去内脏：采用</w:t>
            </w:r>
            <w:r>
              <w:rPr>
                <w:rFonts w:hint="eastAsia" w:cs="Times New Roman"/>
                <w:sz w:val="24"/>
                <w:szCs w:val="24"/>
                <w:lang w:val="en-US" w:eastAsia="zh-CN"/>
              </w:rPr>
              <w:t>热</w:t>
            </w:r>
            <w:r>
              <w:rPr>
                <w:rFonts w:hint="default" w:ascii="Times New Roman" w:hAnsi="Times New Roman" w:cs="Times New Roman"/>
                <w:sz w:val="24"/>
                <w:szCs w:val="24"/>
                <w:lang w:val="en-US" w:eastAsia="zh-CN"/>
              </w:rPr>
              <w:t>水进一步清洗，并去除内脏表面结缔组织。</w:t>
            </w:r>
            <w:r>
              <w:rPr>
                <w:rFonts w:hint="eastAsia" w:ascii="Times New Roman" w:hAnsi="Times New Roman" w:cs="Times New Roman"/>
                <w:sz w:val="24"/>
                <w:szCs w:val="24"/>
                <w:lang w:val="en-US" w:eastAsia="zh-CN"/>
              </w:rPr>
              <w:t>该过程产生废水和恶臭气体。</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w:t>
            </w:r>
            <w:r>
              <w:rPr>
                <w:rFonts w:hint="eastAsia" w:cs="Times New Roman"/>
                <w:sz w:val="24"/>
                <w:szCs w:val="24"/>
                <w:lang w:val="en-US" w:eastAsia="zh-CN"/>
              </w:rPr>
              <w:t>冷却排酸：经检验合格的牛胴体，按市场需求，需要鲜销时，无需进行冷却，直接外售至市场。无需鲜销时，将合格牛胴体盖章后送入冷库冷却。</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（8）分割：将胴体进行</w:t>
            </w:r>
            <w:r>
              <w:rPr>
                <w:rFonts w:hint="eastAsia" w:cs="Times New Roman"/>
                <w:sz w:val="24"/>
                <w:szCs w:val="24"/>
                <w:lang w:val="en-US" w:eastAsia="zh-CN"/>
              </w:rPr>
              <w:t>“</w:t>
            </w:r>
            <w:r>
              <w:rPr>
                <w:rFonts w:hint="default" w:ascii="Times New Roman" w:hAnsi="Times New Roman" w:cs="Times New Roman"/>
                <w:sz w:val="24"/>
                <w:szCs w:val="24"/>
                <w:lang w:val="en-US" w:eastAsia="zh-CN"/>
              </w:rPr>
              <w:t>十字形</w:t>
            </w:r>
            <w:r>
              <w:rPr>
                <w:rFonts w:hint="eastAsia" w:cs="Times New Roman"/>
                <w:sz w:val="24"/>
                <w:szCs w:val="24"/>
                <w:lang w:val="en-US" w:eastAsia="zh-CN"/>
              </w:rPr>
              <w:t>”</w:t>
            </w:r>
            <w:r>
              <w:rPr>
                <w:rFonts w:hint="default" w:ascii="Times New Roman" w:hAnsi="Times New Roman" w:cs="Times New Roman"/>
                <w:sz w:val="24"/>
                <w:szCs w:val="24"/>
                <w:lang w:val="en-US" w:eastAsia="zh-CN"/>
              </w:rPr>
              <w:t>分割。</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cs="Times New Roman"/>
                <w:sz w:val="24"/>
                <w:szCs w:val="24"/>
                <w:lang w:val="en-US" w:eastAsia="zh-CN"/>
              </w:rPr>
              <w:t>9</w:t>
            </w:r>
            <w:r>
              <w:rPr>
                <w:rFonts w:hint="default" w:ascii="Times New Roman" w:hAnsi="Times New Roman" w:cs="Times New Roman"/>
                <w:sz w:val="24"/>
                <w:szCs w:val="24"/>
                <w:lang w:val="en-US" w:eastAsia="zh-CN"/>
              </w:rPr>
              <w:t>）计量、包装、冷藏待售：将分割好的产品使用电子秤称量后真空包装送入冷藏室待售。</w:t>
            </w:r>
          </w:p>
          <w:p>
            <w:pPr>
              <w:pStyle w:val="71"/>
              <w:bidi w:val="0"/>
              <w:rPr>
                <w:rFonts w:hint="eastAsia"/>
                <w:b/>
                <w:bCs/>
                <w:lang w:val="en-US" w:eastAsia="zh-CN"/>
              </w:rPr>
            </w:pPr>
            <w:r>
              <w:rPr>
                <w:rFonts w:hint="eastAsia"/>
                <w:b/>
                <w:bCs/>
                <w:lang w:val="en-US" w:eastAsia="zh-CN"/>
              </w:rPr>
              <w:t>产排污环节分析：</w:t>
            </w:r>
          </w:p>
          <w:p>
            <w:pPr>
              <w:pStyle w:val="71"/>
              <w:bidi w:val="0"/>
              <w:rPr>
                <w:rFonts w:hint="default"/>
                <w:lang w:val="en-US" w:eastAsia="zh-CN"/>
              </w:rPr>
            </w:pPr>
            <w:r>
              <w:rPr>
                <w:rFonts w:hint="default"/>
                <w:lang w:val="en-US" w:eastAsia="zh-CN"/>
              </w:rPr>
              <w:t>本项目产污环节汇总详见下表。</w:t>
            </w:r>
          </w:p>
          <w:p>
            <w:pPr>
              <w:pStyle w:val="72"/>
              <w:bidi w:val="0"/>
              <w:rPr>
                <w:rFonts w:hint="default" w:ascii="Times New Roman" w:hAnsi="Times New Roman" w:cs="Times New Roman"/>
                <w:lang w:val="en-US" w:eastAsia="zh-CN"/>
              </w:rPr>
            </w:pPr>
            <w:r>
              <w:rPr>
                <w:rFonts w:hint="default"/>
                <w:highlight w:val="none"/>
                <w:lang w:val="en-US" w:eastAsia="zh-CN"/>
              </w:rPr>
              <w:t>表2-7    项目运营期主要污染工序一览表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69"/>
              <w:gridCol w:w="1235"/>
              <w:gridCol w:w="900"/>
              <w:gridCol w:w="1562"/>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2"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类别</w:t>
                  </w:r>
                </w:p>
              </w:tc>
              <w:tc>
                <w:tcPr>
                  <w:tcW w:w="1285" w:type="pct"/>
                  <w:gridSpan w:val="2"/>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污染源</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污染源编号</w:t>
                  </w:r>
                </w:p>
              </w:tc>
              <w:tc>
                <w:tcPr>
                  <w:tcW w:w="9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污染物名称</w:t>
                  </w:r>
                </w:p>
              </w:tc>
              <w:tc>
                <w:tcPr>
                  <w:tcW w:w="1856"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vMerge w:val="restar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废气</w:t>
                  </w:r>
                </w:p>
              </w:tc>
              <w:tc>
                <w:tcPr>
                  <w:tcW w:w="531" w:type="pct"/>
                  <w:vMerge w:val="restar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default" w:cs="Times New Roman"/>
                      <w:lang w:val="en-US" w:eastAsia="zh-CN"/>
                    </w:rPr>
                    <w:t>屠宰生产线</w:t>
                  </w:r>
                  <w:r>
                    <w:rPr>
                      <w:rFonts w:hint="eastAsia" w:cs="Times New Roman"/>
                      <w:lang w:val="en-US" w:eastAsia="zh-CN"/>
                    </w:rPr>
                    <w:t>、污水处理站</w:t>
                  </w:r>
                </w:p>
              </w:tc>
              <w:tc>
                <w:tcPr>
                  <w:tcW w:w="7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待宰圈恶臭气体</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954" w:type="pct"/>
                  <w:vMerge w:val="restar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default" w:cs="Times New Roman"/>
                      <w:lang w:val="en-US" w:eastAsia="zh-CN"/>
                    </w:rPr>
                    <w:t>氨</w:t>
                  </w:r>
                  <w:r>
                    <w:rPr>
                      <w:rFonts w:hint="eastAsia" w:cs="Times New Roman"/>
                      <w:lang w:val="en-US" w:eastAsia="zh-CN"/>
                    </w:rPr>
                    <w:t>、硫化氢</w:t>
                  </w:r>
                </w:p>
              </w:tc>
              <w:tc>
                <w:tcPr>
                  <w:tcW w:w="1856" w:type="pct"/>
                  <w:vMerge w:val="restar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default" w:cs="Times New Roman"/>
                      <w:lang w:val="en-US" w:eastAsia="zh-CN"/>
                    </w:rPr>
                    <w:t>喷洒生物除臭剂、干清粪、定时清洗、增加通风次数等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52"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p>
              </w:tc>
              <w:tc>
                <w:tcPr>
                  <w:tcW w:w="531"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p>
              </w:tc>
              <w:tc>
                <w:tcPr>
                  <w:tcW w:w="754"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lang w:val="en-US" w:eastAsia="zh-CN"/>
                    </w:rPr>
                    <w:t>屠宰车间恶臭气体</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w:t>
                  </w:r>
                </w:p>
              </w:tc>
              <w:tc>
                <w:tcPr>
                  <w:tcW w:w="954" w:type="pct"/>
                  <w:vMerge w:val="continue"/>
                  <w:noWrap w:val="0"/>
                  <w:vAlign w:val="center"/>
                </w:tcPr>
                <w:p>
                  <w:pPr>
                    <w:pStyle w:val="76"/>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lang w:val="en-US" w:eastAsia="zh-CN"/>
                    </w:rPr>
                  </w:pPr>
                </w:p>
              </w:tc>
              <w:tc>
                <w:tcPr>
                  <w:tcW w:w="1856"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52"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p>
              </w:tc>
              <w:tc>
                <w:tcPr>
                  <w:tcW w:w="531"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p>
              </w:tc>
              <w:tc>
                <w:tcPr>
                  <w:tcW w:w="7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highlight w:val="none"/>
                      <w:lang w:val="en-US" w:eastAsia="zh-CN"/>
                    </w:rPr>
                  </w:pPr>
                  <w:r>
                    <w:rPr>
                      <w:rFonts w:hint="eastAsia" w:cs="Times New Roman"/>
                      <w:highlight w:val="none"/>
                      <w:lang w:val="en-US" w:eastAsia="zh-CN"/>
                    </w:rPr>
                    <w:t>污水处理站臭气</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highlight w:val="none"/>
                      <w:lang w:val="en-US" w:eastAsia="zh-CN"/>
                    </w:rPr>
                  </w:pPr>
                  <w:r>
                    <w:rPr>
                      <w:rFonts w:hint="eastAsia" w:cs="Times New Roman"/>
                      <w:highlight w:val="none"/>
                      <w:lang w:val="en-US" w:eastAsia="zh-CN"/>
                    </w:rPr>
                    <w:t>/</w:t>
                  </w:r>
                </w:p>
              </w:tc>
              <w:tc>
                <w:tcPr>
                  <w:tcW w:w="954"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highlight w:val="green"/>
                      <w:lang w:val="en-US" w:eastAsia="zh-CN"/>
                    </w:rPr>
                  </w:pPr>
                </w:p>
              </w:tc>
              <w:tc>
                <w:tcPr>
                  <w:tcW w:w="1856" w:type="pct"/>
                  <w:vMerge w:val="continue"/>
                  <w:noWrap w:val="0"/>
                  <w:vAlign w:val="center"/>
                </w:tcPr>
                <w:p>
                  <w:pPr>
                    <w:pStyle w:val="78"/>
                    <w:keepNext w:val="0"/>
                    <w:keepLines w:val="0"/>
                    <w:suppressLineNumbers w:val="0"/>
                    <w:bidi w:val="0"/>
                    <w:spacing w:before="0" w:beforeAutospacing="0" w:after="0" w:afterAutospacing="0"/>
                    <w:ind w:left="0" w:right="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2" w:type="pct"/>
                  <w:vMerge w:val="restar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废水</w:t>
                  </w:r>
                </w:p>
              </w:tc>
              <w:tc>
                <w:tcPr>
                  <w:tcW w:w="1285" w:type="pct"/>
                  <w:gridSpan w:val="2"/>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屠宰废水</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9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1856"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废水进入厂区污水处理站处理达标后拉运到若羌县污水处理厂处理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2"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p>
              </w:tc>
              <w:tc>
                <w:tcPr>
                  <w:tcW w:w="1285" w:type="pct"/>
                  <w:gridSpan w:val="2"/>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生活污水</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954"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pH、COD、BOD</w:t>
                  </w:r>
                  <w:r>
                    <w:rPr>
                      <w:rFonts w:hint="eastAsia" w:cs="Times New Roman"/>
                      <w:vertAlign w:val="subscript"/>
                      <w:lang w:val="en-US" w:eastAsia="zh-CN"/>
                    </w:rPr>
                    <w:t>5</w:t>
                  </w:r>
                  <w:r>
                    <w:rPr>
                      <w:rFonts w:hint="eastAsia" w:cs="Times New Roman"/>
                      <w:lang w:val="en-US" w:eastAsia="zh-CN"/>
                    </w:rPr>
                    <w:t>、SS、氨氮、动植物油</w:t>
                  </w:r>
                </w:p>
              </w:tc>
              <w:tc>
                <w:tcPr>
                  <w:tcW w:w="1856"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进入厂区污水处理站处理达标后拉运到若羌县污水处理厂处理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噪声</w:t>
                  </w:r>
                </w:p>
              </w:tc>
              <w:tc>
                <w:tcPr>
                  <w:tcW w:w="1285" w:type="pct"/>
                  <w:gridSpan w:val="2"/>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生产设备及运输车辆</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9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噪声</w:t>
                  </w:r>
                </w:p>
              </w:tc>
              <w:tc>
                <w:tcPr>
                  <w:tcW w:w="1856"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加强车间密闭性，采取隔声、减震等措施，合理布置高噪声设备在车间中的位置；定期对设备进行保养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52" w:type="pct"/>
                  <w:vMerge w:val="restar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固体废物</w:t>
                  </w:r>
                </w:p>
              </w:tc>
              <w:tc>
                <w:tcPr>
                  <w:tcW w:w="531" w:type="pct"/>
                  <w:vMerge w:val="restar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一般固废</w:t>
                  </w:r>
                </w:p>
              </w:tc>
              <w:tc>
                <w:tcPr>
                  <w:tcW w:w="7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生活垃圾</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9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1856"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分类收集后由环卫部门定期清运处理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52"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p>
              </w:tc>
              <w:tc>
                <w:tcPr>
                  <w:tcW w:w="531"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p>
              </w:tc>
              <w:tc>
                <w:tcPr>
                  <w:tcW w:w="754"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牛羊粪便、屠宰废物、肠胃内容物</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w:t>
                  </w:r>
                </w:p>
              </w:tc>
              <w:tc>
                <w:tcPr>
                  <w:tcW w:w="954"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w:t>
                  </w:r>
                </w:p>
              </w:tc>
              <w:tc>
                <w:tcPr>
                  <w:tcW w:w="1856"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作为有机肥原料外售综合利用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52"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p>
              </w:tc>
              <w:tc>
                <w:tcPr>
                  <w:tcW w:w="531"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p>
              </w:tc>
              <w:tc>
                <w:tcPr>
                  <w:tcW w:w="754"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污水处理站的栅渣、污泥</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9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1856"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作为农家肥外售综合利用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52"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p>
              </w:tc>
              <w:tc>
                <w:tcPr>
                  <w:tcW w:w="531"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p>
              </w:tc>
              <w:tc>
                <w:tcPr>
                  <w:tcW w:w="7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病死牛羊、检疫残肉、不可食用内脏</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w:t>
                  </w:r>
                </w:p>
              </w:tc>
              <w:tc>
                <w:tcPr>
                  <w:tcW w:w="954"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w:t>
                  </w:r>
                </w:p>
              </w:tc>
              <w:tc>
                <w:tcPr>
                  <w:tcW w:w="1856"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采用无害化处理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2"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p>
              </w:tc>
              <w:tc>
                <w:tcPr>
                  <w:tcW w:w="1285" w:type="pct"/>
                  <w:gridSpan w:val="2"/>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highlight w:val="none"/>
                      <w:lang w:val="en-US" w:eastAsia="zh-CN"/>
                    </w:rPr>
                    <w:t>废弃卫生检疫用品</w:t>
                  </w:r>
                </w:p>
              </w:tc>
              <w:tc>
                <w:tcPr>
                  <w:tcW w:w="550"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954" w:type="pct"/>
                  <w:noWrap w:val="0"/>
                  <w:vAlign w:val="center"/>
                </w:tcPr>
                <w:p>
                  <w:pPr>
                    <w:pStyle w:val="76"/>
                    <w:keepNext w:val="0"/>
                    <w:keepLines w:val="0"/>
                    <w:suppressLineNumbers w:val="0"/>
                    <w:bidi w:val="0"/>
                    <w:spacing w:before="0" w:beforeAutospacing="0" w:after="0" w:afterAutospacing="0"/>
                    <w:ind w:left="0" w:right="0"/>
                    <w:jc w:val="center"/>
                    <w:rPr>
                      <w:rFonts w:hint="default" w:cs="Times New Roman"/>
                      <w:lang w:val="en-US" w:eastAsia="zh-CN"/>
                    </w:rPr>
                  </w:pPr>
                  <w:r>
                    <w:rPr>
                      <w:rFonts w:hint="eastAsia" w:cs="Times New Roman"/>
                      <w:lang w:val="en-US" w:eastAsia="zh-CN"/>
                    </w:rPr>
                    <w:t>/</w:t>
                  </w:r>
                </w:p>
              </w:tc>
              <w:tc>
                <w:tcPr>
                  <w:tcW w:w="1856" w:type="pct"/>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ascii="Times New Roman" w:hAnsi="Times New Roman" w:eastAsia="宋体" w:cs="Times New Roman"/>
                      <w:lang w:val="en-US" w:eastAsia="zh-CN"/>
                    </w:rPr>
                    <w:t>分类暂存集中拉运至一般固废处置场所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2" w:type="pct"/>
                  <w:vMerge w:val="continue"/>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p>
              </w:tc>
              <w:tc>
                <w:tcPr>
                  <w:tcW w:w="531" w:type="pct"/>
                  <w:noWrap w:val="0"/>
                  <w:vAlign w:val="center"/>
                </w:tcPr>
                <w:p>
                  <w:pPr>
                    <w:pStyle w:val="76"/>
                    <w:keepNext w:val="0"/>
                    <w:keepLines w:val="0"/>
                    <w:suppressLineNumbers w:val="0"/>
                    <w:bidi w:val="0"/>
                    <w:spacing w:before="0" w:beforeAutospacing="0" w:after="0" w:afterAutospacing="0"/>
                    <w:ind w:left="0" w:leftChars="0" w:right="0" w:rightChars="0"/>
                    <w:jc w:val="center"/>
                    <w:rPr>
                      <w:rFonts w:hint="eastAsia" w:cs="Times New Roman"/>
                      <w:lang w:val="en-US" w:eastAsia="zh-CN"/>
                    </w:rPr>
                  </w:pPr>
                  <w:r>
                    <w:rPr>
                      <w:rFonts w:hint="eastAsia" w:cs="Times New Roman"/>
                      <w:lang w:val="en-US" w:eastAsia="zh-CN"/>
                    </w:rPr>
                    <w:t>危险废物</w:t>
                  </w:r>
                </w:p>
              </w:tc>
              <w:tc>
                <w:tcPr>
                  <w:tcW w:w="754" w:type="pct"/>
                  <w:noWrap w:val="0"/>
                  <w:vAlign w:val="center"/>
                </w:tcPr>
                <w:p>
                  <w:pPr>
                    <w:pStyle w:val="76"/>
                    <w:keepNext w:val="0"/>
                    <w:keepLines w:val="0"/>
                    <w:suppressLineNumbers w:val="0"/>
                    <w:bidi w:val="0"/>
                    <w:spacing w:before="0" w:beforeAutospacing="0" w:after="0" w:afterAutospacing="0"/>
                    <w:ind w:left="0" w:leftChars="0" w:right="0" w:rightChars="0"/>
                    <w:jc w:val="center"/>
                    <w:rPr>
                      <w:rFonts w:hint="eastAsia" w:cs="Times New Roman"/>
                      <w:highlight w:val="none"/>
                      <w:lang w:val="en-US" w:eastAsia="zh-CN"/>
                    </w:rPr>
                  </w:pPr>
                  <w:r>
                    <w:rPr>
                      <w:rFonts w:hint="default"/>
                      <w:lang w:val="en-US" w:eastAsia="zh-CN"/>
                    </w:rPr>
                    <w:t>废润滑油及废润滑油桶</w:t>
                  </w:r>
                </w:p>
              </w:tc>
              <w:tc>
                <w:tcPr>
                  <w:tcW w:w="550" w:type="pct"/>
                  <w:noWrap w:val="0"/>
                  <w:vAlign w:val="center"/>
                </w:tcPr>
                <w:p>
                  <w:pPr>
                    <w:pStyle w:val="76"/>
                    <w:keepNext w:val="0"/>
                    <w:keepLines w:val="0"/>
                    <w:suppressLineNumbers w:val="0"/>
                    <w:bidi w:val="0"/>
                    <w:spacing w:before="0" w:beforeAutospacing="0" w:after="0" w:afterAutospacing="0"/>
                    <w:ind w:left="0" w:leftChars="0" w:right="0" w:rightChars="0"/>
                    <w:jc w:val="center"/>
                    <w:rPr>
                      <w:rFonts w:hint="eastAsia" w:cs="Times New Roman"/>
                      <w:lang w:val="en-US" w:eastAsia="zh-CN"/>
                    </w:rPr>
                  </w:pPr>
                  <w:r>
                    <w:rPr>
                      <w:rFonts w:hint="eastAsia" w:cs="Times New Roman"/>
                      <w:lang w:val="en-US" w:eastAsia="zh-CN"/>
                    </w:rPr>
                    <w:t>/</w:t>
                  </w:r>
                </w:p>
              </w:tc>
              <w:tc>
                <w:tcPr>
                  <w:tcW w:w="954" w:type="pct"/>
                  <w:noWrap w:val="0"/>
                  <w:vAlign w:val="center"/>
                </w:tcPr>
                <w:p>
                  <w:pPr>
                    <w:pStyle w:val="76"/>
                    <w:keepNext w:val="0"/>
                    <w:keepLines w:val="0"/>
                    <w:suppressLineNumbers w:val="0"/>
                    <w:bidi w:val="0"/>
                    <w:spacing w:before="0" w:beforeAutospacing="0" w:after="0" w:afterAutospacing="0"/>
                    <w:ind w:left="0" w:leftChars="0" w:right="0" w:rightChars="0"/>
                    <w:jc w:val="center"/>
                    <w:rPr>
                      <w:rFonts w:hint="eastAsia" w:cs="Times New Roman"/>
                      <w:lang w:val="en-US" w:eastAsia="zh-CN"/>
                    </w:rPr>
                  </w:pPr>
                  <w:r>
                    <w:rPr>
                      <w:rFonts w:hint="eastAsia" w:cs="Times New Roman"/>
                      <w:lang w:val="en-US" w:eastAsia="zh-CN"/>
                    </w:rPr>
                    <w:t>/</w:t>
                  </w:r>
                </w:p>
              </w:tc>
              <w:tc>
                <w:tcPr>
                  <w:tcW w:w="1856" w:type="pct"/>
                  <w:noWrap w:val="0"/>
                  <w:vAlign w:val="center"/>
                </w:tcPr>
                <w:p>
                  <w:pPr>
                    <w:pStyle w:val="76"/>
                    <w:keepNext w:val="0"/>
                    <w:keepLines w:val="0"/>
                    <w:suppressLineNumbers w:val="0"/>
                    <w:bidi w:val="0"/>
                    <w:spacing w:before="0" w:beforeAutospacing="0" w:after="0" w:afterAutospacing="0"/>
                    <w:ind w:left="0" w:leftChars="0" w:right="0" w:rightChars="0"/>
                    <w:jc w:val="center"/>
                    <w:rPr>
                      <w:rFonts w:hint="eastAsia" w:cs="Times New Roman"/>
                      <w:lang w:val="en-US" w:eastAsia="zh-CN"/>
                    </w:rPr>
                  </w:pPr>
                  <w:r>
                    <w:rPr>
                      <w:rFonts w:hint="eastAsia" w:cs="Times New Roman"/>
                      <w:lang w:val="en-US" w:eastAsia="zh-CN"/>
                    </w:rPr>
                    <w:t>交由有资质单位处置</w:t>
                  </w:r>
                </w:p>
              </w:tc>
            </w:tr>
          </w:tbl>
          <w:p>
            <w:pPr>
              <w:pStyle w:val="9"/>
              <w:ind w:left="0" w:leftChars="0" w:firstLine="0" w:firstLineChars="0"/>
              <w:rPr>
                <w:rFonts w:hint="default" w:ascii="Times New Roman" w:hAnsi="Times New Roman" w:cs="Times New Roman"/>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650" w:type="dxa"/>
            <w:noWrap w:val="0"/>
            <w:vAlign w:val="center"/>
          </w:tcPr>
          <w:p>
            <w:pPr>
              <w:pStyle w:val="19"/>
              <w:adjustRightInd w:val="0"/>
              <w:snapToGrid w:val="0"/>
              <w:spacing w:before="0" w:beforeAutospacing="0" w:after="0" w:afterAutospacing="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与项目有关的原有环境污染问题</w:t>
            </w:r>
          </w:p>
        </w:tc>
        <w:tc>
          <w:tcPr>
            <w:tcW w:w="8410" w:type="dxa"/>
            <w:noWrap w:val="0"/>
            <w:vAlign w:val="center"/>
          </w:tcPr>
          <w:p>
            <w:pPr>
              <w:pStyle w:val="7"/>
              <w:bidi w:val="0"/>
              <w:jc w:val="left"/>
              <w:rPr>
                <w:rFonts w:hint="default" w:ascii="Times New Roman" w:hAnsi="Times New Roman" w:cs="Times New Roman"/>
                <w:lang w:val="en-US" w:eastAsia="zh-CN"/>
              </w:rPr>
            </w:pPr>
            <w:r>
              <w:rPr>
                <w:rFonts w:hint="default"/>
                <w:lang w:val="en-US" w:eastAsia="zh-CN"/>
              </w:rPr>
              <w:t>本项目为新建项目，不存在与本项目有关的原有环境污染问题。</w:t>
            </w:r>
          </w:p>
        </w:tc>
      </w:tr>
    </w:tbl>
    <w:p>
      <w:pPr>
        <w:pStyle w:val="19"/>
        <w:jc w:val="center"/>
        <w:rPr>
          <w:rFonts w:hint="default" w:ascii="Times New Roman" w:hAnsi="Times New Roman" w:eastAsia="黑体" w:cs="Times New Roman"/>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adjustRightInd w:val="0"/>
        <w:snapToGrid w:val="0"/>
        <w:spacing w:before="0" w:beforeAutospacing="0" w:after="0" w:afterAutospacing="0" w:line="14" w:lineRule="auto"/>
        <w:jc w:val="center"/>
        <w:outlineLvl w:val="0"/>
        <w:rPr>
          <w:rFonts w:hint="default" w:ascii="Times New Roman" w:hAnsi="Times New Roman" w:eastAsia="黑体" w:cs="Times New Roman"/>
          <w:snapToGrid w:val="0"/>
          <w:sz w:val="30"/>
          <w:szCs w:val="30"/>
        </w:rPr>
      </w:pPr>
    </w:p>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483" w:hRule="atLeast"/>
          <w:jc w:val="center"/>
        </w:trPr>
        <w:tc>
          <w:tcPr>
            <w:tcW w:w="800"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区域</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环境</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质量</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现状</w:t>
            </w:r>
          </w:p>
        </w:tc>
        <w:tc>
          <w:tcPr>
            <w:tcW w:w="8190" w:type="dxa"/>
            <w:noWrap w:val="0"/>
            <w:vAlign w:val="center"/>
          </w:tcPr>
          <w:p>
            <w:pPr>
              <w:pStyle w:val="2"/>
              <w:bidi w:val="0"/>
              <w:rPr>
                <w:rFonts w:hint="eastAsia"/>
                <w:lang w:val="en-US" w:eastAsia="zh-CN"/>
              </w:rPr>
            </w:pPr>
            <w:r>
              <w:rPr>
                <w:rFonts w:hint="eastAsia"/>
                <w:lang w:val="en-US" w:eastAsia="zh-CN"/>
              </w:rPr>
              <w:t>1.环境空气现状调查与评价</w:t>
            </w:r>
          </w:p>
          <w:p>
            <w:pPr>
              <w:pStyle w:val="71"/>
              <w:bidi w:val="0"/>
              <w:rPr>
                <w:rFonts w:hint="eastAsia"/>
                <w:lang w:eastAsia="zh-CN"/>
              </w:rPr>
            </w:pPr>
            <w:r>
              <w:rPr>
                <w:rFonts w:hint="eastAsia"/>
              </w:rPr>
              <w:t>（</w:t>
            </w:r>
            <w:r>
              <w:t>1</w:t>
            </w:r>
            <w:r>
              <w:rPr>
                <w:rFonts w:hint="eastAsia"/>
              </w:rPr>
              <w:t>）评价数据选用</w:t>
            </w:r>
          </w:p>
          <w:p>
            <w:pPr>
              <w:pStyle w:val="71"/>
              <w:keepNext w:val="0"/>
              <w:keepLines w:val="0"/>
              <w:pageBreakBefore w:val="0"/>
              <w:widowControl w:val="0"/>
              <w:kinsoku/>
              <w:wordWrap/>
              <w:overflowPunct/>
              <w:topLinePunct w:val="0"/>
              <w:autoSpaceDE/>
              <w:autoSpaceDN/>
              <w:bidi w:val="0"/>
              <w:adjustRightInd w:val="0"/>
              <w:snapToGrid w:val="0"/>
              <w:textAlignment w:val="auto"/>
              <w:rPr>
                <w:rFonts w:hint="eastAsia"/>
                <w:lang w:val="en-US" w:eastAsia="zh-CN"/>
              </w:rPr>
            </w:pPr>
            <w:r>
              <w:rPr>
                <w:rFonts w:hint="default"/>
                <w:lang w:val="en-US" w:eastAsia="zh-CN"/>
              </w:rPr>
              <w:t>根据《建设项目环境影响报告表编制技术指南（生态影响类）（试行）》</w:t>
            </w:r>
            <w:r>
              <w:rPr>
                <w:rFonts w:hint="eastAsia"/>
                <w:lang w:val="en-US" w:eastAsia="zh-CN"/>
              </w:rPr>
              <w:t>“</w:t>
            </w:r>
            <w:r>
              <w:rPr>
                <w:rFonts w:hint="default"/>
                <w:lang w:val="en-US" w:eastAsia="zh-CN"/>
              </w:rPr>
              <w:t>不开展专项评价的环境要素，引用与项目距离近的有效数据和调查资料，包括符合时限要求的规划环境影响评价监测数据和调查资料，国家、地方环境质量监测网数据或生态环境主管部门公开发布的生态环境质量数据等</w:t>
            </w:r>
            <w:r>
              <w:rPr>
                <w:rFonts w:hint="eastAsia"/>
                <w:lang w:val="en-US" w:eastAsia="zh-CN"/>
              </w:rPr>
              <w:t>”</w:t>
            </w:r>
            <w:r>
              <w:rPr>
                <w:rFonts w:hint="default"/>
                <w:lang w:val="en-US" w:eastAsia="zh-CN"/>
              </w:rPr>
              <w:t>，项目所在区域目前没有国家和地方生态环境部门公开发布的评价基准年环境质量公告或环境质量报告中的数据，本次选用</w:t>
            </w:r>
            <w:r>
              <w:rPr>
                <w:rFonts w:hint="eastAsia"/>
                <w:lang w:val="en-US" w:eastAsia="zh-CN"/>
              </w:rPr>
              <w:t>若羌</w:t>
            </w:r>
            <w:r>
              <w:rPr>
                <w:rFonts w:hint="default"/>
                <w:lang w:val="en-US" w:eastAsia="zh-CN"/>
              </w:rPr>
              <w:t>县空气自动监测站202</w:t>
            </w:r>
            <w:r>
              <w:rPr>
                <w:rFonts w:hint="eastAsia"/>
                <w:lang w:val="en-US" w:eastAsia="zh-CN"/>
              </w:rPr>
              <w:t>3</w:t>
            </w:r>
            <w:r>
              <w:rPr>
                <w:rFonts w:hint="default"/>
                <w:lang w:val="en-US" w:eastAsia="zh-CN"/>
              </w:rPr>
              <w:t>年的监测数据。环境空气质量达标情况评价指标为SO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、PM</w:t>
            </w:r>
            <w:r>
              <w:rPr>
                <w:rFonts w:hint="default"/>
                <w:vertAlign w:val="subscript"/>
                <w:lang w:val="en-US" w:eastAsia="zh-CN"/>
              </w:rPr>
              <w:t>10</w:t>
            </w:r>
            <w:r>
              <w:rPr>
                <w:rFonts w:hint="default"/>
                <w:lang w:val="en-US" w:eastAsia="zh-CN"/>
              </w:rPr>
              <w:t>、PM</w:t>
            </w:r>
            <w:r>
              <w:rPr>
                <w:rFonts w:hint="default"/>
                <w:vertAlign w:val="subscript"/>
                <w:lang w:val="en-US" w:eastAsia="zh-CN"/>
              </w:rPr>
              <w:t>2.5</w:t>
            </w:r>
            <w:r>
              <w:rPr>
                <w:rFonts w:hint="default"/>
                <w:lang w:val="en-US" w:eastAsia="zh-CN"/>
              </w:rPr>
              <w:t>、CO和O</w:t>
            </w:r>
            <w:r>
              <w:rPr>
                <w:rFonts w:hint="default"/>
                <w:vertAlign w:val="subscript"/>
                <w:lang w:val="en-US" w:eastAsia="zh-CN"/>
              </w:rPr>
              <w:t>3</w:t>
            </w:r>
            <w:r>
              <w:rPr>
                <w:rFonts w:hint="default"/>
                <w:lang w:val="en-US" w:eastAsia="zh-CN"/>
              </w:rPr>
              <w:t>等6项基本污染物数据来源</w:t>
            </w:r>
            <w:r>
              <w:rPr>
                <w:rFonts w:hint="eastAsia"/>
                <w:lang w:val="en-US" w:eastAsia="zh-CN"/>
              </w:rPr>
              <w:t>，所引用数据可以满足环境空气质量评价有效性要求。</w:t>
            </w:r>
          </w:p>
          <w:p>
            <w:pPr>
              <w:pStyle w:val="71"/>
              <w:bidi w:val="0"/>
            </w:pPr>
            <w:r>
              <w:rPr>
                <w:rFonts w:hint="eastAsia"/>
              </w:rPr>
              <w:t>①监测点位：</w:t>
            </w:r>
            <w:r>
              <w:rPr>
                <w:rFonts w:hint="eastAsia"/>
                <w:lang w:val="en-US" w:eastAsia="zh-CN"/>
              </w:rPr>
              <w:t>若羌</w:t>
            </w:r>
            <w:r>
              <w:rPr>
                <w:rFonts w:hint="eastAsia"/>
                <w:lang w:eastAsia="zh-CN"/>
              </w:rPr>
              <w:t>县</w:t>
            </w:r>
            <w:r>
              <w:rPr>
                <w:rFonts w:hint="eastAsia"/>
              </w:rPr>
              <w:t>环境空气自动监测站。</w:t>
            </w:r>
          </w:p>
          <w:p>
            <w:pPr>
              <w:pStyle w:val="71"/>
              <w:keepNext w:val="0"/>
              <w:keepLines w:val="0"/>
              <w:pageBreakBefore w:val="0"/>
              <w:widowControl w:val="0"/>
              <w:kinsoku/>
              <w:wordWrap/>
              <w:overflowPunct/>
              <w:topLinePunct w:val="0"/>
              <w:autoSpaceDE/>
              <w:autoSpaceDN/>
              <w:bidi w:val="0"/>
              <w:adjustRightInd w:val="0"/>
              <w:snapToGrid w:val="0"/>
              <w:textAlignment w:val="auto"/>
            </w:pPr>
            <w:r>
              <w:rPr>
                <w:rFonts w:hint="eastAsia"/>
              </w:rPr>
              <w:t>②监测项目：二氧化硫（</w:t>
            </w:r>
            <w:r>
              <w:t>SO</w:t>
            </w:r>
            <w:r>
              <w:rPr>
                <w:vertAlign w:val="subscript"/>
              </w:rPr>
              <w:t>2</w:t>
            </w:r>
            <w:r>
              <w:rPr>
                <w:rFonts w:hint="eastAsia"/>
              </w:rPr>
              <w:t>）、二氧化氮（</w:t>
            </w:r>
            <w:r>
              <w:t>NO</w:t>
            </w:r>
            <w:r>
              <w:rPr>
                <w:vertAlign w:val="subscript"/>
              </w:rPr>
              <w:t>2</w:t>
            </w:r>
            <w:r>
              <w:rPr>
                <w:rFonts w:hint="eastAsia"/>
              </w:rPr>
              <w:t>）、可吸入颗粒物（</w:t>
            </w:r>
            <w:r>
              <w:t>PM</w:t>
            </w:r>
            <w:r>
              <w:rPr>
                <w:vertAlign w:val="subscript"/>
              </w:rPr>
              <w:t>10</w:t>
            </w:r>
            <w:r>
              <w:rPr>
                <w:rFonts w:hint="eastAsia"/>
              </w:rPr>
              <w:t>）、一氧化碳（</w:t>
            </w:r>
            <w:r>
              <w:t>CO</w:t>
            </w:r>
            <w:r>
              <w:rPr>
                <w:rFonts w:hint="eastAsia"/>
              </w:rPr>
              <w:t>）、臭氧（</w:t>
            </w:r>
            <w:r>
              <w:t>O</w:t>
            </w:r>
            <w:r>
              <w:rPr>
                <w:vertAlign w:val="subscript"/>
              </w:rPr>
              <w:t>3</w:t>
            </w:r>
            <w:r>
              <w:rPr>
                <w:rFonts w:hint="eastAsia"/>
              </w:rPr>
              <w:t>）、细颗粒物（</w:t>
            </w:r>
            <w:r>
              <w:t>PM</w:t>
            </w:r>
            <w:r>
              <w:rPr>
                <w:vertAlign w:val="subscript"/>
              </w:rPr>
              <w:t>2.5</w:t>
            </w:r>
            <w:r>
              <w:rPr>
                <w:rFonts w:hint="eastAsia"/>
              </w:rPr>
              <w:t>）六项。</w:t>
            </w:r>
          </w:p>
          <w:p>
            <w:pPr>
              <w:pStyle w:val="71"/>
              <w:bidi w:val="0"/>
            </w:pPr>
            <w:r>
              <w:rPr>
                <w:rFonts w:hint="eastAsia"/>
              </w:rPr>
              <w:t>③监测时间：</w:t>
            </w:r>
            <w:r>
              <w:t>20</w:t>
            </w:r>
            <w:r>
              <w:rPr>
                <w:rFonts w:hint="eastAsia"/>
                <w:lang w:val="en-US" w:eastAsia="zh-CN"/>
              </w:rPr>
              <w:t>23年全年。</w:t>
            </w:r>
          </w:p>
          <w:p>
            <w:pPr>
              <w:pStyle w:val="71"/>
              <w:bidi w:val="0"/>
            </w:pPr>
            <w:r>
              <w:rPr>
                <w:rFonts w:hint="eastAsia"/>
              </w:rPr>
              <w:t>（</w:t>
            </w:r>
            <w:r>
              <w:t>2</w:t>
            </w:r>
            <w:r>
              <w:rPr>
                <w:rFonts w:hint="eastAsia"/>
              </w:rPr>
              <w:t>）评价标准</w:t>
            </w:r>
          </w:p>
          <w:p>
            <w:pPr>
              <w:pStyle w:val="71"/>
              <w:bidi w:val="0"/>
              <w:rPr>
                <w:rFonts w:hint="eastAsia"/>
              </w:rPr>
            </w:pPr>
            <w:r>
              <w:rPr>
                <w:rFonts w:hint="eastAsia"/>
              </w:rPr>
              <w:t>项目区属于二类环境空气功能区，评价标准采用环境空气质量执行《环境空气质量标准》（</w:t>
            </w:r>
            <w:r>
              <w:t>GB3095-2012</w:t>
            </w:r>
            <w:r>
              <w:rPr>
                <w:rFonts w:hint="eastAsia"/>
              </w:rPr>
              <w:t>）中二级标准。</w:t>
            </w:r>
          </w:p>
          <w:p>
            <w:pPr>
              <w:pStyle w:val="71"/>
              <w:bidi w:val="0"/>
              <w:rPr>
                <w:rFonts w:hint="default"/>
                <w:lang w:val="en-US" w:eastAsia="zh-CN"/>
              </w:rPr>
            </w:pPr>
            <w:r>
              <w:rPr>
                <w:rFonts w:hint="default"/>
                <w:lang w:val="en-US" w:eastAsia="zh-CN"/>
              </w:rPr>
              <w:t>（3）评价方法</w:t>
            </w:r>
          </w:p>
          <w:p>
            <w:pPr>
              <w:pStyle w:val="71"/>
              <w:bidi w:val="0"/>
              <w:rPr>
                <w:rFonts w:hint="default"/>
              </w:rPr>
            </w:pPr>
            <w:r>
              <w:rPr>
                <w:rFonts w:hint="default"/>
              </w:rPr>
              <w:t>选用占标率进行评价，公式为：</w:t>
            </w:r>
          </w:p>
          <w:p>
            <w:pPr>
              <w:keepLines w:val="0"/>
              <w:pageBreakBefore w:val="0"/>
              <w:kinsoku/>
              <w:wordWrap/>
              <w:overflowPunct/>
              <w:topLinePunct w:val="0"/>
              <w:autoSpaceDE/>
              <w:autoSpaceDN/>
              <w:bidi w:val="0"/>
              <w:spacing w:line="480" w:lineRule="exact"/>
              <w:jc w:val="center"/>
              <w:rPr>
                <w:rFonts w:hint="default" w:ascii="Times New Roman" w:hAnsi="Times New Roman" w:eastAsia="宋体" w:cs="Times New Roman"/>
                <w:sz w:val="24"/>
                <w:szCs w:val="24"/>
                <w:highlight w:val="none"/>
                <w:vertAlign w:val="subscript"/>
              </w:rPr>
            </w:pPr>
            <w:r>
              <w:rPr>
                <w:rFonts w:hint="default" w:ascii="Times New Roman" w:hAnsi="Times New Roman" w:eastAsia="宋体" w:cs="Times New Roman"/>
                <w:sz w:val="24"/>
                <w:szCs w:val="24"/>
                <w:highlight w:val="none"/>
              </w:rPr>
              <w:t>P</w:t>
            </w:r>
            <w:r>
              <w:rPr>
                <w:rFonts w:hint="default" w:ascii="Times New Roman" w:hAnsi="Times New Roman" w:eastAsia="宋体" w:cs="Times New Roman"/>
                <w:sz w:val="24"/>
                <w:szCs w:val="24"/>
                <w:highlight w:val="none"/>
                <w:vertAlign w:val="subscript"/>
              </w:rPr>
              <w:t>i</w:t>
            </w:r>
            <w:r>
              <w:rPr>
                <w:rFonts w:hint="eastAsia" w:cs="Times New Roman"/>
                <w:sz w:val="24"/>
                <w:szCs w:val="24"/>
                <w:highlight w:val="none"/>
                <w:vertAlign w:val="subscript"/>
                <w:lang w:eastAsia="zh-CN"/>
              </w:rPr>
              <w:t>=</w:t>
            </w:r>
            <w:r>
              <w:rPr>
                <w:rFonts w:hint="default" w:ascii="Times New Roman" w:hAnsi="Times New Roman" w:eastAsia="宋体" w:cs="Times New Roman"/>
                <w:sz w:val="24"/>
                <w:szCs w:val="24"/>
                <w:highlight w:val="none"/>
              </w:rPr>
              <w:t>C</w:t>
            </w:r>
            <w:r>
              <w:rPr>
                <w:rFonts w:hint="default" w:ascii="Times New Roman" w:hAnsi="Times New Roman" w:eastAsia="宋体" w:cs="Times New Roman"/>
                <w:sz w:val="24"/>
                <w:szCs w:val="24"/>
                <w:highlight w:val="none"/>
                <w:vertAlign w:val="baseline"/>
              </w:rPr>
              <w:t>i</w:t>
            </w:r>
            <w:r>
              <w:rPr>
                <w:rFonts w:hint="default" w:ascii="Times New Roman" w:hAnsi="Times New Roman" w:eastAsia="宋体" w:cs="Times New Roman"/>
                <w:sz w:val="24"/>
                <w:szCs w:val="24"/>
                <w:highlight w:val="none"/>
              </w:rPr>
              <w:t>/C</w:t>
            </w:r>
            <w:r>
              <w:rPr>
                <w:rFonts w:hint="default" w:ascii="Times New Roman" w:hAnsi="Times New Roman" w:eastAsia="宋体" w:cs="Times New Roman"/>
                <w:sz w:val="24"/>
                <w:szCs w:val="24"/>
                <w:highlight w:val="none"/>
                <w:vertAlign w:val="baseline"/>
              </w:rPr>
              <w:t>oi</w:t>
            </w:r>
          </w:p>
          <w:p>
            <w:pPr>
              <w:pStyle w:val="71"/>
              <w:bidi w:val="0"/>
              <w:rPr>
                <w:rFonts w:hint="default"/>
              </w:rPr>
            </w:pPr>
            <w:r>
              <w:rPr>
                <w:rFonts w:hint="default"/>
              </w:rPr>
              <w:t>式中，Pi－第i个污染物的质量浓度占标率，%；</w:t>
            </w:r>
          </w:p>
          <w:p>
            <w:pPr>
              <w:pStyle w:val="71"/>
              <w:bidi w:val="0"/>
              <w:rPr>
                <w:rFonts w:hint="default"/>
              </w:rPr>
            </w:pPr>
            <w:r>
              <w:rPr>
                <w:rFonts w:hint="default"/>
              </w:rPr>
              <w:t>Ci－污染物的浓度，mg/m</w:t>
            </w:r>
            <w:r>
              <w:rPr>
                <w:rFonts w:hint="default"/>
                <w:vertAlign w:val="superscript"/>
              </w:rPr>
              <w:t>3</w:t>
            </w:r>
            <w:r>
              <w:rPr>
                <w:rFonts w:hint="default"/>
              </w:rPr>
              <w:t>（标准状态）；</w:t>
            </w:r>
          </w:p>
          <w:p>
            <w:pPr>
              <w:pStyle w:val="71"/>
              <w:bidi w:val="0"/>
              <w:rPr>
                <w:rFonts w:hint="default"/>
              </w:rPr>
            </w:pPr>
            <w:r>
              <w:rPr>
                <w:rFonts w:hint="default"/>
              </w:rPr>
              <w:t>Coi－污染物的质量标准，mg/m</w:t>
            </w:r>
            <w:r>
              <w:rPr>
                <w:rFonts w:hint="default"/>
                <w:vertAlign w:val="superscript"/>
              </w:rPr>
              <w:t>3</w:t>
            </w:r>
            <w:r>
              <w:rPr>
                <w:rFonts w:hint="default"/>
              </w:rPr>
              <w:t>（标准状态）。</w:t>
            </w:r>
          </w:p>
          <w:p>
            <w:pPr>
              <w:pStyle w:val="71"/>
              <w:bidi w:val="0"/>
              <w:rPr>
                <w:rFonts w:hint="default"/>
                <w:lang w:val="en-US" w:eastAsia="zh-CN"/>
              </w:rPr>
            </w:pPr>
            <w:r>
              <w:rPr>
                <w:rFonts w:hint="default"/>
                <w:lang w:val="en-US" w:eastAsia="zh-CN"/>
              </w:rPr>
              <w:t>（4）评价结果</w:t>
            </w:r>
          </w:p>
          <w:p>
            <w:pPr>
              <w:pStyle w:val="71"/>
              <w:bidi w:val="0"/>
              <w:rPr>
                <w:rFonts w:hint="default"/>
              </w:rPr>
            </w:pPr>
            <w:r>
              <w:rPr>
                <w:rFonts w:hint="default"/>
              </w:rPr>
              <w:t>评价结果见下表。</w:t>
            </w:r>
          </w:p>
          <w:p>
            <w:pPr>
              <w:pStyle w:val="74"/>
              <w:bidi w:val="0"/>
              <w:rPr>
                <w:rFonts w:hint="default"/>
                <w:highlight w:val="green"/>
                <w:lang w:val="en-US" w:eastAsia="zh-CN"/>
              </w:rPr>
            </w:pPr>
            <w:r>
              <w:rPr>
                <w:rFonts w:hint="default"/>
                <w:lang w:val="en-US" w:eastAsia="zh-CN"/>
              </w:rPr>
              <w:t>表3-</w:t>
            </w:r>
            <w:r>
              <w:rPr>
                <w:rFonts w:hint="eastAsia"/>
                <w:lang w:val="en-US" w:eastAsia="zh-CN"/>
              </w:rPr>
              <w:t xml:space="preserve">1 </w:t>
            </w:r>
            <w:r>
              <w:rPr>
                <w:rFonts w:hint="default"/>
                <w:lang w:val="en-US" w:eastAsia="zh-CN"/>
              </w:rPr>
              <w:t xml:space="preserve">   </w:t>
            </w:r>
            <w:r>
              <w:rPr>
                <w:rFonts w:hint="default"/>
                <w:highlight w:val="none"/>
                <w:lang w:val="en-US" w:eastAsia="zh-CN"/>
              </w:rPr>
              <w:t>现状监测结果分析表</w:t>
            </w:r>
          </w:p>
          <w:tbl>
            <w:tblPr>
              <w:tblStyle w:val="24"/>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264"/>
              <w:gridCol w:w="1543"/>
              <w:gridCol w:w="1205"/>
              <w:gridCol w:w="11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0" w:type="pct"/>
                  <w:vMerge w:val="restart"/>
                  <w:noWrap w:val="0"/>
                  <w:vAlign w:val="center"/>
                </w:tcPr>
                <w:p>
                  <w:pPr>
                    <w:pStyle w:val="73"/>
                    <w:bidi w:val="0"/>
                    <w:rPr>
                      <w:rFonts w:hint="default"/>
                    </w:rPr>
                  </w:pPr>
                  <w:bookmarkStart w:id="2" w:name="_Hlk82001264"/>
                  <w:r>
                    <w:rPr>
                      <w:rFonts w:hint="default"/>
                    </w:rPr>
                    <w:t>监测项目</w:t>
                  </w:r>
                </w:p>
              </w:tc>
              <w:tc>
                <w:tcPr>
                  <w:tcW w:w="1470" w:type="pct"/>
                  <w:vMerge w:val="restart"/>
                  <w:noWrap w:val="0"/>
                  <w:vAlign w:val="center"/>
                </w:tcPr>
                <w:p>
                  <w:pPr>
                    <w:pStyle w:val="73"/>
                    <w:bidi w:val="0"/>
                    <w:rPr>
                      <w:rFonts w:hint="default"/>
                    </w:rPr>
                  </w:pPr>
                  <w:r>
                    <w:rPr>
                      <w:rFonts w:hint="default"/>
                    </w:rPr>
                    <w:t>评价指标</w:t>
                  </w:r>
                </w:p>
              </w:tc>
              <w:tc>
                <w:tcPr>
                  <w:tcW w:w="1002" w:type="pct"/>
                  <w:vMerge w:val="restart"/>
                  <w:noWrap w:val="0"/>
                  <w:vAlign w:val="center"/>
                </w:tcPr>
                <w:p>
                  <w:pPr>
                    <w:pStyle w:val="73"/>
                    <w:bidi w:val="0"/>
                    <w:rPr>
                      <w:rFonts w:hint="default"/>
                    </w:rPr>
                  </w:pPr>
                  <w:r>
                    <w:rPr>
                      <w:rFonts w:hint="default"/>
                    </w:rPr>
                    <w:t>现状</w:t>
                  </w:r>
                  <w:r>
                    <w:rPr>
                      <w:rFonts w:hint="eastAsia"/>
                      <w:lang w:val="en-US" w:eastAsia="zh-CN"/>
                    </w:rPr>
                    <w:t>值</w:t>
                  </w:r>
                  <w:r>
                    <w:rPr>
                      <w:rFonts w:hint="default"/>
                    </w:rPr>
                    <w:t>（μg/m</w:t>
                  </w:r>
                  <w:r>
                    <w:rPr>
                      <w:rFonts w:hint="default"/>
                      <w:vertAlign w:val="superscript"/>
                    </w:rPr>
                    <w:t>3</w:t>
                  </w:r>
                  <w:r>
                    <w:rPr>
                      <w:rFonts w:hint="default"/>
                    </w:rPr>
                    <w:t>）</w:t>
                  </w:r>
                </w:p>
              </w:tc>
              <w:tc>
                <w:tcPr>
                  <w:tcW w:w="782" w:type="pct"/>
                  <w:vMerge w:val="restart"/>
                  <w:noWrap w:val="0"/>
                  <w:vAlign w:val="center"/>
                </w:tcPr>
                <w:p>
                  <w:pPr>
                    <w:pStyle w:val="73"/>
                    <w:bidi w:val="0"/>
                    <w:rPr>
                      <w:rFonts w:hint="default"/>
                    </w:rPr>
                  </w:pPr>
                  <w:r>
                    <w:rPr>
                      <w:rFonts w:hint="default"/>
                    </w:rPr>
                    <w:t>标准值</w:t>
                  </w:r>
                </w:p>
                <w:p>
                  <w:pPr>
                    <w:pStyle w:val="73"/>
                    <w:bidi w:val="0"/>
                    <w:rPr>
                      <w:rFonts w:hint="default"/>
                    </w:rPr>
                  </w:pPr>
                  <w:r>
                    <w:rPr>
                      <w:rFonts w:hint="default"/>
                    </w:rPr>
                    <w:t>（μg/m</w:t>
                  </w:r>
                  <w:r>
                    <w:rPr>
                      <w:rFonts w:hint="default"/>
                      <w:vertAlign w:val="superscript"/>
                    </w:rPr>
                    <w:t>3</w:t>
                  </w:r>
                  <w:r>
                    <w:rPr>
                      <w:rFonts w:hint="default"/>
                    </w:rPr>
                    <w:t>）</w:t>
                  </w:r>
                </w:p>
              </w:tc>
              <w:tc>
                <w:tcPr>
                  <w:tcW w:w="724" w:type="pct"/>
                  <w:vMerge w:val="restart"/>
                  <w:noWrap w:val="0"/>
                  <w:vAlign w:val="center"/>
                </w:tcPr>
                <w:p>
                  <w:pPr>
                    <w:pStyle w:val="73"/>
                    <w:bidi w:val="0"/>
                    <w:rPr>
                      <w:rFonts w:hint="default"/>
                    </w:rPr>
                  </w:pPr>
                  <w:r>
                    <w:rPr>
                      <w:rFonts w:hint="default"/>
                    </w:rPr>
                    <w:t>占标率%</w:t>
                  </w:r>
                </w:p>
              </w:tc>
              <w:tc>
                <w:tcPr>
                  <w:tcW w:w="529" w:type="pct"/>
                  <w:vMerge w:val="restart"/>
                  <w:noWrap w:val="0"/>
                  <w:vAlign w:val="center"/>
                </w:tcPr>
                <w:p>
                  <w:pPr>
                    <w:pStyle w:val="73"/>
                    <w:bidi w:val="0"/>
                    <w:rPr>
                      <w:rFonts w:hint="default"/>
                    </w:rPr>
                  </w:pPr>
                  <w:r>
                    <w:rPr>
                      <w:rFonts w:hint="default"/>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0" w:type="pct"/>
                  <w:vMerge w:val="continue"/>
                  <w:noWrap w:val="0"/>
                  <w:vAlign w:val="center"/>
                </w:tcPr>
                <w:p>
                  <w:pPr>
                    <w:pStyle w:val="73"/>
                    <w:bidi w:val="0"/>
                    <w:rPr>
                      <w:rFonts w:hint="default"/>
                    </w:rPr>
                  </w:pPr>
                </w:p>
              </w:tc>
              <w:tc>
                <w:tcPr>
                  <w:tcW w:w="1470" w:type="pct"/>
                  <w:vMerge w:val="continue"/>
                  <w:noWrap w:val="0"/>
                  <w:vAlign w:val="center"/>
                </w:tcPr>
                <w:p>
                  <w:pPr>
                    <w:pStyle w:val="73"/>
                    <w:bidi w:val="0"/>
                    <w:rPr>
                      <w:rFonts w:hint="default"/>
                    </w:rPr>
                  </w:pPr>
                </w:p>
              </w:tc>
              <w:tc>
                <w:tcPr>
                  <w:tcW w:w="1002" w:type="pct"/>
                  <w:vMerge w:val="continue"/>
                  <w:noWrap w:val="0"/>
                  <w:vAlign w:val="center"/>
                </w:tcPr>
                <w:p>
                  <w:pPr>
                    <w:pStyle w:val="73"/>
                    <w:bidi w:val="0"/>
                    <w:rPr>
                      <w:rFonts w:hint="default"/>
                    </w:rPr>
                  </w:pPr>
                </w:p>
              </w:tc>
              <w:tc>
                <w:tcPr>
                  <w:tcW w:w="782" w:type="pct"/>
                  <w:vMerge w:val="continue"/>
                  <w:noWrap w:val="0"/>
                  <w:vAlign w:val="center"/>
                </w:tcPr>
                <w:p>
                  <w:pPr>
                    <w:pStyle w:val="73"/>
                    <w:bidi w:val="0"/>
                    <w:rPr>
                      <w:rFonts w:hint="default"/>
                    </w:rPr>
                  </w:pPr>
                </w:p>
              </w:tc>
              <w:tc>
                <w:tcPr>
                  <w:tcW w:w="724" w:type="pct"/>
                  <w:vMerge w:val="continue"/>
                  <w:noWrap w:val="0"/>
                  <w:vAlign w:val="center"/>
                </w:tcPr>
                <w:p>
                  <w:pPr>
                    <w:pStyle w:val="73"/>
                    <w:bidi w:val="0"/>
                    <w:rPr>
                      <w:rFonts w:hint="default"/>
                    </w:rPr>
                  </w:pPr>
                </w:p>
              </w:tc>
              <w:tc>
                <w:tcPr>
                  <w:tcW w:w="529" w:type="pct"/>
                  <w:vMerge w:val="continue"/>
                  <w:noWrap w:val="0"/>
                  <w:vAlign w:val="center"/>
                </w:tcPr>
                <w:p>
                  <w:pPr>
                    <w:pStyle w:val="73"/>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restart"/>
                  <w:noWrap w:val="0"/>
                  <w:vAlign w:val="center"/>
                </w:tcPr>
                <w:p>
                  <w:pPr>
                    <w:pStyle w:val="73"/>
                    <w:bidi w:val="0"/>
                    <w:rPr>
                      <w:rFonts w:hint="default"/>
                    </w:rPr>
                  </w:pPr>
                  <w:r>
                    <w:rPr>
                      <w:rFonts w:hint="default"/>
                    </w:rPr>
                    <w:t>SO</w:t>
                  </w:r>
                  <w:r>
                    <w:rPr>
                      <w:rFonts w:hint="default"/>
                      <w:vertAlign w:val="subscript"/>
                    </w:rPr>
                    <w:t>2</w:t>
                  </w:r>
                </w:p>
              </w:tc>
              <w:tc>
                <w:tcPr>
                  <w:tcW w:w="1470" w:type="pct"/>
                  <w:noWrap w:val="0"/>
                  <w:vAlign w:val="center"/>
                </w:tcPr>
                <w:p>
                  <w:pPr>
                    <w:pStyle w:val="73"/>
                    <w:bidi w:val="0"/>
                    <w:rPr>
                      <w:rFonts w:hint="default"/>
                    </w:rPr>
                  </w:pPr>
                  <w:r>
                    <w:rPr>
                      <w:rFonts w:hint="default"/>
                    </w:rPr>
                    <w:t>年平均</w:t>
                  </w:r>
                </w:p>
              </w:tc>
              <w:tc>
                <w:tcPr>
                  <w:tcW w:w="1002" w:type="pct"/>
                  <w:noWrap w:val="0"/>
                  <w:vAlign w:val="center"/>
                </w:tcPr>
                <w:p>
                  <w:pPr>
                    <w:pStyle w:val="73"/>
                    <w:bidi w:val="0"/>
                    <w:rPr>
                      <w:rFonts w:hint="default"/>
                      <w:lang w:val="en-US" w:eastAsia="zh-CN"/>
                    </w:rPr>
                  </w:pPr>
                  <w:r>
                    <w:rPr>
                      <w:rFonts w:hint="eastAsia"/>
                      <w:lang w:val="en-US" w:eastAsia="zh-CN"/>
                    </w:rPr>
                    <w:t>5</w:t>
                  </w:r>
                </w:p>
              </w:tc>
              <w:tc>
                <w:tcPr>
                  <w:tcW w:w="782" w:type="pct"/>
                  <w:noWrap w:val="0"/>
                  <w:vAlign w:val="center"/>
                </w:tcPr>
                <w:p>
                  <w:pPr>
                    <w:pStyle w:val="73"/>
                    <w:bidi w:val="0"/>
                    <w:rPr>
                      <w:rFonts w:hint="default"/>
                    </w:rPr>
                  </w:pPr>
                  <w:r>
                    <w:rPr>
                      <w:rFonts w:hint="default"/>
                    </w:rPr>
                    <w:t>60</w:t>
                  </w:r>
                </w:p>
              </w:tc>
              <w:tc>
                <w:tcPr>
                  <w:tcW w:w="724" w:type="pct"/>
                  <w:noWrap w:val="0"/>
                  <w:vAlign w:val="center"/>
                </w:tcPr>
                <w:p>
                  <w:pPr>
                    <w:pStyle w:val="73"/>
                    <w:bidi w:val="0"/>
                    <w:rPr>
                      <w:rFonts w:hint="default"/>
                      <w:lang w:val="en-US" w:eastAsia="zh-CN"/>
                    </w:rPr>
                  </w:pPr>
                  <w:r>
                    <w:rPr>
                      <w:rFonts w:hint="eastAsia"/>
                      <w:lang w:val="en-US" w:eastAsia="zh-CN"/>
                    </w:rPr>
                    <w:t>8.3</w:t>
                  </w:r>
                </w:p>
              </w:tc>
              <w:tc>
                <w:tcPr>
                  <w:tcW w:w="529" w:type="pct"/>
                  <w:noWrap w:val="0"/>
                  <w:vAlign w:val="center"/>
                </w:tcPr>
                <w:p>
                  <w:pPr>
                    <w:pStyle w:val="73"/>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continue"/>
                  <w:noWrap w:val="0"/>
                  <w:vAlign w:val="center"/>
                </w:tcPr>
                <w:p>
                  <w:pPr>
                    <w:pStyle w:val="73"/>
                    <w:bidi w:val="0"/>
                    <w:rPr>
                      <w:rFonts w:hint="default"/>
                    </w:rPr>
                  </w:pPr>
                </w:p>
              </w:tc>
              <w:tc>
                <w:tcPr>
                  <w:tcW w:w="1470" w:type="pct"/>
                  <w:noWrap w:val="0"/>
                  <w:vAlign w:val="center"/>
                </w:tcPr>
                <w:p>
                  <w:pPr>
                    <w:pStyle w:val="73"/>
                    <w:bidi w:val="0"/>
                    <w:rPr>
                      <w:rFonts w:hint="default"/>
                    </w:rPr>
                  </w:pPr>
                  <w:r>
                    <w:rPr>
                      <w:rFonts w:hint="default"/>
                    </w:rPr>
                    <w:t>第98百分位数日平均</w:t>
                  </w:r>
                </w:p>
              </w:tc>
              <w:tc>
                <w:tcPr>
                  <w:tcW w:w="1002" w:type="pct"/>
                  <w:noWrap w:val="0"/>
                  <w:vAlign w:val="center"/>
                </w:tcPr>
                <w:p>
                  <w:pPr>
                    <w:pStyle w:val="73"/>
                    <w:bidi w:val="0"/>
                    <w:rPr>
                      <w:rFonts w:hint="default"/>
                      <w:lang w:val="en-US" w:eastAsia="zh-CN"/>
                    </w:rPr>
                  </w:pPr>
                  <w:r>
                    <w:rPr>
                      <w:rFonts w:hint="eastAsia"/>
                      <w:lang w:val="en-US" w:eastAsia="zh-CN"/>
                    </w:rPr>
                    <w:t>6</w:t>
                  </w:r>
                </w:p>
              </w:tc>
              <w:tc>
                <w:tcPr>
                  <w:tcW w:w="782" w:type="pct"/>
                  <w:noWrap w:val="0"/>
                  <w:vAlign w:val="center"/>
                </w:tcPr>
                <w:p>
                  <w:pPr>
                    <w:pStyle w:val="73"/>
                    <w:bidi w:val="0"/>
                    <w:rPr>
                      <w:rFonts w:hint="default"/>
                    </w:rPr>
                  </w:pPr>
                  <w:r>
                    <w:rPr>
                      <w:rFonts w:hint="default"/>
                    </w:rPr>
                    <w:t>150</w:t>
                  </w:r>
                </w:p>
              </w:tc>
              <w:tc>
                <w:tcPr>
                  <w:tcW w:w="724" w:type="pct"/>
                  <w:noWrap w:val="0"/>
                  <w:vAlign w:val="center"/>
                </w:tcPr>
                <w:p>
                  <w:pPr>
                    <w:pStyle w:val="73"/>
                    <w:bidi w:val="0"/>
                    <w:rPr>
                      <w:rFonts w:hint="default"/>
                      <w:lang w:val="en-US" w:eastAsia="zh-CN"/>
                    </w:rPr>
                  </w:pPr>
                  <w:r>
                    <w:rPr>
                      <w:rFonts w:hint="eastAsia"/>
                      <w:lang w:val="en-US" w:eastAsia="zh-CN"/>
                    </w:rPr>
                    <w:t>4</w:t>
                  </w:r>
                </w:p>
              </w:tc>
              <w:tc>
                <w:tcPr>
                  <w:tcW w:w="529" w:type="pct"/>
                  <w:noWrap w:val="0"/>
                  <w:vAlign w:val="center"/>
                </w:tcPr>
                <w:p>
                  <w:pPr>
                    <w:pStyle w:val="73"/>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restart"/>
                  <w:noWrap w:val="0"/>
                  <w:vAlign w:val="center"/>
                </w:tcPr>
                <w:p>
                  <w:pPr>
                    <w:pStyle w:val="73"/>
                    <w:bidi w:val="0"/>
                    <w:rPr>
                      <w:rFonts w:hint="default"/>
                    </w:rPr>
                  </w:pPr>
                  <w:r>
                    <w:rPr>
                      <w:rFonts w:hint="default"/>
                    </w:rPr>
                    <w:t>NO</w:t>
                  </w:r>
                  <w:r>
                    <w:rPr>
                      <w:rFonts w:hint="default"/>
                      <w:vertAlign w:val="subscript"/>
                    </w:rPr>
                    <w:t>2</w:t>
                  </w:r>
                </w:p>
              </w:tc>
              <w:tc>
                <w:tcPr>
                  <w:tcW w:w="1470" w:type="pct"/>
                  <w:noWrap w:val="0"/>
                  <w:vAlign w:val="center"/>
                </w:tcPr>
                <w:p>
                  <w:pPr>
                    <w:pStyle w:val="73"/>
                    <w:bidi w:val="0"/>
                    <w:rPr>
                      <w:rFonts w:hint="default"/>
                    </w:rPr>
                  </w:pPr>
                  <w:r>
                    <w:rPr>
                      <w:rFonts w:hint="default"/>
                    </w:rPr>
                    <w:t>年平均</w:t>
                  </w:r>
                </w:p>
              </w:tc>
              <w:tc>
                <w:tcPr>
                  <w:tcW w:w="1002" w:type="pct"/>
                  <w:noWrap w:val="0"/>
                  <w:vAlign w:val="center"/>
                </w:tcPr>
                <w:p>
                  <w:pPr>
                    <w:pStyle w:val="73"/>
                    <w:bidi w:val="0"/>
                    <w:rPr>
                      <w:rFonts w:hint="default"/>
                      <w:lang w:val="en-US" w:eastAsia="zh-CN"/>
                    </w:rPr>
                  </w:pPr>
                  <w:r>
                    <w:rPr>
                      <w:rFonts w:hint="eastAsia"/>
                      <w:lang w:val="en-US" w:eastAsia="zh-CN"/>
                    </w:rPr>
                    <w:t>7</w:t>
                  </w:r>
                </w:p>
              </w:tc>
              <w:tc>
                <w:tcPr>
                  <w:tcW w:w="782" w:type="pct"/>
                  <w:noWrap w:val="0"/>
                  <w:vAlign w:val="center"/>
                </w:tcPr>
                <w:p>
                  <w:pPr>
                    <w:pStyle w:val="73"/>
                    <w:bidi w:val="0"/>
                    <w:rPr>
                      <w:rFonts w:hint="default"/>
                    </w:rPr>
                  </w:pPr>
                  <w:r>
                    <w:rPr>
                      <w:rFonts w:hint="default"/>
                    </w:rPr>
                    <w:t>40</w:t>
                  </w:r>
                </w:p>
              </w:tc>
              <w:tc>
                <w:tcPr>
                  <w:tcW w:w="724" w:type="pct"/>
                  <w:noWrap w:val="0"/>
                  <w:vAlign w:val="center"/>
                </w:tcPr>
                <w:p>
                  <w:pPr>
                    <w:pStyle w:val="73"/>
                    <w:bidi w:val="0"/>
                    <w:rPr>
                      <w:rFonts w:hint="default"/>
                      <w:lang w:val="en-US" w:eastAsia="zh-CN"/>
                    </w:rPr>
                  </w:pPr>
                  <w:r>
                    <w:rPr>
                      <w:rFonts w:hint="eastAsia"/>
                      <w:lang w:val="en-US" w:eastAsia="zh-CN"/>
                    </w:rPr>
                    <w:t>17.5</w:t>
                  </w:r>
                </w:p>
              </w:tc>
              <w:tc>
                <w:tcPr>
                  <w:tcW w:w="529" w:type="pct"/>
                  <w:noWrap w:val="0"/>
                  <w:vAlign w:val="center"/>
                </w:tcPr>
                <w:p>
                  <w:pPr>
                    <w:pStyle w:val="73"/>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continue"/>
                  <w:noWrap w:val="0"/>
                  <w:vAlign w:val="center"/>
                </w:tcPr>
                <w:p>
                  <w:pPr>
                    <w:pStyle w:val="73"/>
                    <w:bidi w:val="0"/>
                    <w:rPr>
                      <w:rFonts w:hint="default"/>
                    </w:rPr>
                  </w:pPr>
                </w:p>
              </w:tc>
              <w:tc>
                <w:tcPr>
                  <w:tcW w:w="1470" w:type="pct"/>
                  <w:noWrap w:val="0"/>
                  <w:vAlign w:val="center"/>
                </w:tcPr>
                <w:p>
                  <w:pPr>
                    <w:pStyle w:val="73"/>
                    <w:bidi w:val="0"/>
                    <w:rPr>
                      <w:rFonts w:hint="default"/>
                    </w:rPr>
                  </w:pPr>
                  <w:r>
                    <w:rPr>
                      <w:rFonts w:hint="default"/>
                    </w:rPr>
                    <w:t>第98百分位数日平均</w:t>
                  </w:r>
                </w:p>
              </w:tc>
              <w:tc>
                <w:tcPr>
                  <w:tcW w:w="1002" w:type="pct"/>
                  <w:noWrap w:val="0"/>
                  <w:vAlign w:val="center"/>
                </w:tcPr>
                <w:p>
                  <w:pPr>
                    <w:pStyle w:val="73"/>
                    <w:bidi w:val="0"/>
                    <w:rPr>
                      <w:rFonts w:hint="default"/>
                      <w:lang w:val="en-US" w:eastAsia="zh-CN"/>
                    </w:rPr>
                  </w:pPr>
                  <w:r>
                    <w:rPr>
                      <w:rFonts w:hint="eastAsia"/>
                      <w:lang w:val="en-US" w:eastAsia="zh-CN"/>
                    </w:rPr>
                    <w:t>19</w:t>
                  </w:r>
                </w:p>
              </w:tc>
              <w:tc>
                <w:tcPr>
                  <w:tcW w:w="782" w:type="pct"/>
                  <w:noWrap w:val="0"/>
                  <w:vAlign w:val="center"/>
                </w:tcPr>
                <w:p>
                  <w:pPr>
                    <w:pStyle w:val="73"/>
                    <w:bidi w:val="0"/>
                    <w:rPr>
                      <w:rFonts w:hint="default"/>
                    </w:rPr>
                  </w:pPr>
                  <w:r>
                    <w:rPr>
                      <w:rFonts w:hint="default"/>
                    </w:rPr>
                    <w:t>80</w:t>
                  </w:r>
                </w:p>
              </w:tc>
              <w:tc>
                <w:tcPr>
                  <w:tcW w:w="724" w:type="pct"/>
                  <w:noWrap w:val="0"/>
                  <w:vAlign w:val="center"/>
                </w:tcPr>
                <w:p>
                  <w:pPr>
                    <w:pStyle w:val="73"/>
                    <w:bidi w:val="0"/>
                    <w:rPr>
                      <w:rFonts w:hint="default"/>
                      <w:lang w:val="en-US" w:eastAsia="zh-CN"/>
                    </w:rPr>
                  </w:pPr>
                  <w:r>
                    <w:rPr>
                      <w:rFonts w:hint="eastAsia"/>
                      <w:lang w:val="en-US" w:eastAsia="zh-CN"/>
                    </w:rPr>
                    <w:t>23.8</w:t>
                  </w:r>
                </w:p>
              </w:tc>
              <w:tc>
                <w:tcPr>
                  <w:tcW w:w="529" w:type="pct"/>
                  <w:noWrap w:val="0"/>
                  <w:vAlign w:val="center"/>
                </w:tcPr>
                <w:p>
                  <w:pPr>
                    <w:pStyle w:val="73"/>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restart"/>
                  <w:noWrap w:val="0"/>
                  <w:vAlign w:val="center"/>
                </w:tcPr>
                <w:p>
                  <w:pPr>
                    <w:pStyle w:val="73"/>
                    <w:bidi w:val="0"/>
                    <w:rPr>
                      <w:rFonts w:hint="default"/>
                    </w:rPr>
                  </w:pPr>
                  <w:r>
                    <w:rPr>
                      <w:rFonts w:hint="default"/>
                    </w:rPr>
                    <w:t>PM</w:t>
                  </w:r>
                  <w:r>
                    <w:rPr>
                      <w:rFonts w:hint="default"/>
                      <w:vertAlign w:val="subscript"/>
                    </w:rPr>
                    <w:t>2.5</w:t>
                  </w:r>
                </w:p>
              </w:tc>
              <w:tc>
                <w:tcPr>
                  <w:tcW w:w="1470" w:type="pct"/>
                  <w:noWrap w:val="0"/>
                  <w:vAlign w:val="center"/>
                </w:tcPr>
                <w:p>
                  <w:pPr>
                    <w:pStyle w:val="73"/>
                    <w:bidi w:val="0"/>
                    <w:rPr>
                      <w:rFonts w:hint="default"/>
                    </w:rPr>
                  </w:pPr>
                  <w:r>
                    <w:rPr>
                      <w:rFonts w:hint="default"/>
                    </w:rPr>
                    <w:t>年平均</w:t>
                  </w:r>
                </w:p>
              </w:tc>
              <w:tc>
                <w:tcPr>
                  <w:tcW w:w="1002" w:type="pct"/>
                  <w:noWrap w:val="0"/>
                  <w:vAlign w:val="center"/>
                </w:tcPr>
                <w:p>
                  <w:pPr>
                    <w:pStyle w:val="73"/>
                    <w:bidi w:val="0"/>
                    <w:rPr>
                      <w:rFonts w:hint="default"/>
                      <w:lang w:val="en-US" w:eastAsia="zh-CN"/>
                    </w:rPr>
                  </w:pPr>
                  <w:r>
                    <w:rPr>
                      <w:rFonts w:hint="eastAsia"/>
                      <w:lang w:val="en-US" w:eastAsia="zh-CN"/>
                    </w:rPr>
                    <w:t>55</w:t>
                  </w:r>
                </w:p>
              </w:tc>
              <w:tc>
                <w:tcPr>
                  <w:tcW w:w="782" w:type="pct"/>
                  <w:noWrap w:val="0"/>
                  <w:vAlign w:val="center"/>
                </w:tcPr>
                <w:p>
                  <w:pPr>
                    <w:pStyle w:val="73"/>
                    <w:bidi w:val="0"/>
                    <w:rPr>
                      <w:rFonts w:hint="default"/>
                    </w:rPr>
                  </w:pPr>
                  <w:r>
                    <w:rPr>
                      <w:rFonts w:hint="default"/>
                    </w:rPr>
                    <w:t>35</w:t>
                  </w:r>
                </w:p>
              </w:tc>
              <w:tc>
                <w:tcPr>
                  <w:tcW w:w="724" w:type="pct"/>
                  <w:noWrap w:val="0"/>
                  <w:vAlign w:val="center"/>
                </w:tcPr>
                <w:p>
                  <w:pPr>
                    <w:pStyle w:val="73"/>
                    <w:bidi w:val="0"/>
                    <w:rPr>
                      <w:rFonts w:hint="default"/>
                      <w:lang w:val="en-US" w:eastAsia="zh-CN"/>
                    </w:rPr>
                  </w:pPr>
                  <w:r>
                    <w:rPr>
                      <w:rFonts w:hint="eastAsia"/>
                      <w:lang w:val="en-US" w:eastAsia="zh-CN"/>
                    </w:rPr>
                    <w:t>157.1</w:t>
                  </w:r>
                </w:p>
              </w:tc>
              <w:tc>
                <w:tcPr>
                  <w:tcW w:w="529" w:type="pct"/>
                  <w:noWrap w:val="0"/>
                  <w:vAlign w:val="center"/>
                </w:tcPr>
                <w:p>
                  <w:pPr>
                    <w:pStyle w:val="73"/>
                    <w:bidi w:val="0"/>
                    <w:rPr>
                      <w:rFonts w:hint="default"/>
                    </w:rPr>
                  </w:pPr>
                  <w:r>
                    <w:rPr>
                      <w:rFonts w:hint="eastAsia"/>
                      <w:lang w:val="en-US" w:eastAsia="zh-CN"/>
                    </w:rPr>
                    <w:t>超</w:t>
                  </w:r>
                  <w:r>
                    <w:rPr>
                      <w:rFonts w:hint="default"/>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continue"/>
                  <w:noWrap w:val="0"/>
                  <w:vAlign w:val="center"/>
                </w:tcPr>
                <w:p>
                  <w:pPr>
                    <w:pStyle w:val="73"/>
                    <w:bidi w:val="0"/>
                    <w:rPr>
                      <w:rFonts w:hint="default"/>
                    </w:rPr>
                  </w:pPr>
                </w:p>
              </w:tc>
              <w:tc>
                <w:tcPr>
                  <w:tcW w:w="1470" w:type="pct"/>
                  <w:noWrap w:val="0"/>
                  <w:vAlign w:val="center"/>
                </w:tcPr>
                <w:p>
                  <w:pPr>
                    <w:pStyle w:val="73"/>
                    <w:bidi w:val="0"/>
                    <w:rPr>
                      <w:rFonts w:hint="default"/>
                    </w:rPr>
                  </w:pPr>
                  <w:r>
                    <w:rPr>
                      <w:rFonts w:hint="default"/>
                    </w:rPr>
                    <w:t>第95百分位数日平均</w:t>
                  </w:r>
                </w:p>
              </w:tc>
              <w:tc>
                <w:tcPr>
                  <w:tcW w:w="1002" w:type="pct"/>
                  <w:noWrap w:val="0"/>
                  <w:vAlign w:val="center"/>
                </w:tcPr>
                <w:p>
                  <w:pPr>
                    <w:pStyle w:val="73"/>
                    <w:bidi w:val="0"/>
                    <w:rPr>
                      <w:rFonts w:hint="default"/>
                      <w:lang w:val="en-US" w:eastAsia="zh-CN"/>
                    </w:rPr>
                  </w:pPr>
                  <w:r>
                    <w:rPr>
                      <w:rFonts w:hint="eastAsia"/>
                      <w:lang w:val="en-US" w:eastAsia="zh-CN"/>
                    </w:rPr>
                    <w:t>229</w:t>
                  </w:r>
                </w:p>
              </w:tc>
              <w:tc>
                <w:tcPr>
                  <w:tcW w:w="782" w:type="pct"/>
                  <w:noWrap w:val="0"/>
                  <w:vAlign w:val="center"/>
                </w:tcPr>
                <w:p>
                  <w:pPr>
                    <w:pStyle w:val="73"/>
                    <w:bidi w:val="0"/>
                    <w:rPr>
                      <w:rFonts w:hint="default"/>
                    </w:rPr>
                  </w:pPr>
                  <w:r>
                    <w:rPr>
                      <w:rFonts w:hint="default"/>
                    </w:rPr>
                    <w:t>75</w:t>
                  </w:r>
                </w:p>
              </w:tc>
              <w:tc>
                <w:tcPr>
                  <w:tcW w:w="724" w:type="pct"/>
                  <w:noWrap w:val="0"/>
                  <w:vAlign w:val="center"/>
                </w:tcPr>
                <w:p>
                  <w:pPr>
                    <w:pStyle w:val="73"/>
                    <w:bidi w:val="0"/>
                    <w:rPr>
                      <w:rFonts w:hint="default"/>
                      <w:lang w:val="en-US" w:eastAsia="zh-CN"/>
                    </w:rPr>
                  </w:pPr>
                  <w:r>
                    <w:rPr>
                      <w:rFonts w:hint="eastAsia"/>
                      <w:lang w:val="en-US" w:eastAsia="zh-CN"/>
                    </w:rPr>
                    <w:t>305.3</w:t>
                  </w:r>
                </w:p>
              </w:tc>
              <w:tc>
                <w:tcPr>
                  <w:tcW w:w="529" w:type="pct"/>
                  <w:noWrap w:val="0"/>
                  <w:vAlign w:val="center"/>
                </w:tcPr>
                <w:p>
                  <w:pPr>
                    <w:pStyle w:val="73"/>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0" w:type="pct"/>
                  <w:vMerge w:val="restart"/>
                  <w:noWrap w:val="0"/>
                  <w:vAlign w:val="center"/>
                </w:tcPr>
                <w:p>
                  <w:pPr>
                    <w:pStyle w:val="73"/>
                    <w:bidi w:val="0"/>
                    <w:rPr>
                      <w:rFonts w:hint="default"/>
                    </w:rPr>
                  </w:pPr>
                  <w:r>
                    <w:rPr>
                      <w:rFonts w:hint="default"/>
                    </w:rPr>
                    <w:t>PM</w:t>
                  </w:r>
                  <w:r>
                    <w:rPr>
                      <w:rFonts w:hint="default"/>
                      <w:vertAlign w:val="subscript"/>
                    </w:rPr>
                    <w:t>10</w:t>
                  </w:r>
                </w:p>
              </w:tc>
              <w:tc>
                <w:tcPr>
                  <w:tcW w:w="1470" w:type="pct"/>
                  <w:noWrap w:val="0"/>
                  <w:vAlign w:val="center"/>
                </w:tcPr>
                <w:p>
                  <w:pPr>
                    <w:pStyle w:val="73"/>
                    <w:bidi w:val="0"/>
                    <w:rPr>
                      <w:rFonts w:hint="default"/>
                    </w:rPr>
                  </w:pPr>
                  <w:r>
                    <w:rPr>
                      <w:rFonts w:hint="default"/>
                    </w:rPr>
                    <w:t>年平均</w:t>
                  </w:r>
                </w:p>
              </w:tc>
              <w:tc>
                <w:tcPr>
                  <w:tcW w:w="1002" w:type="pct"/>
                  <w:noWrap w:val="0"/>
                  <w:vAlign w:val="center"/>
                </w:tcPr>
                <w:p>
                  <w:pPr>
                    <w:pStyle w:val="73"/>
                    <w:bidi w:val="0"/>
                    <w:rPr>
                      <w:rFonts w:hint="default"/>
                      <w:lang w:val="en-US" w:eastAsia="zh-CN"/>
                    </w:rPr>
                  </w:pPr>
                  <w:r>
                    <w:rPr>
                      <w:rFonts w:hint="eastAsia"/>
                      <w:lang w:val="en-US" w:eastAsia="zh-CN"/>
                    </w:rPr>
                    <w:t>190</w:t>
                  </w:r>
                </w:p>
              </w:tc>
              <w:tc>
                <w:tcPr>
                  <w:tcW w:w="782" w:type="pct"/>
                  <w:noWrap w:val="0"/>
                  <w:vAlign w:val="center"/>
                </w:tcPr>
                <w:p>
                  <w:pPr>
                    <w:pStyle w:val="73"/>
                    <w:bidi w:val="0"/>
                    <w:rPr>
                      <w:rFonts w:hint="default"/>
                    </w:rPr>
                  </w:pPr>
                  <w:r>
                    <w:rPr>
                      <w:rFonts w:hint="default"/>
                    </w:rPr>
                    <w:t>70</w:t>
                  </w:r>
                </w:p>
              </w:tc>
              <w:tc>
                <w:tcPr>
                  <w:tcW w:w="724" w:type="pct"/>
                  <w:noWrap w:val="0"/>
                  <w:vAlign w:val="center"/>
                </w:tcPr>
                <w:p>
                  <w:pPr>
                    <w:pStyle w:val="73"/>
                    <w:bidi w:val="0"/>
                    <w:rPr>
                      <w:rFonts w:hint="default"/>
                      <w:lang w:val="en-US" w:eastAsia="zh-CN"/>
                    </w:rPr>
                  </w:pPr>
                  <w:r>
                    <w:rPr>
                      <w:rFonts w:hint="eastAsia"/>
                      <w:lang w:val="en-US" w:eastAsia="zh-CN"/>
                    </w:rPr>
                    <w:t>271.4</w:t>
                  </w:r>
                </w:p>
              </w:tc>
              <w:tc>
                <w:tcPr>
                  <w:tcW w:w="529" w:type="pct"/>
                  <w:noWrap w:val="0"/>
                  <w:vAlign w:val="center"/>
                </w:tcPr>
                <w:p>
                  <w:pPr>
                    <w:pStyle w:val="73"/>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continue"/>
                  <w:noWrap w:val="0"/>
                  <w:vAlign w:val="center"/>
                </w:tcPr>
                <w:p>
                  <w:pPr>
                    <w:pStyle w:val="73"/>
                    <w:bidi w:val="0"/>
                    <w:rPr>
                      <w:rFonts w:hint="default"/>
                    </w:rPr>
                  </w:pPr>
                </w:p>
              </w:tc>
              <w:tc>
                <w:tcPr>
                  <w:tcW w:w="1470" w:type="pct"/>
                  <w:noWrap w:val="0"/>
                  <w:vAlign w:val="center"/>
                </w:tcPr>
                <w:p>
                  <w:pPr>
                    <w:pStyle w:val="73"/>
                    <w:bidi w:val="0"/>
                    <w:rPr>
                      <w:rFonts w:hint="default"/>
                    </w:rPr>
                  </w:pPr>
                  <w:r>
                    <w:rPr>
                      <w:rFonts w:hint="default"/>
                    </w:rPr>
                    <w:t>第95百分位数日平均</w:t>
                  </w:r>
                </w:p>
              </w:tc>
              <w:tc>
                <w:tcPr>
                  <w:tcW w:w="1002" w:type="pct"/>
                  <w:noWrap w:val="0"/>
                  <w:vAlign w:val="center"/>
                </w:tcPr>
                <w:p>
                  <w:pPr>
                    <w:pStyle w:val="73"/>
                    <w:bidi w:val="0"/>
                    <w:rPr>
                      <w:rFonts w:hint="default"/>
                      <w:lang w:val="en-US" w:eastAsia="zh-CN"/>
                    </w:rPr>
                  </w:pPr>
                  <w:r>
                    <w:rPr>
                      <w:rFonts w:hint="eastAsia"/>
                      <w:lang w:val="en-US" w:eastAsia="zh-CN"/>
                    </w:rPr>
                    <w:t>634</w:t>
                  </w:r>
                </w:p>
              </w:tc>
              <w:tc>
                <w:tcPr>
                  <w:tcW w:w="782" w:type="pct"/>
                  <w:noWrap w:val="0"/>
                  <w:vAlign w:val="center"/>
                </w:tcPr>
                <w:p>
                  <w:pPr>
                    <w:pStyle w:val="73"/>
                    <w:bidi w:val="0"/>
                    <w:rPr>
                      <w:rFonts w:hint="default"/>
                    </w:rPr>
                  </w:pPr>
                  <w:r>
                    <w:rPr>
                      <w:rFonts w:hint="default"/>
                    </w:rPr>
                    <w:t>150</w:t>
                  </w:r>
                </w:p>
              </w:tc>
              <w:tc>
                <w:tcPr>
                  <w:tcW w:w="724" w:type="pct"/>
                  <w:noWrap w:val="0"/>
                  <w:vAlign w:val="center"/>
                </w:tcPr>
                <w:p>
                  <w:pPr>
                    <w:pStyle w:val="73"/>
                    <w:bidi w:val="0"/>
                    <w:rPr>
                      <w:rFonts w:hint="default"/>
                      <w:lang w:val="en-US" w:eastAsia="zh-CN"/>
                    </w:rPr>
                  </w:pPr>
                  <w:r>
                    <w:rPr>
                      <w:rFonts w:hint="eastAsia"/>
                      <w:lang w:val="en-US" w:eastAsia="zh-CN"/>
                    </w:rPr>
                    <w:t>622.7</w:t>
                  </w:r>
                </w:p>
              </w:tc>
              <w:tc>
                <w:tcPr>
                  <w:tcW w:w="529" w:type="pct"/>
                  <w:noWrap w:val="0"/>
                  <w:vAlign w:val="center"/>
                </w:tcPr>
                <w:p>
                  <w:pPr>
                    <w:pStyle w:val="73"/>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noWrap w:val="0"/>
                  <w:vAlign w:val="center"/>
                </w:tcPr>
                <w:p>
                  <w:pPr>
                    <w:pStyle w:val="73"/>
                    <w:bidi w:val="0"/>
                    <w:rPr>
                      <w:rFonts w:hint="default"/>
                    </w:rPr>
                  </w:pPr>
                  <w:r>
                    <w:rPr>
                      <w:rFonts w:hint="default"/>
                    </w:rPr>
                    <w:t>CO</w:t>
                  </w:r>
                </w:p>
              </w:tc>
              <w:tc>
                <w:tcPr>
                  <w:tcW w:w="1470" w:type="pct"/>
                  <w:noWrap w:val="0"/>
                  <w:vAlign w:val="center"/>
                </w:tcPr>
                <w:p>
                  <w:pPr>
                    <w:pStyle w:val="73"/>
                    <w:bidi w:val="0"/>
                    <w:rPr>
                      <w:rFonts w:hint="default"/>
                    </w:rPr>
                  </w:pPr>
                  <w:r>
                    <w:rPr>
                      <w:rFonts w:hint="default"/>
                    </w:rPr>
                    <w:t>第95百分位数日平均</w:t>
                  </w:r>
                </w:p>
              </w:tc>
              <w:tc>
                <w:tcPr>
                  <w:tcW w:w="1002" w:type="pct"/>
                  <w:noWrap w:val="0"/>
                  <w:vAlign w:val="center"/>
                </w:tcPr>
                <w:p>
                  <w:pPr>
                    <w:pStyle w:val="73"/>
                    <w:bidi w:val="0"/>
                    <w:rPr>
                      <w:rFonts w:hint="default"/>
                    </w:rPr>
                  </w:pPr>
                  <w:r>
                    <w:rPr>
                      <w:rFonts w:hint="eastAsia"/>
                      <w:lang w:val="en-US" w:eastAsia="zh-CN"/>
                    </w:rPr>
                    <w:t>0.4</w:t>
                  </w:r>
                  <w:r>
                    <w:rPr>
                      <w:rFonts w:hint="default"/>
                    </w:rPr>
                    <w:t>（mg/m</w:t>
                  </w:r>
                  <w:r>
                    <w:rPr>
                      <w:rFonts w:hint="default"/>
                      <w:vertAlign w:val="superscript"/>
                    </w:rPr>
                    <w:t>3</w:t>
                  </w:r>
                  <w:r>
                    <w:rPr>
                      <w:rFonts w:hint="default"/>
                    </w:rPr>
                    <w:t>）</w:t>
                  </w:r>
                </w:p>
              </w:tc>
              <w:tc>
                <w:tcPr>
                  <w:tcW w:w="782" w:type="pct"/>
                  <w:noWrap w:val="0"/>
                  <w:vAlign w:val="center"/>
                </w:tcPr>
                <w:p>
                  <w:pPr>
                    <w:pStyle w:val="73"/>
                    <w:bidi w:val="0"/>
                    <w:rPr>
                      <w:rFonts w:hint="default"/>
                    </w:rPr>
                  </w:pPr>
                  <w:r>
                    <w:rPr>
                      <w:rFonts w:hint="default"/>
                    </w:rPr>
                    <w:t>4（mg/m</w:t>
                  </w:r>
                  <w:r>
                    <w:rPr>
                      <w:rFonts w:hint="default"/>
                      <w:vertAlign w:val="superscript"/>
                    </w:rPr>
                    <w:t>3</w:t>
                  </w:r>
                  <w:r>
                    <w:rPr>
                      <w:rFonts w:hint="default"/>
                    </w:rPr>
                    <w:t>）</w:t>
                  </w:r>
                </w:p>
              </w:tc>
              <w:tc>
                <w:tcPr>
                  <w:tcW w:w="724" w:type="pct"/>
                  <w:noWrap w:val="0"/>
                  <w:vAlign w:val="center"/>
                </w:tcPr>
                <w:p>
                  <w:pPr>
                    <w:pStyle w:val="73"/>
                    <w:bidi w:val="0"/>
                    <w:rPr>
                      <w:rFonts w:hint="default"/>
                      <w:lang w:val="en-US" w:eastAsia="zh-CN"/>
                    </w:rPr>
                  </w:pPr>
                  <w:r>
                    <w:rPr>
                      <w:rFonts w:hint="eastAsia"/>
                      <w:lang w:val="en-US" w:eastAsia="zh-CN"/>
                    </w:rPr>
                    <w:t>10</w:t>
                  </w:r>
                </w:p>
              </w:tc>
              <w:tc>
                <w:tcPr>
                  <w:tcW w:w="529" w:type="pct"/>
                  <w:noWrap w:val="0"/>
                  <w:vAlign w:val="center"/>
                </w:tcPr>
                <w:p>
                  <w:pPr>
                    <w:pStyle w:val="73"/>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pPr>
                    <w:pStyle w:val="73"/>
                    <w:bidi w:val="0"/>
                    <w:rPr>
                      <w:rFonts w:hint="default"/>
                    </w:rPr>
                  </w:pPr>
                  <w:r>
                    <w:rPr>
                      <w:rFonts w:hint="default"/>
                    </w:rPr>
                    <w:t>O</w:t>
                  </w:r>
                  <w:r>
                    <w:rPr>
                      <w:rFonts w:hint="default"/>
                      <w:vertAlign w:val="subscript"/>
                    </w:rPr>
                    <w:t>3</w:t>
                  </w:r>
                </w:p>
              </w:tc>
              <w:tc>
                <w:tcPr>
                  <w:tcW w:w="1470" w:type="pct"/>
                  <w:noWrap w:val="0"/>
                  <w:vAlign w:val="center"/>
                </w:tcPr>
                <w:p>
                  <w:pPr>
                    <w:pStyle w:val="73"/>
                    <w:bidi w:val="0"/>
                    <w:rPr>
                      <w:rFonts w:hint="default"/>
                    </w:rPr>
                  </w:pPr>
                  <w:r>
                    <w:rPr>
                      <w:rFonts w:hint="default"/>
                    </w:rPr>
                    <w:t>第90百分位数日最大8小时评价</w:t>
                  </w:r>
                </w:p>
              </w:tc>
              <w:tc>
                <w:tcPr>
                  <w:tcW w:w="1002" w:type="pct"/>
                  <w:noWrap w:val="0"/>
                  <w:vAlign w:val="center"/>
                </w:tcPr>
                <w:p>
                  <w:pPr>
                    <w:pStyle w:val="73"/>
                    <w:bidi w:val="0"/>
                    <w:rPr>
                      <w:rFonts w:hint="default"/>
                      <w:lang w:val="en-US" w:eastAsia="zh-CN"/>
                    </w:rPr>
                  </w:pPr>
                  <w:r>
                    <w:rPr>
                      <w:rFonts w:hint="eastAsia"/>
                      <w:lang w:val="en-US" w:eastAsia="zh-CN"/>
                    </w:rPr>
                    <w:t>112</w:t>
                  </w:r>
                </w:p>
              </w:tc>
              <w:tc>
                <w:tcPr>
                  <w:tcW w:w="782" w:type="pct"/>
                  <w:noWrap w:val="0"/>
                  <w:vAlign w:val="center"/>
                </w:tcPr>
                <w:p>
                  <w:pPr>
                    <w:pStyle w:val="73"/>
                    <w:bidi w:val="0"/>
                    <w:rPr>
                      <w:rFonts w:hint="default"/>
                    </w:rPr>
                  </w:pPr>
                  <w:r>
                    <w:rPr>
                      <w:rFonts w:hint="default"/>
                    </w:rPr>
                    <w:t>160</w:t>
                  </w:r>
                </w:p>
              </w:tc>
              <w:tc>
                <w:tcPr>
                  <w:tcW w:w="724" w:type="pct"/>
                  <w:noWrap w:val="0"/>
                  <w:vAlign w:val="center"/>
                </w:tcPr>
                <w:p>
                  <w:pPr>
                    <w:pStyle w:val="73"/>
                    <w:bidi w:val="0"/>
                    <w:rPr>
                      <w:rFonts w:hint="default"/>
                      <w:lang w:val="en-US" w:eastAsia="zh-CN"/>
                    </w:rPr>
                  </w:pPr>
                  <w:r>
                    <w:rPr>
                      <w:rFonts w:hint="eastAsia"/>
                      <w:lang w:val="en-US" w:eastAsia="zh-CN"/>
                    </w:rPr>
                    <w:t>70</w:t>
                  </w:r>
                </w:p>
              </w:tc>
              <w:tc>
                <w:tcPr>
                  <w:tcW w:w="529" w:type="pct"/>
                  <w:noWrap w:val="0"/>
                  <w:vAlign w:val="center"/>
                </w:tcPr>
                <w:p>
                  <w:pPr>
                    <w:pStyle w:val="73"/>
                    <w:bidi w:val="0"/>
                    <w:rPr>
                      <w:rFonts w:hint="default"/>
                    </w:rPr>
                  </w:pPr>
                  <w:r>
                    <w:rPr>
                      <w:rFonts w:hint="default"/>
                    </w:rPr>
                    <w:t>达标</w:t>
                  </w:r>
                </w:p>
              </w:tc>
            </w:tr>
            <w:bookmarkEnd w:id="2"/>
          </w:tbl>
          <w:p>
            <w:pPr>
              <w:pStyle w:val="71"/>
              <w:bidi w:val="0"/>
              <w:rPr>
                <w:rFonts w:hint="eastAsia"/>
                <w:lang w:val="en-US" w:eastAsia="zh-CN"/>
              </w:rPr>
            </w:pPr>
            <w:r>
              <w:rPr>
                <w:rFonts w:hint="default"/>
                <w:lang w:val="en-US" w:eastAsia="zh-CN"/>
              </w:rPr>
              <w:t>从上表的分析结果可知，区域SO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、CO</w:t>
            </w:r>
            <w:r>
              <w:rPr>
                <w:rFonts w:hint="eastAsia"/>
                <w:lang w:val="en-US" w:eastAsia="zh-CN"/>
              </w:rPr>
              <w:t>、</w:t>
            </w:r>
            <w:r>
              <w:rPr>
                <w:rFonts w:hint="default"/>
                <w:lang w:val="en-US" w:eastAsia="zh-CN"/>
              </w:rPr>
              <w:t>O</w:t>
            </w:r>
            <w:r>
              <w:rPr>
                <w:rFonts w:hint="default"/>
                <w:vertAlign w:val="subscript"/>
                <w:lang w:val="en-US" w:eastAsia="zh-CN"/>
              </w:rPr>
              <w:t>3</w:t>
            </w:r>
            <w:r>
              <w:rPr>
                <w:rFonts w:hint="default"/>
                <w:lang w:val="en-US" w:eastAsia="zh-CN"/>
              </w:rPr>
              <w:t>均满足《环境空气质量标准》（GB3095</w:t>
            </w:r>
            <w:r>
              <w:rPr>
                <w:rFonts w:hint="eastAsia"/>
                <w:lang w:val="en-US" w:eastAsia="zh-CN"/>
              </w:rPr>
              <w:t>-</w:t>
            </w:r>
            <w:r>
              <w:rPr>
                <w:rFonts w:hint="default"/>
                <w:lang w:val="en-US" w:eastAsia="zh-CN"/>
              </w:rPr>
              <w:t>2012）及修改单中的二级标准要求；PM</w:t>
            </w:r>
            <w:r>
              <w:rPr>
                <w:rFonts w:hint="default"/>
                <w:vertAlign w:val="subscript"/>
                <w:lang w:val="en-US" w:eastAsia="zh-CN"/>
              </w:rPr>
              <w:t>2.5</w:t>
            </w:r>
            <w:r>
              <w:rPr>
                <w:rFonts w:hint="default"/>
                <w:lang w:val="en-US" w:eastAsia="zh-CN"/>
              </w:rPr>
              <w:t>第95百分位数日平均</w:t>
            </w:r>
            <w:r>
              <w:rPr>
                <w:rFonts w:hint="eastAsia"/>
                <w:lang w:val="en-US" w:eastAsia="zh-CN"/>
              </w:rPr>
              <w:t>、</w:t>
            </w:r>
            <w:r>
              <w:rPr>
                <w:rFonts w:hint="default"/>
                <w:lang w:val="en-US" w:eastAsia="zh-CN"/>
              </w:rPr>
              <w:t>年平均浓度</w:t>
            </w:r>
            <w:r>
              <w:rPr>
                <w:rFonts w:hint="eastAsia"/>
                <w:lang w:val="en-US" w:eastAsia="zh-CN"/>
              </w:rPr>
              <w:t>，</w:t>
            </w:r>
            <w:r>
              <w:rPr>
                <w:rFonts w:hint="default"/>
                <w:lang w:val="en-US" w:eastAsia="zh-CN"/>
              </w:rPr>
              <w:t>PM</w:t>
            </w:r>
            <w:r>
              <w:rPr>
                <w:rFonts w:hint="default"/>
                <w:vertAlign w:val="subscript"/>
                <w:lang w:val="en-US" w:eastAsia="zh-CN"/>
              </w:rPr>
              <w:t>10</w:t>
            </w:r>
            <w:r>
              <w:rPr>
                <w:rFonts w:hint="default"/>
                <w:lang w:val="en-US" w:eastAsia="zh-CN"/>
              </w:rPr>
              <w:t>的第95百分位数日平均、年平均浓度均超过《环境空气质量标准》（GB3095</w:t>
            </w:r>
            <w:r>
              <w:rPr>
                <w:rFonts w:hint="eastAsia"/>
                <w:lang w:val="en-US" w:eastAsia="zh-CN"/>
              </w:rPr>
              <w:t>-</w:t>
            </w:r>
            <w:r>
              <w:rPr>
                <w:rFonts w:hint="default"/>
                <w:lang w:val="en-US" w:eastAsia="zh-CN"/>
              </w:rPr>
              <w:t>2012）及修改单中二级标准要求，区域为不达标区域。导致PM</w:t>
            </w:r>
            <w:r>
              <w:rPr>
                <w:rFonts w:hint="default"/>
                <w:vertAlign w:val="subscript"/>
                <w:lang w:val="en-US" w:eastAsia="zh-CN"/>
              </w:rPr>
              <w:t>10</w:t>
            </w:r>
            <w:r>
              <w:rPr>
                <w:rFonts w:hint="default"/>
                <w:lang w:val="en-US" w:eastAsia="zh-CN"/>
              </w:rPr>
              <w:t>与PM</w:t>
            </w:r>
            <w:r>
              <w:rPr>
                <w:rFonts w:hint="default"/>
                <w:vertAlign w:val="subscript"/>
                <w:lang w:val="en-US" w:eastAsia="zh-CN"/>
              </w:rPr>
              <w:t>2.5</w:t>
            </w:r>
            <w:r>
              <w:rPr>
                <w:rFonts w:hint="default"/>
                <w:lang w:val="en-US" w:eastAsia="zh-CN"/>
              </w:rPr>
              <w:t>超标的主</w:t>
            </w:r>
            <w:r>
              <w:rPr>
                <w:rFonts w:hint="eastAsia"/>
                <w:lang w:val="en-US" w:eastAsia="zh-CN"/>
              </w:rPr>
              <w:t>要原因是项目区域地处干旱沙漠边缘，受自然因素的影响比较明显。</w:t>
            </w:r>
          </w:p>
          <w:p>
            <w:pPr>
              <w:pStyle w:val="71"/>
              <w:bidi w:val="0"/>
              <w:rPr>
                <w:rFonts w:hint="default"/>
                <w:lang w:val="en-US" w:eastAsia="zh-CN"/>
              </w:rPr>
            </w:pPr>
            <w:r>
              <w:rPr>
                <w:rFonts w:hint="default"/>
                <w:lang w:val="en-US" w:eastAsia="zh-CN"/>
              </w:rPr>
              <w:t>对于环境空气质量不达标区需提交《大气环境不达标区域削减方案》，根据《关于将巴音郭楞蒙古自治州 吐鲁番市 哈密市纳入执行</w:t>
            </w:r>
            <w:r>
              <w:rPr>
                <w:rFonts w:hint="eastAsia"/>
                <w:lang w:val="en-US" w:eastAsia="zh-CN"/>
              </w:rPr>
              <w:t>〈</w:t>
            </w:r>
            <w:r>
              <w:rPr>
                <w:rFonts w:hint="default"/>
                <w:lang w:val="en-US" w:eastAsia="zh-CN"/>
              </w:rPr>
              <w:t>环境影响评价技术导则大气环境（HJ2.2-2018）</w:t>
            </w:r>
            <w:r>
              <w:rPr>
                <w:rFonts w:hint="eastAsia"/>
                <w:lang w:val="en-US" w:eastAsia="zh-CN"/>
              </w:rPr>
              <w:t>〉</w:t>
            </w:r>
            <w:r>
              <w:rPr>
                <w:rFonts w:hint="default"/>
                <w:lang w:val="en-US" w:eastAsia="zh-CN"/>
              </w:rPr>
              <w:t>差别化政策范围的复函》（环办环评函</w:t>
            </w:r>
            <w:r>
              <w:rPr>
                <w:rFonts w:hint="eastAsia"/>
                <w:lang w:val="en-US" w:eastAsia="zh-CN"/>
              </w:rPr>
              <w:t>〔2020〕341号</w:t>
            </w:r>
            <w:r>
              <w:rPr>
                <w:rFonts w:hint="default"/>
                <w:lang w:val="en-US" w:eastAsia="zh-CN"/>
              </w:rPr>
              <w:t>），本地区新建项目可不提供颗粒物区域削减方案。</w:t>
            </w:r>
          </w:p>
          <w:p>
            <w:pPr>
              <w:pStyle w:val="2"/>
              <w:bidi w:val="0"/>
              <w:rPr>
                <w:rFonts w:hint="default"/>
              </w:rPr>
            </w:pPr>
            <w:r>
              <w:rPr>
                <w:rFonts w:hint="eastAsia"/>
                <w:lang w:val="en-US" w:eastAsia="zh-CN"/>
              </w:rPr>
              <w:t>2.</w:t>
            </w:r>
            <w:r>
              <w:rPr>
                <w:rFonts w:hint="default"/>
              </w:rPr>
              <w:t>地表水环境质量现状</w:t>
            </w:r>
          </w:p>
          <w:p>
            <w:pPr>
              <w:pStyle w:val="71"/>
              <w:bidi w:val="0"/>
              <w:rPr>
                <w:rFonts w:hint="default"/>
                <w:lang w:val="en-US" w:eastAsia="zh-CN"/>
              </w:rPr>
            </w:pPr>
            <w:r>
              <w:rPr>
                <w:rFonts w:hint="eastAsia"/>
                <w:lang w:val="en-US" w:eastAsia="zh-CN"/>
              </w:rPr>
              <w:t>项目区东侧900m为瓦石峡河，瓦石峡河为车尔臣河支流，水环境质量为Ⅱ类。根据《2023年巴音郭楞蒙古自治州生态环境状况公报》可知，全州有大小河流759条，其中主要河流有开都河、孔雀河、塔里木河、车尔臣河、迪那河、黄水沟；主要湖库有博斯腾湖、大石门水库、大西海子水库和西尼尔水库。全州6条主要河流的19个监测断面中，Ⅰ-Ⅲ类优良水质断面占100%，与上年度相比没有明显变化。其中，开都河、黄水沟、迪那河水环境质量为Ⅰ类，孔雀河、塔里木河、车尔臣河为Ⅱ类。博斯腾湖西半湖总体水质为Ⅲ类，东半湖总体水质为Ⅳ类，西尼尔水库水质为Ⅱ类，大西海子水库水质为Ⅲ类。</w:t>
            </w:r>
          </w:p>
          <w:p>
            <w:pPr>
              <w:pStyle w:val="70"/>
              <w:bidi w:val="0"/>
              <w:rPr>
                <w:rFonts w:hint="default"/>
              </w:rPr>
            </w:pPr>
            <w:r>
              <w:rPr>
                <w:rFonts w:hint="eastAsia"/>
                <w:lang w:val="en-US" w:eastAsia="zh-CN"/>
              </w:rPr>
              <w:t>3.</w:t>
            </w:r>
            <w:r>
              <w:rPr>
                <w:rFonts w:hint="default"/>
              </w:rPr>
              <w:t>声环境质量现状</w:t>
            </w:r>
          </w:p>
          <w:p>
            <w:pPr>
              <w:pStyle w:val="71"/>
              <w:bidi w:val="0"/>
              <w:rPr>
                <w:rFonts w:hint="default"/>
              </w:rPr>
            </w:pPr>
            <w:bookmarkStart w:id="3" w:name="_Toc114992899"/>
            <w:bookmarkStart w:id="4" w:name="_Toc114901141"/>
            <w:bookmarkStart w:id="5" w:name="_Toc121204268"/>
            <w:bookmarkStart w:id="6" w:name="_Toc115058960"/>
            <w:bookmarkStart w:id="7" w:name="_Toc202416484"/>
            <w:bookmarkStart w:id="8" w:name="_Toc114899018"/>
            <w:bookmarkStart w:id="9" w:name="_Toc201379747"/>
            <w:bookmarkStart w:id="10" w:name="_Toc115013620"/>
            <w:bookmarkStart w:id="11" w:name="_Toc114994231"/>
            <w:bookmarkStart w:id="12" w:name="_Toc115011917"/>
            <w:bookmarkStart w:id="13" w:name="_Toc201638610"/>
            <w:bookmarkStart w:id="14" w:name="_Toc114901284"/>
            <w:bookmarkStart w:id="15" w:name="_Toc121204918"/>
            <w:r>
              <w:rPr>
                <w:rFonts w:hint="default"/>
              </w:rPr>
              <w:t>根据《建设项目环境影响报告表编制技术指南（污染影响类）（试行）》，厂界外周边50</w:t>
            </w:r>
            <w:r>
              <w:rPr>
                <w:rFonts w:hint="default"/>
                <w:lang w:val="en-US" w:eastAsia="zh-CN"/>
              </w:rPr>
              <w:t>m</w:t>
            </w:r>
            <w:r>
              <w:rPr>
                <w:rFonts w:hint="default"/>
              </w:rPr>
              <w:t>范围内不存在声环境保护目标的建设项目，不需要对声环境质量现状</w:t>
            </w:r>
            <w:r>
              <w:rPr>
                <w:rFonts w:hint="eastAsia"/>
                <w:lang w:val="en-US" w:eastAsia="zh-CN"/>
              </w:rPr>
              <w:t>进行监测</w:t>
            </w:r>
            <w:r>
              <w:rPr>
                <w:rFonts w:hint="default"/>
              </w:rPr>
              <w:t>并评价达标情况。</w:t>
            </w:r>
          </w:p>
          <w:bookmarkEnd w:id="3"/>
          <w:bookmarkEnd w:id="4"/>
          <w:bookmarkEnd w:id="5"/>
          <w:bookmarkEnd w:id="6"/>
          <w:bookmarkEnd w:id="7"/>
          <w:bookmarkEnd w:id="8"/>
          <w:bookmarkEnd w:id="9"/>
          <w:bookmarkEnd w:id="10"/>
          <w:bookmarkEnd w:id="11"/>
          <w:bookmarkEnd w:id="12"/>
          <w:bookmarkEnd w:id="13"/>
          <w:bookmarkEnd w:id="14"/>
          <w:bookmarkEnd w:id="15"/>
          <w:p>
            <w:pPr>
              <w:pStyle w:val="70"/>
              <w:bidi w:val="0"/>
              <w:rPr>
                <w:rFonts w:hint="default"/>
              </w:rPr>
            </w:pPr>
            <w:r>
              <w:rPr>
                <w:rFonts w:hint="eastAsia"/>
                <w:lang w:val="en-US" w:eastAsia="zh-CN"/>
              </w:rPr>
              <w:t>4.</w:t>
            </w:r>
            <w:r>
              <w:rPr>
                <w:rFonts w:hint="default"/>
              </w:rPr>
              <w:t>地下水及土壤环境质量现状</w:t>
            </w:r>
          </w:p>
          <w:p>
            <w:pPr>
              <w:pStyle w:val="71"/>
              <w:bidi w:val="0"/>
              <w:rPr>
                <w:rFonts w:hint="default"/>
              </w:rPr>
            </w:pPr>
            <w:r>
              <w:rPr>
                <w:rFonts w:hint="default"/>
                <w:lang w:val="en-US" w:eastAsia="zh-CN"/>
              </w:rPr>
              <w:t>本项目为屠宰及肉类加工项目</w:t>
            </w:r>
            <w:r>
              <w:rPr>
                <w:rFonts w:hint="eastAsia"/>
                <w:lang w:val="en-US" w:eastAsia="zh-CN"/>
              </w:rPr>
              <w:t>，根据《环境影响评价技术导则－地下水环境》（HJ610-2016），属于附录A中：98.屠宰，地下水环境影响评价项目类别为Ⅳ类。</w:t>
            </w:r>
            <w:r>
              <w:rPr>
                <w:rFonts w:hint="default"/>
                <w:lang w:eastAsia="zh-CN"/>
              </w:rPr>
              <w:t>根据《环境影响评价技术导则 土壤环境》（HJ964-2018）</w:t>
            </w:r>
            <w:r>
              <w:rPr>
                <w:rFonts w:hint="default"/>
                <w:lang w:val="en-US" w:eastAsia="zh-CN"/>
              </w:rPr>
              <w:t>，</w:t>
            </w:r>
            <w:r>
              <w:rPr>
                <w:rFonts w:hint="default"/>
                <w:lang w:eastAsia="zh-CN"/>
              </w:rPr>
              <w:t>属于</w:t>
            </w:r>
            <w:r>
              <w:rPr>
                <w:rFonts w:hint="eastAsia"/>
                <w:lang w:eastAsia="zh-CN"/>
              </w:rPr>
              <w:t>“</w:t>
            </w:r>
            <w:r>
              <w:rPr>
                <w:rFonts w:hint="default"/>
                <w:lang w:eastAsia="zh-CN"/>
              </w:rPr>
              <w:t>其他行业－</w:t>
            </w:r>
            <w:r>
              <w:rPr>
                <w:rFonts w:hint="default"/>
                <w:lang w:val="en-US" w:eastAsia="zh-CN"/>
              </w:rPr>
              <w:t>全部</w:t>
            </w:r>
            <w:r>
              <w:rPr>
                <w:rFonts w:hint="eastAsia"/>
                <w:lang w:eastAsia="zh-CN"/>
              </w:rPr>
              <w:t>”</w:t>
            </w:r>
            <w:r>
              <w:rPr>
                <w:rFonts w:hint="default"/>
                <w:lang w:eastAsia="zh-CN"/>
              </w:rPr>
              <w:t>，为Ⅳ类项目</w:t>
            </w:r>
            <w:r>
              <w:rPr>
                <w:rFonts w:hint="eastAsia"/>
                <w:lang w:eastAsia="zh-CN"/>
              </w:rPr>
              <w:t>，</w:t>
            </w:r>
            <w:r>
              <w:rPr>
                <w:rFonts w:hint="eastAsia"/>
                <w:lang w:val="en-US" w:eastAsia="zh-CN"/>
              </w:rPr>
              <w:t>因此</w:t>
            </w:r>
            <w:r>
              <w:rPr>
                <w:rFonts w:hint="default"/>
                <w:lang w:eastAsia="zh-CN"/>
              </w:rPr>
              <w:t>可不开展</w:t>
            </w:r>
            <w:r>
              <w:rPr>
                <w:rFonts w:hint="eastAsia"/>
                <w:lang w:val="en-US" w:eastAsia="zh-CN"/>
              </w:rPr>
              <w:t>地下水及</w:t>
            </w:r>
            <w:r>
              <w:rPr>
                <w:rFonts w:hint="default"/>
                <w:lang w:eastAsia="zh-CN"/>
              </w:rPr>
              <w:t>土壤</w:t>
            </w:r>
            <w:r>
              <w:rPr>
                <w:rFonts w:hint="default"/>
                <w:lang w:val="en-US" w:eastAsia="zh-CN"/>
              </w:rPr>
              <w:t>现状调查</w:t>
            </w:r>
            <w:r>
              <w:rPr>
                <w:rFonts w:hint="default"/>
                <w:lang w:eastAsia="zh-CN"/>
              </w:rPr>
              <w:t>。</w:t>
            </w:r>
          </w:p>
          <w:p>
            <w:pPr>
              <w:pStyle w:val="70"/>
              <w:bidi w:val="0"/>
              <w:rPr>
                <w:rFonts w:hint="default"/>
              </w:rPr>
            </w:pPr>
            <w:r>
              <w:rPr>
                <w:rFonts w:hint="eastAsia"/>
                <w:lang w:val="en-US" w:eastAsia="zh-CN"/>
              </w:rPr>
              <w:t>5.</w:t>
            </w:r>
            <w:r>
              <w:rPr>
                <w:rFonts w:hint="default"/>
              </w:rPr>
              <w:t>生态环境现状与评价</w:t>
            </w:r>
          </w:p>
          <w:p>
            <w:pPr>
              <w:pStyle w:val="71"/>
              <w:bidi w:val="0"/>
              <w:rPr>
                <w:rFonts w:hint="default" w:ascii="Times New Roman" w:hAnsi="Times New Roman" w:eastAsia="宋体" w:cs="Times New Roman"/>
                <w:kern w:val="0"/>
                <w:szCs w:val="21"/>
                <w:lang w:eastAsia="zh-CN"/>
              </w:rPr>
            </w:pPr>
            <w:r>
              <w:rPr>
                <w:rFonts w:hint="default"/>
              </w:rPr>
              <w:t>根据《建设项目环境影响报告表编制技术指南（污染影响类）（试行）》，产业园区外建设项目新增用地且用地范围内含有生态环境保护目标时，应进行生态现状调查。本项目位于</w:t>
            </w:r>
            <w:r>
              <w:rPr>
                <w:rFonts w:hint="eastAsia"/>
                <w:lang w:val="en-US" w:eastAsia="zh-CN"/>
              </w:rPr>
              <w:t>若羌县瓦石峡镇</w:t>
            </w:r>
            <w:r>
              <w:rPr>
                <w:rFonts w:hint="default"/>
              </w:rPr>
              <w:t>，用地范围内不含有生态环境保护目标，因此无需进行生态现状调查。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环境</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保护</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目标</w:t>
            </w:r>
          </w:p>
        </w:tc>
        <w:tc>
          <w:tcPr>
            <w:tcW w:w="8190" w:type="dxa"/>
            <w:noWrap w:val="0"/>
            <w:vAlign w:val="center"/>
          </w:tcPr>
          <w:p>
            <w:pPr>
              <w:pStyle w:val="70"/>
              <w:bidi w:val="0"/>
              <w:rPr>
                <w:rFonts w:hint="default"/>
              </w:rPr>
            </w:pPr>
            <w:r>
              <w:rPr>
                <w:rFonts w:hint="eastAsia"/>
                <w:lang w:val="en-US" w:eastAsia="zh-CN"/>
              </w:rPr>
              <w:t>1.</w:t>
            </w:r>
            <w:r>
              <w:rPr>
                <w:rFonts w:hint="default"/>
              </w:rPr>
              <w:t>大气环境</w:t>
            </w:r>
          </w:p>
          <w:p>
            <w:pPr>
              <w:pStyle w:val="71"/>
              <w:bidi w:val="0"/>
              <w:rPr>
                <w:rFonts w:hint="eastAsia"/>
                <w:highlight w:val="none"/>
                <w:lang w:val="en-US" w:eastAsia="zh-CN"/>
              </w:rPr>
            </w:pPr>
            <w:r>
              <w:rPr>
                <w:rFonts w:hint="default"/>
              </w:rPr>
              <w:t>根据</w:t>
            </w:r>
            <w:r>
              <w:rPr>
                <w:rFonts w:hint="eastAsia"/>
                <w:lang w:val="en-US" w:eastAsia="zh-CN"/>
              </w:rPr>
              <w:t>现状调查，</w:t>
            </w:r>
            <w:r>
              <w:rPr>
                <w:rFonts w:hint="default"/>
              </w:rPr>
              <w:t>本项目厂界外500m范围内</w:t>
            </w:r>
            <w:r>
              <w:rPr>
                <w:rFonts w:hint="default"/>
                <w:lang w:eastAsia="zh-CN"/>
              </w:rPr>
              <w:t>无</w:t>
            </w:r>
            <w:r>
              <w:rPr>
                <w:rFonts w:hint="default"/>
                <w:lang w:val="en-US" w:eastAsia="zh-CN"/>
              </w:rPr>
              <w:t>自然保护区、风景名胜区</w:t>
            </w:r>
            <w:r>
              <w:rPr>
                <w:rFonts w:hint="eastAsia"/>
                <w:lang w:val="en-US" w:eastAsia="zh-CN"/>
              </w:rPr>
              <w:t>。主要环境保护目标为居住区。大气环境保护目标具体情况见下表。保护目标</w:t>
            </w:r>
            <w:r>
              <w:rPr>
                <w:rFonts w:hint="eastAsia"/>
                <w:highlight w:val="none"/>
                <w:lang w:val="en-US" w:eastAsia="zh-CN"/>
              </w:rPr>
              <w:t>具体位置见附图。</w:t>
            </w:r>
          </w:p>
          <w:p>
            <w:pPr>
              <w:pStyle w:val="72"/>
              <w:bidi w:val="0"/>
              <w:rPr>
                <w:rFonts w:hint="eastAsia"/>
                <w:highlight w:val="none"/>
                <w:lang w:val="en-US" w:eastAsia="zh-CN"/>
              </w:rPr>
            </w:pPr>
          </w:p>
          <w:p>
            <w:pPr>
              <w:pStyle w:val="72"/>
              <w:bidi w:val="0"/>
              <w:rPr>
                <w:rFonts w:hint="eastAsia"/>
                <w:highlight w:val="none"/>
                <w:lang w:val="en-US" w:eastAsia="zh-CN"/>
              </w:rPr>
            </w:pPr>
            <w:r>
              <w:rPr>
                <w:rFonts w:hint="eastAsia"/>
                <w:highlight w:val="none"/>
                <w:lang w:val="en-US" w:eastAsia="zh-CN"/>
              </w:rPr>
              <w:t>表3-2   环境空气保护目标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507"/>
              <w:gridCol w:w="693"/>
              <w:gridCol w:w="1250"/>
              <w:gridCol w:w="1287"/>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47" w:type="dxa"/>
                  <w:vAlign w:val="center"/>
                </w:tcPr>
                <w:p>
                  <w:pPr>
                    <w:pStyle w:val="69"/>
                    <w:bidi w:val="0"/>
                    <w:rPr>
                      <w:rFonts w:hint="default"/>
                      <w:lang w:val="en-US" w:eastAsia="zh-CN"/>
                    </w:rPr>
                  </w:pPr>
                  <w:r>
                    <w:rPr>
                      <w:rFonts w:hint="eastAsia"/>
                      <w:lang w:val="en-US" w:eastAsia="zh-CN"/>
                    </w:rPr>
                    <w:t>环境要素</w:t>
                  </w:r>
                </w:p>
              </w:tc>
              <w:tc>
                <w:tcPr>
                  <w:tcW w:w="1507" w:type="dxa"/>
                  <w:vAlign w:val="center"/>
                </w:tcPr>
                <w:p>
                  <w:pPr>
                    <w:pStyle w:val="69"/>
                    <w:bidi w:val="0"/>
                    <w:rPr>
                      <w:rFonts w:hint="default"/>
                      <w:lang w:val="en-US" w:eastAsia="zh-CN"/>
                    </w:rPr>
                  </w:pPr>
                  <w:r>
                    <w:rPr>
                      <w:rFonts w:hint="eastAsia"/>
                      <w:lang w:val="en-US" w:eastAsia="zh-CN"/>
                    </w:rPr>
                    <w:t>保护目标名称</w:t>
                  </w:r>
                </w:p>
              </w:tc>
              <w:tc>
                <w:tcPr>
                  <w:tcW w:w="693" w:type="dxa"/>
                  <w:vAlign w:val="center"/>
                </w:tcPr>
                <w:p>
                  <w:pPr>
                    <w:pStyle w:val="69"/>
                    <w:bidi w:val="0"/>
                    <w:rPr>
                      <w:rFonts w:hint="default"/>
                      <w:lang w:val="en-US" w:eastAsia="zh-CN"/>
                    </w:rPr>
                  </w:pPr>
                  <w:r>
                    <w:rPr>
                      <w:rFonts w:hint="eastAsia"/>
                      <w:lang w:val="en-US" w:eastAsia="zh-CN"/>
                    </w:rPr>
                    <w:t>方位</w:t>
                  </w:r>
                </w:p>
              </w:tc>
              <w:tc>
                <w:tcPr>
                  <w:tcW w:w="1250" w:type="dxa"/>
                  <w:vAlign w:val="center"/>
                </w:tcPr>
                <w:p>
                  <w:pPr>
                    <w:pStyle w:val="69"/>
                    <w:bidi w:val="0"/>
                    <w:rPr>
                      <w:rFonts w:hint="default"/>
                      <w:lang w:val="en-US" w:eastAsia="zh-CN"/>
                    </w:rPr>
                  </w:pPr>
                  <w:r>
                    <w:rPr>
                      <w:rFonts w:hint="eastAsia"/>
                      <w:lang w:val="en-US" w:eastAsia="zh-CN"/>
                    </w:rPr>
                    <w:t>距离项目边界（m）</w:t>
                  </w:r>
                </w:p>
              </w:tc>
              <w:tc>
                <w:tcPr>
                  <w:tcW w:w="1287" w:type="dxa"/>
                  <w:vAlign w:val="center"/>
                </w:tcPr>
                <w:p>
                  <w:pPr>
                    <w:pStyle w:val="69"/>
                    <w:bidi w:val="0"/>
                    <w:rPr>
                      <w:rFonts w:hint="default"/>
                      <w:lang w:val="en-US" w:eastAsia="zh-CN"/>
                    </w:rPr>
                  </w:pPr>
                  <w:r>
                    <w:rPr>
                      <w:rFonts w:hint="eastAsia"/>
                      <w:lang w:val="en-US" w:eastAsia="zh-CN"/>
                    </w:rPr>
                    <w:t>受影响人口</w:t>
                  </w:r>
                </w:p>
              </w:tc>
              <w:tc>
                <w:tcPr>
                  <w:tcW w:w="2080" w:type="dxa"/>
                  <w:vAlign w:val="center"/>
                </w:tcPr>
                <w:p>
                  <w:pPr>
                    <w:pStyle w:val="69"/>
                    <w:bidi w:val="0"/>
                    <w:rPr>
                      <w:rFonts w:hint="default"/>
                      <w:lang w:val="en-US" w:eastAsia="zh-CN"/>
                    </w:rPr>
                  </w:pPr>
                  <w:r>
                    <w:rPr>
                      <w:rFonts w:hint="eastAsia"/>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47" w:type="dxa"/>
                  <w:vAlign w:val="center"/>
                </w:tcPr>
                <w:p>
                  <w:pPr>
                    <w:pStyle w:val="69"/>
                    <w:bidi w:val="0"/>
                    <w:rPr>
                      <w:rFonts w:hint="default"/>
                      <w:lang w:val="en-US" w:eastAsia="zh-CN"/>
                    </w:rPr>
                  </w:pPr>
                  <w:r>
                    <w:rPr>
                      <w:rFonts w:hint="eastAsia"/>
                      <w:lang w:val="en-US" w:eastAsia="zh-CN"/>
                    </w:rPr>
                    <w:t>大气环境</w:t>
                  </w:r>
                </w:p>
              </w:tc>
              <w:tc>
                <w:tcPr>
                  <w:tcW w:w="1507" w:type="dxa"/>
                  <w:vAlign w:val="center"/>
                </w:tcPr>
                <w:p>
                  <w:pPr>
                    <w:pStyle w:val="69"/>
                    <w:bidi w:val="0"/>
                    <w:rPr>
                      <w:rFonts w:hint="default"/>
                      <w:lang w:val="en-US" w:eastAsia="zh-CN"/>
                    </w:rPr>
                  </w:pPr>
                  <w:r>
                    <w:rPr>
                      <w:rFonts w:hint="default"/>
                      <w:lang w:val="en-US" w:eastAsia="zh-CN"/>
                    </w:rPr>
                    <w:t>博斯坦村民小组</w:t>
                  </w:r>
                </w:p>
              </w:tc>
              <w:tc>
                <w:tcPr>
                  <w:tcW w:w="693" w:type="dxa"/>
                  <w:vAlign w:val="center"/>
                </w:tcPr>
                <w:p>
                  <w:pPr>
                    <w:pStyle w:val="69"/>
                    <w:bidi w:val="0"/>
                    <w:rPr>
                      <w:rFonts w:hint="default"/>
                      <w:lang w:val="en-US" w:eastAsia="zh-CN"/>
                    </w:rPr>
                  </w:pPr>
                  <w:r>
                    <w:rPr>
                      <w:rFonts w:hint="eastAsia"/>
                      <w:lang w:val="en-US" w:eastAsia="zh-CN"/>
                    </w:rPr>
                    <w:t>东侧</w:t>
                  </w:r>
                </w:p>
              </w:tc>
              <w:tc>
                <w:tcPr>
                  <w:tcW w:w="1250" w:type="dxa"/>
                  <w:vAlign w:val="center"/>
                </w:tcPr>
                <w:p>
                  <w:pPr>
                    <w:pStyle w:val="69"/>
                    <w:bidi w:val="0"/>
                    <w:rPr>
                      <w:rFonts w:hint="default"/>
                      <w:lang w:val="en-US" w:eastAsia="zh-CN"/>
                    </w:rPr>
                  </w:pPr>
                  <w:r>
                    <w:rPr>
                      <w:rFonts w:hint="eastAsia"/>
                      <w:lang w:val="en-US" w:eastAsia="zh-CN"/>
                    </w:rPr>
                    <w:t>157</w:t>
                  </w:r>
                </w:p>
              </w:tc>
              <w:tc>
                <w:tcPr>
                  <w:tcW w:w="1287" w:type="dxa"/>
                  <w:vAlign w:val="center"/>
                </w:tcPr>
                <w:p>
                  <w:pPr>
                    <w:pStyle w:val="69"/>
                    <w:bidi w:val="0"/>
                    <w:rPr>
                      <w:rFonts w:hint="default"/>
                      <w:lang w:val="en-US" w:eastAsia="zh-CN"/>
                    </w:rPr>
                  </w:pPr>
                  <w:r>
                    <w:rPr>
                      <w:rFonts w:hint="eastAsia"/>
                      <w:lang w:val="en-US" w:eastAsia="zh-CN"/>
                    </w:rPr>
                    <w:t>约87人</w:t>
                  </w:r>
                </w:p>
              </w:tc>
              <w:tc>
                <w:tcPr>
                  <w:tcW w:w="2080" w:type="dxa"/>
                  <w:vAlign w:val="center"/>
                </w:tcPr>
                <w:p>
                  <w:pPr>
                    <w:pStyle w:val="69"/>
                    <w:bidi w:val="0"/>
                    <w:rPr>
                      <w:rFonts w:hint="default"/>
                      <w:lang w:val="en-US" w:eastAsia="zh-CN"/>
                    </w:rPr>
                  </w:pPr>
                  <w:r>
                    <w:rPr>
                      <w:rFonts w:hint="eastAsia"/>
                      <w:lang w:val="en-US" w:eastAsia="zh-CN"/>
                    </w:rPr>
                    <w:t>《环境空气质量标准》（GB3095-2012）的二级标准</w:t>
                  </w:r>
                </w:p>
              </w:tc>
            </w:tr>
          </w:tbl>
          <w:p>
            <w:pPr>
              <w:pStyle w:val="70"/>
              <w:bidi w:val="0"/>
              <w:rPr>
                <w:rFonts w:hint="default"/>
              </w:rPr>
            </w:pPr>
            <w:r>
              <w:rPr>
                <w:rFonts w:hint="eastAsia"/>
                <w:lang w:val="en-US" w:eastAsia="zh-CN"/>
              </w:rPr>
              <w:t>2.</w:t>
            </w:r>
            <w:r>
              <w:rPr>
                <w:rFonts w:hint="default"/>
              </w:rPr>
              <w:t>地下水环境</w:t>
            </w:r>
          </w:p>
          <w:p>
            <w:pPr>
              <w:pStyle w:val="71"/>
              <w:bidi w:val="0"/>
              <w:rPr>
                <w:rFonts w:hint="default" w:ascii="Times New Roman" w:hAnsi="Times New Roman" w:eastAsia="宋体" w:cs="Times New Roman"/>
                <w:lang w:val="en-US" w:eastAsia="zh-CN"/>
              </w:rPr>
            </w:pPr>
            <w:r>
              <w:rPr>
                <w:rFonts w:hint="default"/>
              </w:rPr>
              <w:t>根据《建设项目环境影响报告表编制技术指南（污染影响型）（试行）》指南要求，本项目厂界外500m范围内无地下水集中式</w:t>
            </w:r>
            <w:r>
              <w:rPr>
                <w:rFonts w:hint="default"/>
                <w:lang w:eastAsia="zh-CN"/>
              </w:rPr>
              <w:t>饮用</w:t>
            </w:r>
            <w:r>
              <w:rPr>
                <w:rFonts w:hint="default"/>
              </w:rPr>
              <w:t>水水源和热水、矿泉水、温泉等特殊地下水资源。</w:t>
            </w:r>
          </w:p>
          <w:p>
            <w:pPr>
              <w:pStyle w:val="70"/>
              <w:bidi w:val="0"/>
              <w:rPr>
                <w:rFonts w:hint="default"/>
              </w:rPr>
            </w:pPr>
            <w:r>
              <w:rPr>
                <w:rFonts w:hint="eastAsia"/>
                <w:lang w:val="en-US" w:eastAsia="zh-CN"/>
              </w:rPr>
              <w:t>3.</w:t>
            </w:r>
            <w:r>
              <w:rPr>
                <w:rFonts w:hint="default"/>
              </w:rPr>
              <w:t>声环境</w:t>
            </w:r>
          </w:p>
          <w:p>
            <w:pPr>
              <w:pStyle w:val="71"/>
              <w:bidi w:val="0"/>
              <w:rPr>
                <w:rFonts w:hint="default" w:ascii="Times New Roman" w:hAnsi="Times New Roman" w:eastAsia="宋体" w:cs="Times New Roman"/>
              </w:rPr>
            </w:pPr>
            <w:r>
              <w:rPr>
                <w:rFonts w:hint="default"/>
              </w:rPr>
              <w:t>根据《建设项目环境影响报告表编制技术指南（污染影响型）（试行）》指南要求，调查到本项目厂界外50m范围内无</w:t>
            </w:r>
            <w:r>
              <w:rPr>
                <w:rFonts w:hint="default"/>
                <w:lang w:val="en-US" w:eastAsia="zh-CN"/>
              </w:rPr>
              <w:t>声环境</w:t>
            </w:r>
            <w:r>
              <w:rPr>
                <w:rFonts w:hint="default"/>
              </w:rPr>
              <w:t>保护目标。</w:t>
            </w:r>
          </w:p>
          <w:p>
            <w:pPr>
              <w:pStyle w:val="70"/>
              <w:bidi w:val="0"/>
              <w:rPr>
                <w:rFonts w:hint="default"/>
              </w:rPr>
            </w:pPr>
            <w:r>
              <w:rPr>
                <w:rFonts w:hint="eastAsia"/>
                <w:lang w:val="en-US" w:eastAsia="zh-CN"/>
              </w:rPr>
              <w:t>4.</w:t>
            </w:r>
            <w:r>
              <w:rPr>
                <w:rFonts w:hint="default"/>
              </w:rPr>
              <w:t>生态环境</w:t>
            </w:r>
          </w:p>
          <w:p>
            <w:pPr>
              <w:pStyle w:val="71"/>
              <w:bidi w:val="0"/>
              <w:rPr>
                <w:rFonts w:hint="default"/>
                <w:lang w:val="en-US"/>
              </w:rPr>
            </w:pPr>
            <w:r>
              <w:rPr>
                <w:rFonts w:hint="default"/>
                <w:lang w:val="en-US" w:eastAsia="zh-CN"/>
              </w:rPr>
              <w:t>根据《建设项目环境影响报告表编制技术指南（污染影响类）（试行）》，本项目用地范围内无生态环境保护目标，可不进行生态现状调查</w:t>
            </w:r>
            <w:r>
              <w:rPr>
                <w:rFonts w:hint="defaul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污染物排放控制标准</w:t>
            </w:r>
          </w:p>
        </w:tc>
        <w:tc>
          <w:tcPr>
            <w:tcW w:w="8190" w:type="dxa"/>
            <w:noWrap w:val="0"/>
            <w:vAlign w:val="center"/>
          </w:tcPr>
          <w:p>
            <w:pPr>
              <w:pStyle w:val="70"/>
              <w:bidi w:val="0"/>
              <w:rPr>
                <w:rFonts w:hint="default"/>
              </w:rPr>
            </w:pPr>
            <w:r>
              <w:rPr>
                <w:rFonts w:hint="eastAsia"/>
                <w:lang w:val="en-US" w:eastAsia="zh-CN"/>
              </w:rPr>
              <w:t>1.</w:t>
            </w:r>
            <w:r>
              <w:rPr>
                <w:rFonts w:hint="default"/>
              </w:rPr>
              <w:t>废气</w:t>
            </w:r>
          </w:p>
          <w:p>
            <w:pPr>
              <w:pStyle w:val="75"/>
              <w:keepNext w:val="0"/>
              <w:keepLines w:val="0"/>
              <w:suppressLineNumbers w:val="0"/>
              <w:bidi w:val="0"/>
              <w:spacing w:before="0" w:beforeAutospacing="0" w:after="0" w:afterAutospacing="0"/>
              <w:ind w:left="0" w:right="0"/>
              <w:rPr>
                <w:rFonts w:hint="eastAsia" w:cs="Times New Roman"/>
                <w:lang w:val="en-US" w:eastAsia="zh-CN"/>
              </w:rPr>
            </w:pPr>
            <w:r>
              <w:rPr>
                <w:rFonts w:hint="eastAsia" w:cs="Times New Roman"/>
                <w:lang w:val="en-US" w:eastAsia="zh-CN"/>
              </w:rPr>
              <w:t>（1）</w:t>
            </w:r>
            <w:r>
              <w:rPr>
                <w:rFonts w:hint="default" w:cs="Times New Roman"/>
                <w:lang w:val="en-US" w:eastAsia="zh-CN"/>
              </w:rPr>
              <w:t>施工期扬尘执行《大气污染物综合排放标准》（GB16297—1996）颗粒物厂区周边浓度限值</w:t>
            </w:r>
            <w:r>
              <w:rPr>
                <w:rFonts w:hint="eastAsia" w:cs="Times New Roman"/>
                <w:lang w:val="en-US" w:eastAsia="zh-CN"/>
              </w:rPr>
              <w:t>，排放标准见下表。</w:t>
            </w:r>
          </w:p>
          <w:p>
            <w:pPr>
              <w:pStyle w:val="72"/>
              <w:bidi w:val="0"/>
              <w:rPr>
                <w:rFonts w:hint="default"/>
                <w:lang w:val="en-US" w:eastAsia="zh-CN"/>
              </w:rPr>
            </w:pPr>
            <w:r>
              <w:rPr>
                <w:rFonts w:hint="eastAsia"/>
                <w:lang w:val="en-US" w:eastAsia="zh-CN"/>
              </w:rPr>
              <w:t>表3-3   施工期无组织废气执行标准   单位：</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bl>
            <w:tblPr>
              <w:tblStyle w:val="25"/>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2633"/>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eastAsia" w:cs="Times New Roman"/>
                      <w:lang w:val="en-US" w:eastAsia="zh-CN"/>
                    </w:rPr>
                    <w:t>污染物</w:t>
                  </w:r>
                </w:p>
              </w:tc>
              <w:tc>
                <w:tcPr>
                  <w:tcW w:w="2633" w:type="dxa"/>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default" w:ascii="Times New Roman" w:hAnsi="Times New Roman" w:cs="Times New Roman"/>
                      <w:color w:val="auto"/>
                      <w:sz w:val="21"/>
                      <w:szCs w:val="21"/>
                    </w:rPr>
                    <w:t>限值</w:t>
                  </w:r>
                </w:p>
              </w:tc>
              <w:tc>
                <w:tcPr>
                  <w:tcW w:w="2845" w:type="dxa"/>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default" w:ascii="Times New Roman" w:hAnsi="Times New Roman" w:cs="Times New Roman"/>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default" w:ascii="Times New Roman" w:hAnsi="Times New Roman" w:cs="Times New Roman"/>
                      <w:color w:val="auto"/>
                      <w:sz w:val="21"/>
                      <w:szCs w:val="21"/>
                    </w:rPr>
                    <w:t>颗粒物</w:t>
                  </w:r>
                </w:p>
              </w:tc>
              <w:tc>
                <w:tcPr>
                  <w:tcW w:w="2633" w:type="dxa"/>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default" w:ascii="Times New Roman" w:hAnsi="Times New Roman" w:cs="Times New Roman"/>
                      <w:color w:val="auto"/>
                      <w:sz w:val="21"/>
                      <w:szCs w:val="21"/>
                    </w:rPr>
                    <w:t>1</w:t>
                  </w:r>
                </w:p>
              </w:tc>
              <w:tc>
                <w:tcPr>
                  <w:tcW w:w="2845" w:type="dxa"/>
                  <w:noWrap w:val="0"/>
                  <w:vAlign w:val="center"/>
                </w:tcPr>
                <w:p>
                  <w:pPr>
                    <w:pStyle w:val="76"/>
                    <w:keepNext w:val="0"/>
                    <w:keepLines w:val="0"/>
                    <w:suppressLineNumbers w:val="0"/>
                    <w:bidi w:val="0"/>
                    <w:spacing w:before="0" w:beforeAutospacing="0" w:after="0" w:afterAutospacing="0"/>
                    <w:ind w:left="0" w:right="0"/>
                    <w:jc w:val="center"/>
                    <w:rPr>
                      <w:rFonts w:hint="eastAsia" w:cs="Times New Roman"/>
                      <w:lang w:val="en-US" w:eastAsia="zh-CN"/>
                    </w:rPr>
                  </w:pPr>
                  <w:r>
                    <w:rPr>
                      <w:rFonts w:hint="default" w:ascii="Times New Roman" w:hAnsi="Times New Roman" w:cs="Times New Roman"/>
                      <w:color w:val="auto"/>
                      <w:sz w:val="21"/>
                      <w:szCs w:val="21"/>
                    </w:rPr>
                    <w:t>《大气污染物综合排放标准》（GB16297-1996）</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运营期</w:t>
            </w:r>
            <w:r>
              <w:rPr>
                <w:rFonts w:hint="eastAsia" w:cs="Times New Roman"/>
                <w:sz w:val="24"/>
                <w:szCs w:val="24"/>
                <w:lang w:val="en-US" w:eastAsia="zh-CN"/>
              </w:rPr>
              <w:t>废气主要为待宰圈、屠宰车间产生的</w:t>
            </w:r>
            <w:r>
              <w:rPr>
                <w:rFonts w:hint="default" w:ascii="Times New Roman" w:hAnsi="Times New Roman" w:eastAsia="宋体" w:cs="Times New Roman"/>
                <w:sz w:val="24"/>
                <w:szCs w:val="24"/>
                <w:lang w:val="en-US" w:eastAsia="zh-CN"/>
              </w:rPr>
              <w:t>H</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S、NH</w:t>
            </w:r>
            <w:r>
              <w:rPr>
                <w:rFonts w:hint="default" w:ascii="Times New Roman" w:hAnsi="Times New Roman" w:eastAsia="宋体" w:cs="Times New Roman"/>
                <w:sz w:val="24"/>
                <w:szCs w:val="24"/>
                <w:vertAlign w:val="subscript"/>
                <w:lang w:val="en-US" w:eastAsia="zh-CN"/>
              </w:rPr>
              <w:t>3</w:t>
            </w:r>
            <w:r>
              <w:rPr>
                <w:rFonts w:hint="default" w:ascii="Times New Roman" w:hAnsi="Times New Roman" w:eastAsia="宋体" w:cs="Times New Roman"/>
                <w:sz w:val="24"/>
                <w:szCs w:val="24"/>
                <w:lang w:val="en-US" w:eastAsia="zh-CN"/>
              </w:rPr>
              <w:t>、臭气浓度</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无组织排放执行《恶臭污染物排放标准》（GB14554-93）表1中新扩改建二级标准</w:t>
            </w:r>
            <w:r>
              <w:rPr>
                <w:rFonts w:hint="default" w:ascii="Times New Roman" w:hAnsi="Times New Roman" w:cs="Times New Roman"/>
                <w:sz w:val="24"/>
                <w:szCs w:val="24"/>
                <w:lang w:val="en-US" w:eastAsia="zh-CN"/>
              </w:rPr>
              <w:t>。</w:t>
            </w:r>
          </w:p>
          <w:p>
            <w:pPr>
              <w:pStyle w:val="72"/>
              <w:bidi w:val="0"/>
              <w:rPr>
                <w:rFonts w:hint="default"/>
                <w:lang w:val="en-US" w:eastAsia="zh-CN"/>
              </w:rPr>
            </w:pPr>
            <w:r>
              <w:rPr>
                <w:rFonts w:hint="default"/>
                <w:lang w:val="en-US" w:eastAsia="zh-CN"/>
              </w:rPr>
              <w:t>表3-</w:t>
            </w:r>
            <w:r>
              <w:rPr>
                <w:rFonts w:hint="eastAsia"/>
                <w:lang w:val="en-US" w:eastAsia="zh-CN"/>
              </w:rPr>
              <w:t xml:space="preserve">4   </w:t>
            </w:r>
            <w:r>
              <w:rPr>
                <w:rFonts w:hint="default"/>
                <w:lang w:val="en-US" w:eastAsia="zh-CN"/>
              </w:rPr>
              <w:t>恶臭污染物厂界排放标准</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2435"/>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noWrap w:val="0"/>
                  <w:vAlign w:val="center"/>
                </w:tcPr>
                <w:p>
                  <w:pPr>
                    <w:pStyle w:val="69"/>
                    <w:bidi w:val="0"/>
                    <w:rPr>
                      <w:rFonts w:hint="default"/>
                      <w:lang w:val="en-US" w:eastAsia="zh-CN"/>
                    </w:rPr>
                  </w:pPr>
                  <w:r>
                    <w:rPr>
                      <w:rFonts w:hint="default"/>
                      <w:lang w:val="en-US" w:eastAsia="zh-CN"/>
                    </w:rPr>
                    <w:t>污染物</w:t>
                  </w:r>
                </w:p>
              </w:tc>
              <w:tc>
                <w:tcPr>
                  <w:tcW w:w="1527" w:type="pct"/>
                  <w:noWrap w:val="0"/>
                  <w:vAlign w:val="center"/>
                </w:tcPr>
                <w:p>
                  <w:pPr>
                    <w:pStyle w:val="69"/>
                    <w:bidi w:val="0"/>
                    <w:rPr>
                      <w:rFonts w:hint="default"/>
                      <w:lang w:val="en-US" w:eastAsia="zh-CN"/>
                    </w:rPr>
                  </w:pPr>
                  <w:r>
                    <w:rPr>
                      <w:rFonts w:hint="eastAsia"/>
                      <w:lang w:val="en-US" w:eastAsia="zh-CN"/>
                    </w:rPr>
                    <w:t>浓度（mg/m</w:t>
                  </w:r>
                  <w:r>
                    <w:rPr>
                      <w:rFonts w:hint="eastAsia"/>
                      <w:vertAlign w:val="superscript"/>
                      <w:lang w:val="en-US" w:eastAsia="zh-CN"/>
                    </w:rPr>
                    <w:t>3</w:t>
                  </w:r>
                  <w:r>
                    <w:rPr>
                      <w:rFonts w:hint="eastAsia"/>
                      <w:lang w:val="en-US" w:eastAsia="zh-CN"/>
                    </w:rPr>
                    <w:t>）</w:t>
                  </w:r>
                </w:p>
              </w:tc>
              <w:tc>
                <w:tcPr>
                  <w:tcW w:w="2198" w:type="pct"/>
                  <w:noWrap w:val="0"/>
                  <w:vAlign w:val="center"/>
                </w:tcPr>
                <w:p>
                  <w:pPr>
                    <w:pStyle w:val="69"/>
                    <w:bidi w:val="0"/>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noWrap w:val="0"/>
                  <w:vAlign w:val="center"/>
                </w:tcPr>
                <w:p>
                  <w:pPr>
                    <w:pStyle w:val="69"/>
                    <w:bidi w:val="0"/>
                    <w:rPr>
                      <w:rFonts w:hint="default"/>
                      <w:lang w:val="en-US" w:eastAsia="zh-CN"/>
                    </w:rPr>
                  </w:pPr>
                  <w:r>
                    <w:rPr>
                      <w:rFonts w:hint="default"/>
                      <w:lang w:val="en-US" w:eastAsia="zh-CN"/>
                    </w:rPr>
                    <w:t>氨</w:t>
                  </w:r>
                </w:p>
              </w:tc>
              <w:tc>
                <w:tcPr>
                  <w:tcW w:w="1527" w:type="pct"/>
                  <w:noWrap w:val="0"/>
                  <w:vAlign w:val="center"/>
                </w:tcPr>
                <w:p>
                  <w:pPr>
                    <w:pStyle w:val="69"/>
                    <w:bidi w:val="0"/>
                    <w:rPr>
                      <w:rFonts w:hint="default"/>
                      <w:lang w:val="en-US" w:eastAsia="zh-CN"/>
                    </w:rPr>
                  </w:pPr>
                  <w:r>
                    <w:rPr>
                      <w:rFonts w:hint="default"/>
                      <w:lang w:val="en-US" w:eastAsia="zh-CN"/>
                    </w:rPr>
                    <w:t>1.5</w:t>
                  </w:r>
                </w:p>
              </w:tc>
              <w:tc>
                <w:tcPr>
                  <w:tcW w:w="2198" w:type="pct"/>
                  <w:vMerge w:val="restart"/>
                  <w:noWrap w:val="0"/>
                  <w:vAlign w:val="center"/>
                </w:tcPr>
                <w:p>
                  <w:pPr>
                    <w:pStyle w:val="69"/>
                    <w:bidi w:val="0"/>
                    <w:rPr>
                      <w:rFonts w:hint="default"/>
                      <w:lang w:val="en-US" w:eastAsia="zh-CN"/>
                    </w:rPr>
                  </w:pPr>
                  <w:r>
                    <w:rPr>
                      <w:rFonts w:hint="default"/>
                      <w:lang w:val="en-US" w:eastAsia="zh-CN"/>
                    </w:rPr>
                    <w:t>《恶臭污染物排放标准》</w:t>
                  </w:r>
                </w:p>
                <w:p>
                  <w:pPr>
                    <w:pStyle w:val="69"/>
                    <w:bidi w:val="0"/>
                    <w:rPr>
                      <w:rFonts w:hint="default"/>
                      <w:lang w:val="en-US" w:eastAsia="zh-CN"/>
                    </w:rPr>
                  </w:pPr>
                  <w:r>
                    <w:rPr>
                      <w:rFonts w:hint="default"/>
                      <w:lang w:val="en-US" w:eastAsia="zh-CN"/>
                    </w:rPr>
                    <w:t>（GB14554－93）表1二级厂界标准限值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noWrap w:val="0"/>
                  <w:vAlign w:val="center"/>
                </w:tcPr>
                <w:p>
                  <w:pPr>
                    <w:pStyle w:val="69"/>
                    <w:bidi w:val="0"/>
                    <w:rPr>
                      <w:rFonts w:hint="default"/>
                      <w:lang w:val="en-US" w:eastAsia="zh-CN"/>
                    </w:rPr>
                  </w:pPr>
                  <w:r>
                    <w:rPr>
                      <w:rFonts w:hint="default"/>
                      <w:lang w:val="en-US" w:eastAsia="zh-CN"/>
                    </w:rPr>
                    <w:t>硫化氢</w:t>
                  </w:r>
                </w:p>
              </w:tc>
              <w:tc>
                <w:tcPr>
                  <w:tcW w:w="1527" w:type="pct"/>
                  <w:noWrap w:val="0"/>
                  <w:vAlign w:val="center"/>
                </w:tcPr>
                <w:p>
                  <w:pPr>
                    <w:pStyle w:val="69"/>
                    <w:bidi w:val="0"/>
                    <w:rPr>
                      <w:rFonts w:hint="default"/>
                      <w:lang w:val="en-US" w:eastAsia="zh-CN"/>
                    </w:rPr>
                  </w:pPr>
                  <w:r>
                    <w:rPr>
                      <w:rFonts w:hint="default"/>
                      <w:lang w:val="en-US" w:eastAsia="zh-CN"/>
                    </w:rPr>
                    <w:t>0.06</w:t>
                  </w:r>
                </w:p>
              </w:tc>
              <w:tc>
                <w:tcPr>
                  <w:tcW w:w="2198" w:type="pct"/>
                  <w:vMerge w:val="continue"/>
                  <w:noWrap w:val="0"/>
                  <w:vAlign w:val="center"/>
                </w:tcPr>
                <w:p>
                  <w:pPr>
                    <w:pStyle w:val="69"/>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noWrap w:val="0"/>
                  <w:vAlign w:val="center"/>
                </w:tcPr>
                <w:p>
                  <w:pPr>
                    <w:pStyle w:val="69"/>
                    <w:bidi w:val="0"/>
                    <w:rPr>
                      <w:rFonts w:hint="default"/>
                      <w:lang w:val="en-US" w:eastAsia="zh-CN"/>
                    </w:rPr>
                  </w:pPr>
                  <w:r>
                    <w:rPr>
                      <w:rFonts w:hint="default"/>
                      <w:lang w:val="en-US" w:eastAsia="zh-CN"/>
                    </w:rPr>
                    <w:t>臭气</w:t>
                  </w:r>
                  <w:r>
                    <w:rPr>
                      <w:rFonts w:hint="eastAsia"/>
                      <w:lang w:val="en-US" w:eastAsia="zh-CN"/>
                    </w:rPr>
                    <w:t>浓度</w:t>
                  </w:r>
                </w:p>
              </w:tc>
              <w:tc>
                <w:tcPr>
                  <w:tcW w:w="1527" w:type="pct"/>
                  <w:noWrap w:val="0"/>
                  <w:vAlign w:val="center"/>
                </w:tcPr>
                <w:p>
                  <w:pPr>
                    <w:pStyle w:val="69"/>
                    <w:bidi w:val="0"/>
                    <w:rPr>
                      <w:rFonts w:hint="default"/>
                      <w:lang w:val="en-US" w:eastAsia="zh-CN"/>
                    </w:rPr>
                  </w:pPr>
                  <w:r>
                    <w:rPr>
                      <w:rFonts w:hint="default"/>
                      <w:lang w:val="en-US" w:eastAsia="zh-CN"/>
                    </w:rPr>
                    <w:t>20（无量纲）</w:t>
                  </w:r>
                </w:p>
              </w:tc>
              <w:tc>
                <w:tcPr>
                  <w:tcW w:w="2198" w:type="pct"/>
                  <w:vMerge w:val="continue"/>
                  <w:noWrap w:val="0"/>
                  <w:vAlign w:val="center"/>
                </w:tcPr>
                <w:p>
                  <w:pPr>
                    <w:pStyle w:val="69"/>
                    <w:bidi w:val="0"/>
                    <w:rPr>
                      <w:rFonts w:hint="default"/>
                      <w:lang w:val="en-US" w:eastAsia="zh-CN"/>
                    </w:rPr>
                  </w:pPr>
                </w:p>
              </w:tc>
            </w:tr>
          </w:tbl>
          <w:p>
            <w:pPr>
              <w:pStyle w:val="2"/>
              <w:bidi w:val="0"/>
              <w:rPr>
                <w:rFonts w:hint="default"/>
                <w:lang w:val="en-US" w:eastAsia="zh-CN"/>
              </w:rPr>
            </w:pPr>
            <w:r>
              <w:rPr>
                <w:rFonts w:hint="eastAsia"/>
                <w:lang w:val="en-US" w:eastAsia="zh-CN"/>
              </w:rPr>
              <w:t>2.</w:t>
            </w:r>
            <w:r>
              <w:rPr>
                <w:rFonts w:hint="default"/>
                <w:lang w:val="en-US" w:eastAsia="zh-CN"/>
              </w:rPr>
              <w:t>废水</w:t>
            </w:r>
          </w:p>
          <w:p>
            <w:pPr>
              <w:keepNext w:val="0"/>
              <w:keepLines w:val="0"/>
              <w:pageBreakBefore w:val="0"/>
              <w:kinsoku/>
              <w:wordWrap/>
              <w:overflowPunct/>
              <w:topLinePunct w:val="0"/>
              <w:autoSpaceDE/>
              <w:autoSpaceDN/>
              <w:bidi w:val="0"/>
              <w:spacing w:line="520" w:lineRule="exact"/>
              <w:ind w:firstLine="480" w:firstLineChars="200"/>
              <w:contextualSpacing/>
              <w:textAlignment w:val="auto"/>
              <w:rPr>
                <w:rFonts w:hint="eastAsia"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本项目废水主要</w:t>
            </w:r>
            <w:r>
              <w:rPr>
                <w:rFonts w:hint="eastAsia" w:cs="Times New Roman"/>
                <w:color w:val="000000"/>
                <w:kern w:val="0"/>
                <w:sz w:val="24"/>
                <w:szCs w:val="24"/>
                <w:lang w:val="en-US" w:eastAsia="zh-CN"/>
              </w:rPr>
              <w:t>为</w:t>
            </w:r>
            <w:r>
              <w:rPr>
                <w:rFonts w:hint="default" w:ascii="Times New Roman" w:hAnsi="Times New Roman" w:cs="Times New Roman"/>
                <w:color w:val="000000"/>
                <w:kern w:val="0"/>
                <w:sz w:val="24"/>
                <w:szCs w:val="24"/>
                <w:lang w:val="en-US" w:eastAsia="zh-CN"/>
              </w:rPr>
              <w:t>生产废水，</w:t>
            </w:r>
            <w:r>
              <w:rPr>
                <w:rFonts w:hint="eastAsia" w:cs="Times New Roman"/>
                <w:color w:val="000000"/>
                <w:kern w:val="0"/>
                <w:sz w:val="24"/>
                <w:szCs w:val="24"/>
                <w:lang w:val="en-US" w:eastAsia="zh-CN"/>
              </w:rPr>
              <w:t>排放到</w:t>
            </w:r>
            <w:r>
              <w:rPr>
                <w:rFonts w:hint="default" w:ascii="Times New Roman" w:hAnsi="Times New Roman" w:cs="Times New Roman"/>
                <w:color w:val="000000"/>
                <w:kern w:val="0"/>
                <w:sz w:val="24"/>
                <w:szCs w:val="24"/>
                <w:lang w:val="en-US" w:eastAsia="zh-CN"/>
              </w:rPr>
              <w:t>厂区污水处理站处理</w:t>
            </w:r>
            <w:r>
              <w:rPr>
                <w:rFonts w:hint="eastAsia" w:cs="Times New Roman"/>
                <w:color w:val="000000"/>
                <w:kern w:val="0"/>
                <w:sz w:val="24"/>
                <w:szCs w:val="24"/>
                <w:lang w:val="en-US" w:eastAsia="zh-CN"/>
              </w:rPr>
              <w:t>达到《肉类加工工业水污染物排放标准》（GB13457-92）表3的三级标准值后</w:t>
            </w:r>
            <w:r>
              <w:rPr>
                <w:rFonts w:hint="eastAsia" w:ascii="Times New Roman" w:hAnsi="Times New Roman" w:cs="Times New Roman"/>
                <w:color w:val="000000"/>
                <w:kern w:val="0"/>
                <w:sz w:val="24"/>
                <w:szCs w:val="24"/>
                <w:lang w:val="en-US" w:eastAsia="zh-CN"/>
              </w:rPr>
              <w:t>由吸污车拉运至</w:t>
            </w:r>
            <w:r>
              <w:rPr>
                <w:rFonts w:hint="eastAsia" w:cs="Times New Roman"/>
                <w:color w:val="000000"/>
                <w:kern w:val="0"/>
                <w:sz w:val="24"/>
                <w:szCs w:val="24"/>
                <w:lang w:val="en-US" w:eastAsia="zh-CN"/>
              </w:rPr>
              <w:t>若羌县污水处理厂</w:t>
            </w:r>
            <w:r>
              <w:rPr>
                <w:rFonts w:hint="eastAsia" w:ascii="Times New Roman" w:hAnsi="Times New Roman" w:cs="Times New Roman"/>
                <w:color w:val="000000"/>
                <w:kern w:val="0"/>
                <w:sz w:val="24"/>
                <w:szCs w:val="24"/>
                <w:lang w:val="en-US" w:eastAsia="zh-CN"/>
              </w:rPr>
              <w:t>。</w:t>
            </w:r>
          </w:p>
          <w:p>
            <w:pPr>
              <w:pStyle w:val="72"/>
              <w:bidi w:val="0"/>
              <w:rPr>
                <w:rFonts w:hint="eastAsia" w:ascii="Times New Roman" w:hAnsi="Times New Roman" w:cs="Times New Roman"/>
                <w:vertAlign w:val="superscript"/>
                <w:lang w:val="en-US" w:eastAsia="zh-CN"/>
              </w:rPr>
            </w:pPr>
            <w:r>
              <w:rPr>
                <w:rFonts w:hint="default" w:ascii="Times New Roman" w:hAnsi="Times New Roman" w:cs="Times New Roman"/>
                <w:lang w:val="en-US" w:eastAsia="zh-CN"/>
              </w:rPr>
              <w:t>表3-</w:t>
            </w:r>
            <w:r>
              <w:rPr>
                <w:rFonts w:hint="eastAsia" w:cs="Times New Roman"/>
                <w:lang w:val="en-US" w:eastAsia="zh-CN"/>
              </w:rPr>
              <w:t>5</w:t>
            </w:r>
            <w:r>
              <w:rPr>
                <w:rFonts w:hint="eastAsia" w:ascii="Times New Roman" w:hAnsi="Times New Roman" w:cs="Times New Roman"/>
                <w:lang w:val="en-US" w:eastAsia="zh-CN"/>
              </w:rPr>
              <w:t xml:space="preserve">   运营期污水</w:t>
            </w:r>
            <w:r>
              <w:rPr>
                <w:rFonts w:hint="default" w:ascii="Times New Roman" w:hAnsi="Times New Roman" w:cs="Times New Roman"/>
                <w:lang w:val="en-US" w:eastAsia="zh-CN"/>
              </w:rPr>
              <w:t>排放标准</w:t>
            </w:r>
            <w:r>
              <w:rPr>
                <w:rFonts w:hint="eastAsia" w:ascii="Times New Roman" w:hAnsi="Times New Roman" w:cs="Times New Roman"/>
                <w:lang w:val="en-US" w:eastAsia="zh-CN"/>
              </w:rPr>
              <w:t xml:space="preserve">   单位：mg/m</w:t>
            </w:r>
            <w:r>
              <w:rPr>
                <w:rFonts w:hint="eastAsia" w:ascii="Times New Roman" w:hAnsi="Times New Roman" w:cs="Times New Roman"/>
                <w:vertAlign w:val="superscript"/>
                <w:lang w:val="en-US" w:eastAsia="zh-CN"/>
              </w:rPr>
              <w:t>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8"/>
              <w:gridCol w:w="2657"/>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8" w:type="dxa"/>
                  <w:vAlign w:val="center"/>
                </w:tcPr>
                <w:p>
                  <w:pPr>
                    <w:pStyle w:val="69"/>
                    <w:bidi w:val="0"/>
                    <w:jc w:val="center"/>
                    <w:rPr>
                      <w:rFonts w:hint="eastAsia"/>
                      <w:lang w:val="en-US" w:eastAsia="zh-CN"/>
                    </w:rPr>
                  </w:pPr>
                  <w:r>
                    <w:rPr>
                      <w:rFonts w:hint="eastAsia"/>
                      <w:lang w:val="en-US" w:eastAsia="zh-CN"/>
                    </w:rPr>
                    <w:t>污染物</w:t>
                  </w:r>
                </w:p>
              </w:tc>
              <w:tc>
                <w:tcPr>
                  <w:tcW w:w="2657" w:type="dxa"/>
                  <w:vAlign w:val="center"/>
                </w:tcPr>
                <w:p>
                  <w:pPr>
                    <w:pStyle w:val="69"/>
                    <w:bidi w:val="0"/>
                    <w:jc w:val="center"/>
                    <w:rPr>
                      <w:rFonts w:hint="eastAsia"/>
                      <w:lang w:val="en-US" w:eastAsia="zh-CN"/>
                    </w:rPr>
                  </w:pPr>
                  <w:r>
                    <w:rPr>
                      <w:rFonts w:hint="eastAsia"/>
                      <w:lang w:val="en-US" w:eastAsia="zh-CN"/>
                    </w:rPr>
                    <w:t>限值</w:t>
                  </w:r>
                </w:p>
              </w:tc>
              <w:tc>
                <w:tcPr>
                  <w:tcW w:w="2659" w:type="dxa"/>
                  <w:vAlign w:val="center"/>
                </w:tcPr>
                <w:p>
                  <w:pPr>
                    <w:pStyle w:val="69"/>
                    <w:bidi w:val="0"/>
                    <w:jc w:val="center"/>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58" w:type="dxa"/>
                  <w:shd w:val="clear" w:color="auto" w:fill="auto"/>
                  <w:vAlign w:val="center"/>
                </w:tcPr>
                <w:p>
                  <w:pPr>
                    <w:pStyle w:val="69"/>
                    <w:bidi w:val="0"/>
                    <w:jc w:val="center"/>
                    <w:rPr>
                      <w:rFonts w:hint="eastAsia"/>
                      <w:lang w:val="en-US" w:eastAsia="zh-CN"/>
                    </w:rPr>
                  </w:pPr>
                  <w:r>
                    <w:rPr>
                      <w:rFonts w:hint="eastAsia"/>
                      <w:lang w:val="en-US" w:eastAsia="zh-CN"/>
                    </w:rPr>
                    <w:t>COD</w:t>
                  </w:r>
                </w:p>
              </w:tc>
              <w:tc>
                <w:tcPr>
                  <w:tcW w:w="2657" w:type="dxa"/>
                  <w:vAlign w:val="center"/>
                </w:tcPr>
                <w:p>
                  <w:pPr>
                    <w:pStyle w:val="69"/>
                    <w:bidi w:val="0"/>
                    <w:jc w:val="center"/>
                    <w:rPr>
                      <w:rFonts w:hint="default"/>
                      <w:lang w:val="en-US" w:eastAsia="zh-CN"/>
                    </w:rPr>
                  </w:pPr>
                  <w:r>
                    <w:rPr>
                      <w:rFonts w:hint="eastAsia"/>
                      <w:lang w:val="en-US" w:eastAsia="zh-CN"/>
                    </w:rPr>
                    <w:t>500</w:t>
                  </w:r>
                </w:p>
              </w:tc>
              <w:tc>
                <w:tcPr>
                  <w:tcW w:w="2659" w:type="dxa"/>
                  <w:vMerge w:val="restart"/>
                  <w:vAlign w:val="center"/>
                </w:tcPr>
                <w:p>
                  <w:pPr>
                    <w:pStyle w:val="69"/>
                    <w:bidi w:val="0"/>
                    <w:jc w:val="center"/>
                    <w:rPr>
                      <w:rFonts w:hint="eastAsia"/>
                      <w:lang w:val="en-US" w:eastAsia="zh-CN"/>
                    </w:rPr>
                  </w:pPr>
                  <w:r>
                    <w:rPr>
                      <w:rFonts w:hint="default"/>
                      <w:lang w:val="en-US" w:eastAsia="zh-CN"/>
                    </w:rPr>
                    <w:t>《肉类加工工业水污染物排放标准》（GB13457-92）表3的</w:t>
                  </w:r>
                  <w:r>
                    <w:rPr>
                      <w:rFonts w:hint="eastAsia"/>
                      <w:lang w:val="en-US" w:eastAsia="zh-CN"/>
                    </w:rPr>
                    <w:t>三</w:t>
                  </w:r>
                  <w:r>
                    <w:rPr>
                      <w:rFonts w:hint="default"/>
                      <w:lang w:val="en-US" w:eastAsia="zh-CN"/>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658" w:type="dxa"/>
                  <w:shd w:val="clear" w:color="auto" w:fill="auto"/>
                  <w:vAlign w:val="center"/>
                </w:tcPr>
                <w:p>
                  <w:pPr>
                    <w:pStyle w:val="69"/>
                    <w:bidi w:val="0"/>
                    <w:jc w:val="center"/>
                    <w:rPr>
                      <w:rFonts w:hint="eastAsia"/>
                      <w:lang w:val="en-US" w:eastAsia="zh-CN"/>
                    </w:rPr>
                  </w:pPr>
                  <w:r>
                    <w:rPr>
                      <w:rFonts w:hint="eastAsia"/>
                      <w:lang w:val="en-US" w:eastAsia="zh-CN"/>
                    </w:rPr>
                    <w:t>BOD</w:t>
                  </w:r>
                  <w:r>
                    <w:rPr>
                      <w:rFonts w:hint="eastAsia"/>
                      <w:vertAlign w:val="subscript"/>
                      <w:lang w:val="en-US" w:eastAsia="zh-CN"/>
                    </w:rPr>
                    <w:t>5</w:t>
                  </w:r>
                </w:p>
              </w:tc>
              <w:tc>
                <w:tcPr>
                  <w:tcW w:w="2657" w:type="dxa"/>
                  <w:vAlign w:val="center"/>
                </w:tcPr>
                <w:p>
                  <w:pPr>
                    <w:pStyle w:val="69"/>
                    <w:bidi w:val="0"/>
                    <w:jc w:val="center"/>
                    <w:rPr>
                      <w:rFonts w:hint="default"/>
                      <w:lang w:val="en-US" w:eastAsia="zh-CN"/>
                    </w:rPr>
                  </w:pPr>
                  <w:r>
                    <w:rPr>
                      <w:rFonts w:hint="eastAsia"/>
                      <w:lang w:val="en-US" w:eastAsia="zh-CN"/>
                    </w:rPr>
                    <w:t>300</w:t>
                  </w:r>
                </w:p>
              </w:tc>
              <w:tc>
                <w:tcPr>
                  <w:tcW w:w="2659" w:type="dxa"/>
                  <w:vMerge w:val="continue"/>
                  <w:vAlign w:val="center"/>
                </w:tcPr>
                <w:p>
                  <w:pPr>
                    <w:pStyle w:val="69"/>
                    <w:bidi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658" w:type="dxa"/>
                  <w:shd w:val="clear" w:color="auto" w:fill="auto"/>
                  <w:vAlign w:val="center"/>
                </w:tcPr>
                <w:p>
                  <w:pPr>
                    <w:pStyle w:val="69"/>
                    <w:bidi w:val="0"/>
                    <w:jc w:val="center"/>
                    <w:rPr>
                      <w:rFonts w:hint="eastAsia"/>
                      <w:lang w:val="en-US" w:eastAsia="zh-CN"/>
                    </w:rPr>
                  </w:pPr>
                  <w:r>
                    <w:rPr>
                      <w:rFonts w:hint="eastAsia"/>
                      <w:lang w:val="en-US" w:eastAsia="zh-CN"/>
                    </w:rPr>
                    <w:t>SS</w:t>
                  </w:r>
                </w:p>
              </w:tc>
              <w:tc>
                <w:tcPr>
                  <w:tcW w:w="2657" w:type="dxa"/>
                  <w:vAlign w:val="center"/>
                </w:tcPr>
                <w:p>
                  <w:pPr>
                    <w:pStyle w:val="69"/>
                    <w:bidi w:val="0"/>
                    <w:jc w:val="center"/>
                    <w:rPr>
                      <w:rFonts w:hint="default"/>
                      <w:lang w:val="en-US" w:eastAsia="zh-CN"/>
                    </w:rPr>
                  </w:pPr>
                  <w:r>
                    <w:rPr>
                      <w:rFonts w:hint="eastAsia"/>
                      <w:lang w:val="en-US" w:eastAsia="zh-CN"/>
                    </w:rPr>
                    <w:t>400</w:t>
                  </w:r>
                </w:p>
              </w:tc>
              <w:tc>
                <w:tcPr>
                  <w:tcW w:w="2659" w:type="dxa"/>
                  <w:vMerge w:val="continue"/>
                  <w:vAlign w:val="center"/>
                </w:tcPr>
                <w:p>
                  <w:pPr>
                    <w:pStyle w:val="69"/>
                    <w:bidi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8" w:type="dxa"/>
                  <w:shd w:val="clear" w:color="auto" w:fill="auto"/>
                  <w:vAlign w:val="center"/>
                </w:tcPr>
                <w:p>
                  <w:pPr>
                    <w:pStyle w:val="69"/>
                    <w:bidi w:val="0"/>
                    <w:jc w:val="center"/>
                    <w:rPr>
                      <w:rFonts w:hint="eastAsia"/>
                      <w:lang w:val="en-US" w:eastAsia="zh-CN"/>
                    </w:rPr>
                  </w:pPr>
                  <w:r>
                    <w:rPr>
                      <w:rFonts w:hint="eastAsia"/>
                      <w:lang w:val="en-US" w:eastAsia="zh-CN"/>
                    </w:rPr>
                    <w:t>氨氮</w:t>
                  </w:r>
                </w:p>
              </w:tc>
              <w:tc>
                <w:tcPr>
                  <w:tcW w:w="2657" w:type="dxa"/>
                  <w:vAlign w:val="center"/>
                </w:tcPr>
                <w:p>
                  <w:pPr>
                    <w:pStyle w:val="69"/>
                    <w:bidi w:val="0"/>
                    <w:jc w:val="center"/>
                    <w:rPr>
                      <w:rFonts w:hint="default"/>
                      <w:lang w:val="en-US" w:eastAsia="zh-CN"/>
                    </w:rPr>
                  </w:pPr>
                  <w:r>
                    <w:rPr>
                      <w:rFonts w:hint="eastAsia"/>
                      <w:lang w:val="en-US" w:eastAsia="zh-CN"/>
                    </w:rPr>
                    <w:t>/</w:t>
                  </w:r>
                </w:p>
              </w:tc>
              <w:tc>
                <w:tcPr>
                  <w:tcW w:w="2659" w:type="dxa"/>
                  <w:vMerge w:val="continue"/>
                  <w:vAlign w:val="center"/>
                </w:tcPr>
                <w:p>
                  <w:pPr>
                    <w:pStyle w:val="69"/>
                    <w:bidi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658" w:type="dxa"/>
                  <w:vAlign w:val="center"/>
                </w:tcPr>
                <w:p>
                  <w:pPr>
                    <w:pStyle w:val="69"/>
                    <w:bidi w:val="0"/>
                    <w:jc w:val="center"/>
                    <w:rPr>
                      <w:rFonts w:hint="eastAsia"/>
                      <w:lang w:val="en-US" w:eastAsia="zh-CN"/>
                    </w:rPr>
                  </w:pPr>
                  <w:r>
                    <w:rPr>
                      <w:rFonts w:hint="eastAsia"/>
                      <w:lang w:val="en-US" w:eastAsia="zh-CN"/>
                    </w:rPr>
                    <w:t>动植物油</w:t>
                  </w:r>
                </w:p>
              </w:tc>
              <w:tc>
                <w:tcPr>
                  <w:tcW w:w="2657" w:type="dxa"/>
                  <w:vAlign w:val="center"/>
                </w:tcPr>
                <w:p>
                  <w:pPr>
                    <w:pStyle w:val="69"/>
                    <w:bidi w:val="0"/>
                    <w:jc w:val="center"/>
                    <w:rPr>
                      <w:rFonts w:hint="default"/>
                      <w:lang w:val="en-US" w:eastAsia="zh-CN"/>
                    </w:rPr>
                  </w:pPr>
                  <w:r>
                    <w:rPr>
                      <w:rFonts w:hint="eastAsia"/>
                      <w:lang w:val="en-US" w:eastAsia="zh-CN"/>
                    </w:rPr>
                    <w:t>60</w:t>
                  </w:r>
                </w:p>
              </w:tc>
              <w:tc>
                <w:tcPr>
                  <w:tcW w:w="2659" w:type="dxa"/>
                  <w:vMerge w:val="continue"/>
                  <w:vAlign w:val="center"/>
                </w:tcPr>
                <w:p>
                  <w:pPr>
                    <w:pStyle w:val="69"/>
                    <w:bidi w:val="0"/>
                    <w:jc w:val="center"/>
                    <w:rPr>
                      <w:rFonts w:hint="eastAsia"/>
                      <w:lang w:val="en-US" w:eastAsia="zh-CN"/>
                    </w:rPr>
                  </w:pPr>
                </w:p>
              </w:tc>
            </w:tr>
          </w:tbl>
          <w:p>
            <w:pPr>
              <w:pStyle w:val="70"/>
              <w:bidi w:val="0"/>
              <w:rPr>
                <w:rFonts w:hint="default"/>
              </w:rPr>
            </w:pPr>
            <w:r>
              <w:rPr>
                <w:rFonts w:hint="eastAsia"/>
                <w:lang w:val="en-US" w:eastAsia="zh-CN"/>
              </w:rPr>
              <w:t>3.</w:t>
            </w:r>
            <w:r>
              <w:rPr>
                <w:rFonts w:hint="default"/>
              </w:rPr>
              <w:t>噪声</w:t>
            </w:r>
          </w:p>
          <w:p>
            <w:pPr>
              <w:pStyle w:val="71"/>
              <w:bidi w:val="0"/>
              <w:rPr>
                <w:rFonts w:hint="default"/>
                <w:lang w:val="en-US" w:eastAsia="zh-CN"/>
              </w:rPr>
            </w:pPr>
            <w:r>
              <w:rPr>
                <w:rFonts w:hint="default"/>
                <w:lang w:val="en-US" w:eastAsia="zh-CN"/>
              </w:rPr>
              <w:t>本项目施工期噪声排放执行《建筑施工场界环境噪声排放标准》(GB12523-2011)相应标准；运营期厂界噪声排放执行《工业企业厂界环境噪声排放标准》(GB12348-2008)2类区标准。</w:t>
            </w:r>
          </w:p>
          <w:p>
            <w:pPr>
              <w:pStyle w:val="72"/>
              <w:bidi w:val="0"/>
              <w:rPr>
                <w:rFonts w:hint="default" w:ascii="Times New Roman" w:hAnsi="Times New Roman" w:cs="Times New Roman"/>
                <w:lang w:val="en-US" w:eastAsia="zh-CN"/>
              </w:rPr>
            </w:pPr>
            <w:r>
              <w:rPr>
                <w:rFonts w:hint="default" w:ascii="Times New Roman" w:hAnsi="Times New Roman" w:cs="Times New Roman"/>
                <w:lang w:val="en-US" w:eastAsia="zh-CN"/>
              </w:rPr>
              <w:t>表3-</w:t>
            </w:r>
            <w:r>
              <w:rPr>
                <w:rFonts w:hint="eastAsia" w:cs="Times New Roman"/>
                <w:lang w:val="en-US" w:eastAsia="zh-CN"/>
              </w:rPr>
              <w:t>6</w:t>
            </w:r>
            <w:r>
              <w:rPr>
                <w:rFonts w:hint="eastAsia" w:ascii="Times New Roman" w:hAnsi="Times New Roman" w:cs="Times New Roman"/>
                <w:lang w:val="en-US" w:eastAsia="zh-CN"/>
              </w:rPr>
              <w:t xml:space="preserve">   施工期噪声执行标准   </w:t>
            </w:r>
            <w:r>
              <w:rPr>
                <w:rFonts w:hint="default" w:ascii="Times New Roman" w:hAnsi="Times New Roman" w:cs="Times New Roman"/>
                <w:lang w:val="en-US" w:eastAsia="zh-CN"/>
              </w:rPr>
              <w:t>单位：dB(A)</w:t>
            </w:r>
          </w:p>
          <w:tbl>
            <w:tblPr>
              <w:tblStyle w:val="24"/>
              <w:tblW w:w="4999" w:type="pct"/>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3985"/>
              <w:gridCol w:w="39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2" w:hRule="atLeast"/>
              </w:trPr>
              <w:tc>
                <w:tcPr>
                  <w:tcW w:w="2502" w:type="pct"/>
                  <w:tcBorders>
                    <w:tl2br w:val="nil"/>
                    <w:tr2bl w:val="nil"/>
                  </w:tcBorders>
                  <w:noWrap w:val="0"/>
                  <w:vAlign w:val="center"/>
                </w:tcPr>
                <w:p>
                  <w:pPr>
                    <w:pStyle w:val="6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昼间</w:t>
                  </w:r>
                </w:p>
              </w:tc>
              <w:tc>
                <w:tcPr>
                  <w:tcW w:w="2497" w:type="pct"/>
                  <w:tcBorders>
                    <w:tl2br w:val="nil"/>
                    <w:tr2bl w:val="nil"/>
                  </w:tcBorders>
                  <w:noWrap w:val="0"/>
                  <w:vAlign w:val="center"/>
                </w:tcPr>
                <w:p>
                  <w:pPr>
                    <w:pStyle w:val="6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夜间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2502" w:type="pct"/>
                  <w:tcBorders>
                    <w:tl2br w:val="nil"/>
                    <w:tr2bl w:val="nil"/>
                  </w:tcBorders>
                  <w:noWrap w:val="0"/>
                  <w:vAlign w:val="center"/>
                </w:tcPr>
                <w:p>
                  <w:pPr>
                    <w:pStyle w:val="6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70</w:t>
                  </w:r>
                </w:p>
              </w:tc>
              <w:tc>
                <w:tcPr>
                  <w:tcW w:w="2497" w:type="pct"/>
                  <w:tcBorders>
                    <w:tl2br w:val="nil"/>
                    <w:tr2bl w:val="nil"/>
                  </w:tcBorders>
                  <w:noWrap w:val="0"/>
                  <w:vAlign w:val="center"/>
                </w:tcPr>
                <w:p>
                  <w:pPr>
                    <w:pStyle w:val="6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55</w:t>
                  </w:r>
                </w:p>
              </w:tc>
            </w:tr>
          </w:tbl>
          <w:p>
            <w:pPr>
              <w:pStyle w:val="72"/>
              <w:bidi w:val="0"/>
              <w:rPr>
                <w:rFonts w:hint="default" w:ascii="Times New Roman" w:hAnsi="Times New Roman" w:cs="Times New Roman"/>
                <w:lang w:val="en-US" w:eastAsia="zh-CN"/>
              </w:rPr>
            </w:pPr>
            <w:r>
              <w:rPr>
                <w:rFonts w:hint="default" w:ascii="Times New Roman" w:hAnsi="Times New Roman" w:cs="Times New Roman"/>
                <w:lang w:val="en-US" w:eastAsia="zh-CN"/>
              </w:rPr>
              <w:t>表3-</w:t>
            </w:r>
            <w:r>
              <w:rPr>
                <w:rFonts w:hint="eastAsia" w:cs="Times New Roman"/>
                <w:lang w:val="en-US" w:eastAsia="zh-CN"/>
              </w:rPr>
              <w:t>7</w:t>
            </w:r>
            <w:r>
              <w:rPr>
                <w:rFonts w:hint="eastAsia" w:ascii="Times New Roman" w:hAnsi="Times New Roman" w:cs="Times New Roman"/>
                <w:lang w:val="en-US" w:eastAsia="zh-CN"/>
              </w:rPr>
              <w:t xml:space="preserve">   运营期噪声执行标准   </w:t>
            </w:r>
            <w:r>
              <w:rPr>
                <w:rFonts w:hint="default" w:ascii="Times New Roman" w:hAnsi="Times New Roman" w:cs="Times New Roman"/>
                <w:lang w:val="en-US" w:eastAsia="zh-CN"/>
              </w:rPr>
              <w:t>单位：dB(A)</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670"/>
              <w:gridCol w:w="2707"/>
              <w:gridCol w:w="25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7" w:hRule="atLeast"/>
                <w:jc w:val="center"/>
              </w:trPr>
              <w:tc>
                <w:tcPr>
                  <w:tcW w:w="1676" w:type="pct"/>
                  <w:tcBorders>
                    <w:tl2br w:val="nil"/>
                    <w:tr2bl w:val="nil"/>
                  </w:tcBorders>
                  <w:noWrap w:val="0"/>
                  <w:vAlign w:val="center"/>
                </w:tcPr>
                <w:p>
                  <w:pPr>
                    <w:pStyle w:val="6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声环境功能区类别</w:t>
                  </w:r>
                </w:p>
              </w:tc>
              <w:tc>
                <w:tcPr>
                  <w:tcW w:w="1699" w:type="pct"/>
                  <w:tcBorders>
                    <w:tl2br w:val="nil"/>
                    <w:tr2bl w:val="nil"/>
                  </w:tcBorders>
                  <w:noWrap w:val="0"/>
                  <w:vAlign w:val="center"/>
                </w:tcPr>
                <w:p>
                  <w:pPr>
                    <w:pStyle w:val="6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昼间</w:t>
                  </w:r>
                </w:p>
              </w:tc>
              <w:tc>
                <w:tcPr>
                  <w:tcW w:w="1623" w:type="pct"/>
                  <w:tcBorders>
                    <w:tl2br w:val="nil"/>
                    <w:tr2bl w:val="nil"/>
                  </w:tcBorders>
                  <w:noWrap w:val="0"/>
                  <w:vAlign w:val="center"/>
                </w:tcPr>
                <w:p>
                  <w:pPr>
                    <w:pStyle w:val="6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夜间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7" w:hRule="atLeast"/>
                <w:jc w:val="center"/>
              </w:trPr>
              <w:tc>
                <w:tcPr>
                  <w:tcW w:w="1676" w:type="pct"/>
                  <w:tcBorders>
                    <w:tl2br w:val="nil"/>
                    <w:tr2bl w:val="nil"/>
                  </w:tcBorders>
                  <w:noWrap w:val="0"/>
                  <w:vAlign w:val="center"/>
                </w:tcPr>
                <w:p>
                  <w:pPr>
                    <w:pStyle w:val="6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w:t>
                  </w:r>
                </w:p>
              </w:tc>
              <w:tc>
                <w:tcPr>
                  <w:tcW w:w="1699" w:type="pct"/>
                  <w:tcBorders>
                    <w:tl2br w:val="nil"/>
                    <w:tr2bl w:val="nil"/>
                  </w:tcBorders>
                  <w:noWrap w:val="0"/>
                  <w:vAlign w:val="center"/>
                </w:tcPr>
                <w:p>
                  <w:pPr>
                    <w:pStyle w:val="6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60</w:t>
                  </w:r>
                </w:p>
              </w:tc>
              <w:tc>
                <w:tcPr>
                  <w:tcW w:w="1623" w:type="pct"/>
                  <w:tcBorders>
                    <w:tl2br w:val="nil"/>
                    <w:tr2bl w:val="nil"/>
                  </w:tcBorders>
                  <w:noWrap w:val="0"/>
                  <w:vAlign w:val="center"/>
                </w:tcPr>
                <w:p>
                  <w:pPr>
                    <w:pStyle w:val="6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50</w:t>
                  </w:r>
                </w:p>
              </w:tc>
            </w:tr>
          </w:tbl>
          <w:p>
            <w:pPr>
              <w:pStyle w:val="2"/>
              <w:bidi w:val="0"/>
              <w:rPr>
                <w:rFonts w:hint="default"/>
              </w:rPr>
            </w:pPr>
            <w:r>
              <w:rPr>
                <w:rFonts w:hint="eastAsia"/>
                <w:lang w:val="en-US" w:eastAsia="zh-CN"/>
              </w:rPr>
              <w:t>4.</w:t>
            </w:r>
            <w:r>
              <w:rPr>
                <w:rFonts w:hint="default"/>
              </w:rPr>
              <w:t>固废</w:t>
            </w:r>
          </w:p>
          <w:p>
            <w:pPr>
              <w:pStyle w:val="71"/>
              <w:bidi w:val="0"/>
              <w:rPr>
                <w:rFonts w:hint="default"/>
                <w:lang w:val="en-US" w:eastAsia="zh-CN"/>
              </w:rPr>
            </w:pPr>
            <w:r>
              <w:rPr>
                <w:rFonts w:hint="default"/>
                <w:lang w:val="en-US" w:eastAsia="zh-CN"/>
              </w:rPr>
              <w:t>本项目一般工业固废执行《中华人民共和国固体废物污染环境防治法》（2020年9月1日起施行）有关要求。经</w:t>
            </w:r>
            <w:r>
              <w:rPr>
                <w:rFonts w:hint="eastAsia"/>
                <w:lang w:val="en-US" w:eastAsia="zh-CN"/>
              </w:rPr>
              <w:t>检疫</w:t>
            </w:r>
            <w:r>
              <w:rPr>
                <w:rFonts w:hint="default"/>
                <w:lang w:val="en-US" w:eastAsia="zh-CN"/>
              </w:rPr>
              <w:t>不合格的牛羊按照《食品安全国家标准畜禽屠宰加工卫生规范》（GB12694-2016）及《病死及病害动物无害化处理技术规范》(农医发</w:t>
            </w:r>
            <w:r>
              <w:rPr>
                <w:rFonts w:hint="eastAsia"/>
                <w:lang w:val="en-US" w:eastAsia="zh-CN"/>
              </w:rPr>
              <w:t>[</w:t>
            </w:r>
            <w:r>
              <w:rPr>
                <w:rFonts w:hint="default"/>
                <w:lang w:val="en-US" w:eastAsia="zh-CN"/>
              </w:rPr>
              <w:t>2017</w:t>
            </w:r>
            <w:r>
              <w:rPr>
                <w:rFonts w:hint="eastAsia"/>
                <w:lang w:val="en-US" w:eastAsia="zh-CN"/>
              </w:rPr>
              <w:t>]</w:t>
            </w:r>
            <w:r>
              <w:rPr>
                <w:rFonts w:hint="default"/>
                <w:lang w:val="en-US" w:eastAsia="zh-CN"/>
              </w:rPr>
              <w:t>25号)中相关规定进行安全处置。</w:t>
            </w:r>
          </w:p>
          <w:p>
            <w:pPr>
              <w:pStyle w:val="71"/>
              <w:bidi w:val="0"/>
              <w:rPr>
                <w:rFonts w:hint="default"/>
                <w:lang w:val="en-US" w:eastAsia="zh-CN"/>
              </w:rPr>
            </w:pPr>
            <w:r>
              <w:rPr>
                <w:rFonts w:hint="default"/>
                <w:lang w:val="en-US" w:eastAsia="zh-CN"/>
              </w:rPr>
              <w:t>危废贮存点及危险废物贮存应符合《危险废物贮存污染控制标准》（GB18597-2023）及《危险废物收集贮存运输技术规范》（HJ2025-2012）。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总量控制指标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 w:val="24"/>
                <w:szCs w:val="24"/>
                <w:lang w:val="en-US" w:eastAsia="zh-CN"/>
              </w:rPr>
              <w:t>无</w:t>
            </w:r>
          </w:p>
        </w:tc>
      </w:tr>
    </w:tbl>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6"/>
          <w:szCs w:val="36"/>
        </w:rPr>
        <w:br w:type="page"/>
      </w:r>
      <w:r>
        <w:rPr>
          <w:rFonts w:hint="default" w:ascii="Times New Roman" w:hAnsi="Times New Roman" w:eastAsia="黑体" w:cs="Times New Roman"/>
          <w:snapToGrid w:val="0"/>
          <w:sz w:val="30"/>
          <w:szCs w:val="30"/>
        </w:rPr>
        <w:t>四、主要环境影响和保护措施</w:t>
      </w:r>
    </w:p>
    <w:tbl>
      <w:tblPr>
        <w:tblStyle w:val="24"/>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71" w:hRule="atLeast"/>
          <w:jc w:val="center"/>
        </w:trPr>
        <w:tc>
          <w:tcPr>
            <w:tcW w:w="746" w:type="dxa"/>
            <w:noWrap w:val="0"/>
            <w:tcMar>
              <w:left w:w="28" w:type="dxa"/>
              <w:right w:w="28" w:type="dxa"/>
            </w:tcMar>
            <w:vAlign w:val="center"/>
          </w:tcPr>
          <w:p>
            <w:pPr>
              <w:pStyle w:val="19"/>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kern w:val="2"/>
                <w:sz w:val="21"/>
                <w:szCs w:val="21"/>
              </w:rPr>
              <w:t>施工期环境保护措施</w:t>
            </w:r>
          </w:p>
        </w:tc>
        <w:tc>
          <w:tcPr>
            <w:tcW w:w="8162" w:type="dxa"/>
            <w:noWrap w:val="0"/>
            <w:vAlign w:val="center"/>
          </w:tcPr>
          <w:p>
            <w:pPr>
              <w:pStyle w:val="71"/>
              <w:bidi w:val="0"/>
              <w:rPr>
                <w:rFonts w:hint="eastAsia"/>
                <w:lang w:val="en-US" w:eastAsia="zh-CN"/>
              </w:rPr>
            </w:pPr>
            <w:bookmarkStart w:id="16" w:name="_Toc168121571"/>
            <w:bookmarkStart w:id="17" w:name="_Toc156819103"/>
            <w:bookmarkStart w:id="18" w:name="_Toc168121379"/>
            <w:bookmarkStart w:id="19" w:name="_Toc168312904"/>
            <w:bookmarkStart w:id="20" w:name="_Toc167859200"/>
            <w:r>
              <w:rPr>
                <w:rFonts w:hint="eastAsia"/>
                <w:lang w:val="en-US" w:eastAsia="zh-CN"/>
              </w:rPr>
              <w:t>本工程施工过程中将不可避免地产生噪声、扬尘、废水、固废等对周围环境造成影响。施工期对环境的影响是暂时的，本工程施工场地开阔，影响范围有限，这种影响在施工结束后便可消失。现对这些影响提出相应防治和管理措施。</w:t>
            </w:r>
          </w:p>
          <w:p>
            <w:pPr>
              <w:pStyle w:val="70"/>
              <w:bidi w:val="0"/>
              <w:rPr>
                <w:rFonts w:hint="default"/>
              </w:rPr>
            </w:pPr>
            <w:r>
              <w:rPr>
                <w:rFonts w:hint="eastAsia"/>
                <w:lang w:val="en-US" w:eastAsia="zh-CN"/>
              </w:rPr>
              <w:t>1.</w:t>
            </w:r>
            <w:r>
              <w:rPr>
                <w:rFonts w:hint="default"/>
              </w:rPr>
              <w:t>施工期大气</w:t>
            </w:r>
            <w:bookmarkEnd w:id="16"/>
            <w:bookmarkEnd w:id="17"/>
            <w:bookmarkEnd w:id="18"/>
            <w:bookmarkEnd w:id="19"/>
            <w:bookmarkEnd w:id="20"/>
            <w:r>
              <w:rPr>
                <w:rFonts w:hint="default"/>
              </w:rPr>
              <w:t>污染控制措施</w:t>
            </w:r>
          </w:p>
          <w:p>
            <w:pPr>
              <w:pStyle w:val="71"/>
              <w:bidi w:val="0"/>
              <w:rPr>
                <w:rFonts w:hint="default"/>
              </w:rPr>
            </w:pPr>
            <w:r>
              <w:rPr>
                <w:rFonts w:hint="default"/>
              </w:rPr>
              <w:t>①施工方严格按照《防治城市扬尘污染技术规范》（HJ/T393-2007）中的要求，晴朗天气每周等时间间隔洒水二至七次，扬尘严重时加大洒水频次。一般原则每天早、中、晚各洒水一次，当风速大于3级、夏季晴好的天气应每隔3个小时洒水一次；当风速大于4级，停止施工。</w:t>
            </w:r>
          </w:p>
          <w:p>
            <w:pPr>
              <w:pStyle w:val="71"/>
              <w:bidi w:val="0"/>
              <w:rPr>
                <w:rFonts w:hint="default"/>
              </w:rPr>
            </w:pPr>
            <w:r>
              <w:rPr>
                <w:rFonts w:hint="default"/>
              </w:rPr>
              <w:t>②采取设置围栏、洒水压尘、加强物料防尘管理、及时清运施工垃圾等措施。运载设备材料的车辆为货车，车辆驶出装、卸场地前用水将</w:t>
            </w:r>
            <w:r>
              <w:rPr>
                <w:rFonts w:hint="eastAsia"/>
                <w:lang w:eastAsia="zh-CN"/>
              </w:rPr>
              <w:t>车厢</w:t>
            </w:r>
            <w:r>
              <w:rPr>
                <w:rFonts w:hint="default"/>
              </w:rPr>
              <w:t>和轮胎冲洗干净，运输车辆行驶路线要尽量避开居民点和环境敏感点。</w:t>
            </w:r>
            <w:bookmarkStart w:id="21" w:name="_Toc168121573"/>
            <w:bookmarkStart w:id="22" w:name="_Toc156819106"/>
            <w:bookmarkStart w:id="23" w:name="_Toc168121381"/>
            <w:bookmarkStart w:id="24" w:name="_Toc167859202"/>
            <w:bookmarkStart w:id="25" w:name="_Toc168312906"/>
          </w:p>
          <w:bookmarkEnd w:id="21"/>
          <w:bookmarkEnd w:id="22"/>
          <w:bookmarkEnd w:id="23"/>
          <w:bookmarkEnd w:id="24"/>
          <w:bookmarkEnd w:id="25"/>
          <w:p>
            <w:pPr>
              <w:pStyle w:val="2"/>
              <w:bidi w:val="0"/>
              <w:rPr>
                <w:rFonts w:hint="default"/>
              </w:rPr>
            </w:pPr>
            <w:r>
              <w:rPr>
                <w:rFonts w:hint="eastAsia"/>
                <w:lang w:val="en-US" w:eastAsia="zh-CN"/>
              </w:rPr>
              <w:t>2.</w:t>
            </w:r>
            <w:r>
              <w:rPr>
                <w:rFonts w:hint="default"/>
              </w:rPr>
              <w:t>施工期水污染控制措施</w:t>
            </w:r>
          </w:p>
          <w:p>
            <w:pPr>
              <w:pStyle w:val="71"/>
              <w:bidi w:val="0"/>
              <w:rPr>
                <w:rFonts w:hint="default"/>
              </w:rPr>
            </w:pPr>
            <w:r>
              <w:rPr>
                <w:rFonts w:hint="default"/>
              </w:rPr>
              <w:t>本项目施工期生产废水包括工程养护水及进出施工场地车辆清洗废水等。生产废水经沉淀池处理后全部用于施工现场喷洒道路</w:t>
            </w:r>
            <w:r>
              <w:rPr>
                <w:rFonts w:hint="default"/>
                <w:lang w:val="en-US" w:eastAsia="zh-CN"/>
              </w:rPr>
              <w:t>及自然蒸发</w:t>
            </w:r>
            <w:r>
              <w:rPr>
                <w:rFonts w:hint="default"/>
              </w:rPr>
              <w:t>，不外排，不会对周围环境造成不利影响。</w:t>
            </w:r>
          </w:p>
          <w:p>
            <w:pPr>
              <w:pStyle w:val="71"/>
              <w:bidi w:val="0"/>
              <w:rPr>
                <w:rFonts w:hint="default"/>
              </w:rPr>
            </w:pPr>
            <w:r>
              <w:rPr>
                <w:rFonts w:hint="default"/>
              </w:rPr>
              <w:t>①施工现场设一座废水沉淀池用于集中收集施工</w:t>
            </w:r>
            <w:r>
              <w:rPr>
                <w:rFonts w:hint="eastAsia"/>
                <w:lang w:val="en-US" w:eastAsia="zh-CN"/>
              </w:rPr>
              <w:t>废水</w:t>
            </w:r>
            <w:r>
              <w:rPr>
                <w:rFonts w:hint="default"/>
              </w:rPr>
              <w:t>，经沉淀处理后用于浇洒路面、场地降尘</w:t>
            </w:r>
            <w:r>
              <w:rPr>
                <w:rFonts w:hint="eastAsia"/>
                <w:lang w:eastAsia="zh-CN"/>
              </w:rPr>
              <w:t>、</w:t>
            </w:r>
            <w:r>
              <w:rPr>
                <w:rFonts w:hint="default"/>
              </w:rPr>
              <w:t>不外排。</w:t>
            </w:r>
          </w:p>
          <w:p>
            <w:pPr>
              <w:pStyle w:val="71"/>
              <w:bidi w:val="0"/>
              <w:rPr>
                <w:rFonts w:hint="default" w:ascii="Times New Roman" w:hAnsi="Times New Roman" w:eastAsia="宋体" w:cs="Times New Roman"/>
                <w:kern w:val="2"/>
                <w:szCs w:val="24"/>
                <w:lang w:val="en-US" w:eastAsia="zh-CN" w:bidi="ar-SA"/>
              </w:rPr>
            </w:pPr>
            <w:r>
              <w:rPr>
                <w:rFonts w:hint="default"/>
                <w:lang w:val="en-US" w:eastAsia="zh-CN"/>
              </w:rPr>
              <w:t>②加强施工人员管理及教育，做到施工废水不随意泼溅，进入废水沉淀池</w:t>
            </w:r>
            <w:r>
              <w:rPr>
                <w:rFonts w:hint="default" w:ascii="Times New Roman" w:hAnsi="Times New Roman" w:eastAsia="宋体" w:cs="Times New Roman"/>
                <w:kern w:val="2"/>
                <w:szCs w:val="24"/>
                <w:lang w:val="en-US" w:eastAsia="zh-CN" w:bidi="ar-SA"/>
              </w:rPr>
              <w:t>。</w:t>
            </w:r>
          </w:p>
          <w:p>
            <w:pPr>
              <w:pStyle w:val="2"/>
              <w:bidi w:val="0"/>
              <w:rPr>
                <w:rFonts w:hint="default"/>
              </w:rPr>
            </w:pPr>
            <w:r>
              <w:rPr>
                <w:rFonts w:hint="eastAsia"/>
                <w:lang w:val="en-US" w:eastAsia="zh-CN"/>
              </w:rPr>
              <w:t>3.</w:t>
            </w:r>
            <w:r>
              <w:rPr>
                <w:rFonts w:hint="default"/>
              </w:rPr>
              <w:t>施工期噪声控制措施</w:t>
            </w:r>
          </w:p>
          <w:p>
            <w:pPr>
              <w:pStyle w:val="71"/>
              <w:bidi w:val="0"/>
              <w:rPr>
                <w:rFonts w:hint="default"/>
              </w:rPr>
            </w:pPr>
            <w:r>
              <w:rPr>
                <w:rFonts w:hint="default"/>
              </w:rPr>
              <w:t>①从声源上控制：建设单位与施工单位签订合同时，应要求其使用的主要机械设备为低噪声机械设备。同时在施工过程中施工单位应设专人对设备进行定期保养和维护，并负责对现场工作人员进行培训，严格按操作规范使用各类机械。</w:t>
            </w:r>
          </w:p>
          <w:p>
            <w:pPr>
              <w:pStyle w:val="71"/>
              <w:bidi w:val="0"/>
              <w:rPr>
                <w:rFonts w:hint="default"/>
                <w:lang w:val="zh-CN"/>
              </w:rPr>
            </w:pPr>
            <w:r>
              <w:rPr>
                <w:rFonts w:hint="default"/>
              </w:rPr>
              <w:t>②合理安排施工时间：</w:t>
            </w:r>
            <w:r>
              <w:rPr>
                <w:rFonts w:hint="default"/>
                <w:lang w:val="zh-CN"/>
              </w:rPr>
              <w:t>首先制订施工计划时，应尽可能避免大量高噪声设备同时施工。除此之外，高噪声施工时间尽量安排在日间，减少夜间施工量。</w:t>
            </w:r>
          </w:p>
          <w:p>
            <w:pPr>
              <w:pStyle w:val="71"/>
              <w:bidi w:val="0"/>
              <w:rPr>
                <w:rFonts w:hint="default"/>
              </w:rPr>
            </w:pPr>
            <w:r>
              <w:rPr>
                <w:rFonts w:hint="default"/>
              </w:rPr>
              <w:t>③合理布置施工现场。施工现场应合理布局，将施工中的固定噪声源相对集中摆放，闲置不用的设备立即关闭，降低施工噪声对周边声环境的影响。</w:t>
            </w:r>
          </w:p>
          <w:p>
            <w:pPr>
              <w:pStyle w:val="71"/>
              <w:bidi w:val="0"/>
              <w:rPr>
                <w:rFonts w:hint="default"/>
              </w:rPr>
            </w:pPr>
            <w:r>
              <w:rPr>
                <w:rFonts w:hint="default"/>
              </w:rPr>
              <w:t>④车辆出入施工现场时应低速、禁鸣。</w:t>
            </w:r>
          </w:p>
          <w:p>
            <w:pPr>
              <w:pStyle w:val="2"/>
              <w:bidi w:val="0"/>
              <w:rPr>
                <w:rFonts w:hint="default"/>
              </w:rPr>
            </w:pPr>
            <w:bookmarkStart w:id="26" w:name="_Toc41270224"/>
            <w:bookmarkStart w:id="27" w:name="_Toc13105922"/>
            <w:bookmarkStart w:id="28" w:name="_Toc508028298"/>
            <w:bookmarkStart w:id="29" w:name="_Toc527339557"/>
            <w:bookmarkStart w:id="30" w:name="_Toc527339390"/>
            <w:bookmarkStart w:id="31" w:name="_Toc519840850"/>
            <w:bookmarkStart w:id="32" w:name="_Toc520705159"/>
            <w:r>
              <w:rPr>
                <w:rFonts w:hint="eastAsia"/>
                <w:lang w:val="en-US" w:eastAsia="zh-CN"/>
              </w:rPr>
              <w:t>4.</w:t>
            </w:r>
            <w:r>
              <w:rPr>
                <w:rFonts w:hint="default"/>
              </w:rPr>
              <w:t>施工期</w:t>
            </w:r>
            <w:bookmarkEnd w:id="26"/>
            <w:bookmarkEnd w:id="27"/>
            <w:bookmarkEnd w:id="28"/>
            <w:bookmarkEnd w:id="29"/>
            <w:bookmarkEnd w:id="30"/>
            <w:bookmarkEnd w:id="31"/>
            <w:bookmarkEnd w:id="32"/>
            <w:r>
              <w:rPr>
                <w:rFonts w:hint="eastAsia"/>
                <w:lang w:val="en-US" w:eastAsia="zh-CN"/>
              </w:rPr>
              <w:t>固体废物</w:t>
            </w:r>
            <w:r>
              <w:rPr>
                <w:rFonts w:hint="default"/>
              </w:rPr>
              <w:t>控制措施</w:t>
            </w:r>
          </w:p>
          <w:p>
            <w:pPr>
              <w:pStyle w:val="71"/>
              <w:bidi w:val="0"/>
              <w:rPr>
                <w:rFonts w:hint="default"/>
              </w:rPr>
            </w:pPr>
            <w:r>
              <w:rPr>
                <w:rFonts w:hint="default"/>
              </w:rPr>
              <w:t>本项目施工期间，产生的固体废弃物主要有：基础工程产生的工程渣土，主体工程施工和装饰工程施工产生的废物料等建筑垃圾。施工单位应按照国家和当地有关建筑垃圾和工程渣土处置管理的规定，认真执行《</w:t>
            </w:r>
            <w:r>
              <w:rPr>
                <w:rFonts w:hint="eastAsia"/>
                <w:lang w:eastAsia="zh-CN"/>
              </w:rPr>
              <w:t>中华人民共和国固体废物污染环境防治法</w:t>
            </w:r>
            <w:r>
              <w:rPr>
                <w:rFonts w:hint="default"/>
              </w:rPr>
              <w:t>》，在施工期固体废弃物的处置过程中，采取如下管理措施：</w:t>
            </w:r>
          </w:p>
          <w:p>
            <w:pPr>
              <w:pStyle w:val="71"/>
              <w:bidi w:val="0"/>
              <w:rPr>
                <w:rFonts w:hint="default"/>
              </w:rPr>
            </w:pPr>
            <w:r>
              <w:rPr>
                <w:rFonts w:hint="default"/>
              </w:rPr>
              <w:t>（1）渣土尽量在场内周转，就地用于绿化、道路生态景观建设等，必须外运的弃土以及建筑垃圾应运至专门的建筑垃圾堆放场。</w:t>
            </w:r>
          </w:p>
          <w:p>
            <w:pPr>
              <w:pStyle w:val="71"/>
              <w:bidi w:val="0"/>
              <w:rPr>
                <w:rFonts w:hint="default" w:ascii="Times New Roman" w:hAnsi="Times New Roman" w:eastAsia="宋体" w:cs="Times New Roman"/>
                <w:color w:val="auto"/>
                <w:kern w:val="2"/>
                <w:szCs w:val="20"/>
                <w:lang w:val="en-US" w:eastAsia="zh-CN" w:bidi="ar-SA"/>
              </w:rPr>
            </w:pPr>
            <w:r>
              <w:rPr>
                <w:rFonts w:hint="default"/>
              </w:rPr>
              <w:t>（2）在工程竣工后，施工单位应拆除各种临时施工设施，并负责将工地的剩余建筑垃圾、工程渣土处理干净，做到</w:t>
            </w:r>
            <w:r>
              <w:rPr>
                <w:rFonts w:hint="eastAsia"/>
                <w:lang w:eastAsia="zh-CN"/>
              </w:rPr>
              <w:t>“</w:t>
            </w:r>
            <w:r>
              <w:rPr>
                <w:rFonts w:hint="default"/>
              </w:rPr>
              <w:t>工完、料尽、场地清</w:t>
            </w:r>
            <w:r>
              <w:rPr>
                <w:rFonts w:hint="eastAsia"/>
                <w:lang w:eastAsia="zh-CN"/>
              </w:rPr>
              <w:t>”</w:t>
            </w:r>
            <w:r>
              <w:rPr>
                <w:rFonts w:hint="default"/>
              </w:rPr>
              <w:t>，建设单</w:t>
            </w:r>
            <w:r>
              <w:rPr>
                <w:rFonts w:hint="default"/>
                <w:lang w:val="en-US" w:eastAsia="zh-CN"/>
              </w:rPr>
              <w:t>位应负责督促施工单位的固体废弃物处置清理工作。</w:t>
            </w:r>
          </w:p>
          <w:p>
            <w:pPr>
              <w:keepNext w:val="0"/>
              <w:keepLines w:val="0"/>
              <w:pageBreakBefore w:val="0"/>
              <w:widowControl w:val="0"/>
              <w:kinsoku/>
              <w:wordWrap/>
              <w:overflowPunct/>
              <w:topLinePunct w:val="0"/>
              <w:autoSpaceDE/>
              <w:autoSpaceDN/>
              <w:bidi w:val="0"/>
              <w:adjustRightInd w:val="0"/>
              <w:snapToGrid w:val="0"/>
              <w:spacing w:line="520" w:lineRule="exact"/>
              <w:ind w:firstLine="380" w:firstLineChars="200"/>
              <w:textAlignment w:val="auto"/>
              <w:rPr>
                <w:rFonts w:hint="default" w:ascii="Times New Roman" w:hAnsi="Times New Roman" w:cs="Times New Roman"/>
                <w:bCs/>
                <w:spacing w:val="-10"/>
                <w:szCs w:val="21"/>
              </w:rPr>
            </w:pPr>
          </w:p>
          <w:p>
            <w:pPr>
              <w:pStyle w:val="2"/>
              <w:rPr>
                <w:rFonts w:hint="default" w:ascii="Times New Roman" w:hAnsi="Times New Roman" w:cs="Times New Roman"/>
                <w:bCs w:val="0"/>
                <w:spacing w:val="-10"/>
                <w:szCs w:val="21"/>
              </w:rPr>
            </w:pPr>
          </w:p>
          <w:p>
            <w:pPr>
              <w:rPr>
                <w:rFonts w:hint="default" w:ascii="Times New Roman" w:hAnsi="Times New Roman" w:cs="Times New Roman"/>
                <w:bCs/>
                <w:spacing w:val="-10"/>
                <w:szCs w:val="21"/>
              </w:rPr>
            </w:pPr>
          </w:p>
          <w:p>
            <w:pPr>
              <w:pStyle w:val="2"/>
              <w:rPr>
                <w:rFonts w:hint="default" w:ascii="Times New Roman" w:hAnsi="Times New Roman" w:cs="Times New Roman"/>
                <w:bCs w:val="0"/>
                <w:spacing w:val="-10"/>
                <w:szCs w:val="21"/>
              </w:rPr>
            </w:pPr>
          </w:p>
          <w:p>
            <w:pPr>
              <w:rPr>
                <w:rFonts w:hint="default" w:ascii="Times New Roman" w:hAnsi="Times New Roman" w:cs="Times New Roman"/>
                <w:bCs/>
                <w:spacing w:val="-10"/>
                <w:szCs w:val="21"/>
              </w:rPr>
            </w:pPr>
          </w:p>
          <w:p>
            <w:pPr>
              <w:pStyle w:val="2"/>
              <w:rPr>
                <w:rFonts w:hint="default" w:ascii="Times New Roman" w:hAnsi="Times New Roman" w:cs="Times New Roman"/>
                <w:bCs w:val="0"/>
                <w:spacing w:val="-10"/>
                <w:szCs w:val="21"/>
              </w:rPr>
            </w:pPr>
          </w:p>
          <w:p>
            <w:pPr>
              <w:rPr>
                <w:rFonts w:hint="default" w:ascii="Times New Roman" w:hAnsi="Times New Roman" w:cs="Times New Roman"/>
              </w:rPr>
            </w:pPr>
          </w:p>
          <w:p>
            <w:pPr>
              <w:pStyle w:val="9"/>
              <w:ind w:left="0" w:leftChars="0" w:firstLine="0" w:firstLineChars="0"/>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746" w:type="dxa"/>
            <w:noWrap w:val="0"/>
            <w:tcMar>
              <w:left w:w="28" w:type="dxa"/>
              <w:right w:w="28" w:type="dxa"/>
            </w:tcMar>
            <w:vAlign w:val="center"/>
          </w:tcPr>
          <w:p>
            <w:pPr>
              <w:pStyle w:val="19"/>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运营期环境影响和保护措施</w:t>
            </w:r>
          </w:p>
        </w:tc>
        <w:tc>
          <w:tcPr>
            <w:tcW w:w="8162" w:type="dxa"/>
            <w:noWrap w:val="0"/>
            <w:vAlign w:val="top"/>
          </w:tcPr>
          <w:p>
            <w:pPr>
              <w:pStyle w:val="2"/>
              <w:bidi w:val="0"/>
              <w:rPr>
                <w:rFonts w:hint="eastAsia"/>
              </w:rPr>
            </w:pPr>
            <w:r>
              <w:rPr>
                <w:rFonts w:hint="eastAsia"/>
                <w:lang w:val="en-US" w:eastAsia="zh-CN"/>
              </w:rPr>
              <w:t>1.</w:t>
            </w:r>
            <w:r>
              <w:rPr>
                <w:rFonts w:hint="eastAsia"/>
              </w:rPr>
              <w:t>大气环境影响和保护措施</w:t>
            </w:r>
          </w:p>
          <w:p>
            <w:pPr>
              <w:pStyle w:val="2"/>
              <w:bidi w:val="0"/>
              <w:rPr>
                <w:rFonts w:hint="eastAsia"/>
                <w:lang w:val="en-US" w:eastAsia="zh-CN"/>
              </w:rPr>
            </w:pPr>
            <w:r>
              <w:rPr>
                <w:rFonts w:hint="eastAsia"/>
                <w:lang w:val="en-US" w:eastAsia="zh-CN"/>
              </w:rPr>
              <w:t>1.1</w:t>
            </w:r>
            <w:r>
              <w:t>废气污染源源强</w:t>
            </w:r>
            <w:r>
              <w:rPr>
                <w:rFonts w:hint="eastAsia"/>
                <w:lang w:val="en-US" w:eastAsia="zh-CN"/>
              </w:rPr>
              <w:t>分析</w:t>
            </w:r>
          </w:p>
          <w:p>
            <w:pPr>
              <w:pStyle w:val="7"/>
              <w:bidi w:val="0"/>
              <w:rPr>
                <w:rFonts w:hint="default" w:eastAsia="宋体"/>
                <w:lang w:val="en-US" w:eastAsia="zh-CN"/>
              </w:rPr>
            </w:pPr>
            <w:r>
              <w:rPr>
                <w:rFonts w:hint="eastAsia"/>
              </w:rPr>
              <w:t>项目产生的废气主要包括：</w:t>
            </w:r>
            <w:r>
              <w:rPr>
                <w:rFonts w:hint="eastAsia"/>
                <w:lang w:val="en-US" w:eastAsia="zh-CN"/>
              </w:rPr>
              <w:t>待宰圈、屠宰车间、污水处理站产生的氨气、二氧化硫等恶臭气体。</w:t>
            </w:r>
          </w:p>
          <w:p>
            <w:pPr>
              <w:pStyle w:val="2"/>
              <w:bidi w:val="0"/>
              <w:rPr>
                <w:rFonts w:hint="default"/>
                <w:lang w:val="en-US" w:eastAsia="zh-CN"/>
              </w:rPr>
            </w:pPr>
            <w:r>
              <w:rPr>
                <w:rFonts w:hint="default"/>
                <w:lang w:val="en-US" w:eastAsia="zh-CN"/>
              </w:rPr>
              <w:t>（1）待宰圈恶臭</w:t>
            </w:r>
            <w:r>
              <w:rPr>
                <w:rFonts w:hint="eastAsia"/>
                <w:lang w:val="en-US" w:eastAsia="zh-CN"/>
              </w:rPr>
              <w:t>气体</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本项目牛羊待宰圈采用生态垫料养殖工艺，待宰牛羊仅在待宰圈实行12~24h的待宰管理，只进水不喂食，产生的粪便较少。本项目年屠宰肉牛1</w:t>
            </w:r>
            <w:r>
              <w:rPr>
                <w:rFonts w:hint="eastAsia" w:cs="Times New Roman"/>
                <w:sz w:val="24"/>
                <w:szCs w:val="24"/>
                <w:lang w:val="en-US" w:eastAsia="zh-CN"/>
              </w:rPr>
              <w:t>8</w:t>
            </w:r>
            <w:r>
              <w:rPr>
                <w:rFonts w:hint="default" w:ascii="Times New Roman" w:hAnsi="Times New Roman" w:eastAsia="宋体" w:cs="Times New Roman"/>
                <w:sz w:val="24"/>
                <w:szCs w:val="24"/>
                <w:lang w:val="en-US" w:eastAsia="zh-CN"/>
              </w:rPr>
              <w:t>00头，肉羊</w:t>
            </w:r>
            <w:r>
              <w:rPr>
                <w:rFonts w:hint="eastAsia" w:cs="Times New Roman"/>
                <w:sz w:val="24"/>
                <w:szCs w:val="24"/>
                <w:lang w:val="en-US" w:eastAsia="zh-CN"/>
              </w:rPr>
              <w:t>18</w:t>
            </w:r>
            <w:r>
              <w:rPr>
                <w:rFonts w:hint="default" w:ascii="Times New Roman" w:hAnsi="Times New Roman" w:eastAsia="宋体" w:cs="Times New Roman"/>
                <w:sz w:val="24"/>
                <w:szCs w:val="24"/>
                <w:lang w:val="en-US" w:eastAsia="zh-CN"/>
              </w:rPr>
              <w:t>000只，则项目待宰圈每天最大存栏肉牛</w:t>
            </w:r>
            <w:r>
              <w:rPr>
                <w:rFonts w:hint="eastAsia" w:cs="Times New Roman"/>
                <w:sz w:val="24"/>
                <w:szCs w:val="24"/>
                <w:lang w:val="en-US" w:eastAsia="zh-CN"/>
              </w:rPr>
              <w:t>6</w:t>
            </w:r>
            <w:r>
              <w:rPr>
                <w:rFonts w:hint="default" w:ascii="Times New Roman" w:hAnsi="Times New Roman" w:eastAsia="宋体" w:cs="Times New Roman"/>
                <w:sz w:val="24"/>
                <w:szCs w:val="24"/>
                <w:lang w:val="en-US" w:eastAsia="zh-CN"/>
              </w:rPr>
              <w:t>头，肉羊</w:t>
            </w:r>
            <w:r>
              <w:rPr>
                <w:rFonts w:hint="eastAsia" w:cs="Times New Roman"/>
                <w:sz w:val="24"/>
                <w:szCs w:val="24"/>
                <w:lang w:val="en-US" w:eastAsia="zh-CN"/>
              </w:rPr>
              <w:t>60</w:t>
            </w:r>
            <w:r>
              <w:rPr>
                <w:rFonts w:hint="default" w:ascii="Times New Roman" w:hAnsi="Times New Roman" w:eastAsia="宋体" w:cs="Times New Roman"/>
                <w:sz w:val="24"/>
                <w:szCs w:val="24"/>
                <w:lang w:val="en-US" w:eastAsia="zh-CN"/>
              </w:rPr>
              <w:t>只。根据《排污许可申请与核发技术规范畜禽养殖行业》（HJ1029-2019）中畜禽污染物产生量，肉牛粪便产生量为10.88kg/d·头，肉羊折合后为0.41kg/d·只，</w:t>
            </w:r>
            <w:r>
              <w:rPr>
                <w:rFonts w:hint="eastAsia" w:cs="Times New Roman"/>
                <w:sz w:val="24"/>
                <w:szCs w:val="24"/>
                <w:lang w:val="en-US" w:eastAsia="zh-CN"/>
              </w:rPr>
              <w:t>根据《动物营养学报》，牛采食后5.5±1.2小时出现排粪高峰，待宰牛羊一般在进入待宰圈前一天进行最后一次喂食，进入</w:t>
            </w:r>
            <w:r>
              <w:rPr>
                <w:rFonts w:hint="default" w:ascii="Times New Roman" w:hAnsi="Times New Roman" w:eastAsia="宋体" w:cs="Times New Roman"/>
                <w:sz w:val="24"/>
                <w:szCs w:val="24"/>
                <w:lang w:val="en-US" w:eastAsia="zh-CN"/>
              </w:rPr>
              <w:t>待宰圈内牛羊不再进食，因此本评价按上述产物量的10%计，则一天产生牛粪为</w:t>
            </w:r>
            <w:r>
              <w:rPr>
                <w:rFonts w:hint="eastAsia" w:cs="Times New Roman"/>
                <w:sz w:val="24"/>
                <w:szCs w:val="24"/>
                <w:lang w:val="en-US" w:eastAsia="zh-CN"/>
              </w:rPr>
              <w:t>6.528</w:t>
            </w:r>
            <w:r>
              <w:rPr>
                <w:rFonts w:hint="default" w:ascii="Times New Roman" w:hAnsi="Times New Roman" w:eastAsia="宋体" w:cs="Times New Roman"/>
                <w:sz w:val="24"/>
                <w:szCs w:val="24"/>
                <w:lang w:val="en-US" w:eastAsia="zh-CN"/>
              </w:rPr>
              <w:t>kg，羊粪为2.</w:t>
            </w:r>
            <w:r>
              <w:rPr>
                <w:rFonts w:hint="eastAsia" w:cs="Times New Roman"/>
                <w:sz w:val="24"/>
                <w:szCs w:val="24"/>
                <w:lang w:val="en-US" w:eastAsia="zh-CN"/>
              </w:rPr>
              <w:t>46</w:t>
            </w:r>
            <w:r>
              <w:rPr>
                <w:rFonts w:hint="default" w:ascii="Times New Roman" w:hAnsi="Times New Roman" w:eastAsia="宋体" w:cs="Times New Roman"/>
                <w:sz w:val="24"/>
                <w:szCs w:val="24"/>
                <w:lang w:val="en-US" w:eastAsia="zh-CN"/>
              </w:rPr>
              <w:t>kg。</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sz w:val="24"/>
                <w:szCs w:val="24"/>
                <w:lang w:val="en-US" w:eastAsia="zh-CN"/>
              </w:rPr>
              <w:t>参考论文《中国畜禽粪便产生量估算及环境效应》（中国环境科学，2006，2</w:t>
            </w:r>
            <w:r>
              <w:rPr>
                <w:rFonts w:hint="eastAsia" w:cs="Times New Roman"/>
                <w:sz w:val="24"/>
                <w:szCs w:val="24"/>
                <w:lang w:val="en-US" w:eastAsia="zh-CN"/>
              </w:rPr>
              <w:t>6（5）</w:t>
            </w:r>
            <w:r>
              <w:rPr>
                <w:rFonts w:hint="default" w:ascii="Times New Roman" w:hAnsi="Times New Roman" w:eastAsia="宋体" w:cs="Times New Roman"/>
                <w:sz w:val="24"/>
                <w:szCs w:val="24"/>
                <w:lang w:val="en-US" w:eastAsia="zh-CN"/>
              </w:rPr>
              <w:t>：614~617），牛粪中含氮量约为0.351%，羊粪中含氮量约为1.014%。参考《恶臭环境科学词典》（北京大学出版社，1993年1月第1版），牛粪中含硫量约为0.15%，羊粪中含硫量约为0.1%。考虑项目管理得当，总硫、总氮转化为硫化氢、氨气的总量不超过其总量的10%，本次评价按其最不利条件，转化率按10%计算</w:t>
            </w:r>
            <w:r>
              <w:rPr>
                <w:rFonts w:hint="default" w:ascii="Times New Roman" w:hAnsi="Times New Roman" w:cs="Times New Roman"/>
                <w:b w:val="0"/>
                <w:bCs w:val="0"/>
                <w:color w:val="auto"/>
                <w:sz w:val="24"/>
                <w:szCs w:val="24"/>
                <w:lang w:val="en-US" w:eastAsia="zh-CN"/>
              </w:rPr>
              <w:t>。通过喷洒生物除臭剂能减少约80%排放量</w:t>
            </w:r>
            <w:r>
              <w:rPr>
                <w:rFonts w:hint="eastAsia"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本项目待宰圈NH</w:t>
            </w:r>
            <w:r>
              <w:rPr>
                <w:rFonts w:hint="default" w:ascii="Times New Roman" w:hAnsi="Times New Roman" w:eastAsia="宋体" w:cs="Times New Roman"/>
                <w:sz w:val="24"/>
                <w:szCs w:val="24"/>
                <w:vertAlign w:val="subscript"/>
                <w:lang w:val="en-US" w:eastAsia="zh-CN"/>
              </w:rPr>
              <w:t>3</w:t>
            </w:r>
            <w:r>
              <w:rPr>
                <w:rFonts w:hint="default" w:ascii="Times New Roman" w:hAnsi="Times New Roman" w:eastAsia="宋体" w:cs="Times New Roman"/>
                <w:sz w:val="24"/>
                <w:szCs w:val="24"/>
                <w:lang w:val="en-US" w:eastAsia="zh-CN"/>
              </w:rPr>
              <w:t>、H</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S产生量</w:t>
            </w:r>
            <w:r>
              <w:rPr>
                <w:rFonts w:hint="eastAsia" w:cs="Times New Roman"/>
                <w:sz w:val="24"/>
                <w:szCs w:val="24"/>
                <w:lang w:val="en-US" w:eastAsia="zh-CN"/>
              </w:rPr>
              <w:t>及排放量</w:t>
            </w:r>
            <w:r>
              <w:rPr>
                <w:rFonts w:hint="default" w:ascii="Times New Roman" w:hAnsi="Times New Roman" w:eastAsia="宋体" w:cs="Times New Roman"/>
                <w:sz w:val="24"/>
                <w:szCs w:val="24"/>
                <w:lang w:val="en-US" w:eastAsia="zh-CN"/>
              </w:rPr>
              <w:t>详见下表4-</w:t>
            </w:r>
            <w:r>
              <w:rPr>
                <w:rFonts w:hint="eastAsia" w:cs="Times New Roman"/>
                <w:sz w:val="24"/>
                <w:szCs w:val="24"/>
                <w:lang w:val="en-US" w:eastAsia="zh-CN"/>
              </w:rPr>
              <w:t>1</w:t>
            </w:r>
            <w:r>
              <w:rPr>
                <w:rFonts w:hint="default" w:ascii="Times New Roman" w:hAnsi="Times New Roman" w:eastAsia="宋体" w:cs="Times New Roman"/>
                <w:sz w:val="24"/>
                <w:szCs w:val="24"/>
                <w:lang w:val="en-US" w:eastAsia="zh-CN"/>
              </w:rPr>
              <w:t>。</w:t>
            </w:r>
          </w:p>
          <w:p>
            <w:pPr>
              <w:pStyle w:val="49"/>
              <w:bidi w:val="0"/>
              <w:rPr>
                <w:rFonts w:hint="default" w:ascii="Times New Roman" w:hAnsi="Times New Roman" w:cs="Times New Roman"/>
                <w:b w:val="0"/>
                <w:bCs w:val="0"/>
                <w:color w:val="auto"/>
                <w:szCs w:val="24"/>
                <w:lang w:val="en-US" w:eastAsia="zh-CN"/>
              </w:rPr>
            </w:pPr>
            <w:r>
              <w:rPr>
                <w:rFonts w:hint="default" w:ascii="Times New Roman" w:hAnsi="Times New Roman" w:cs="Times New Roman"/>
                <w:lang w:val="en-US" w:eastAsia="zh-CN"/>
              </w:rPr>
              <w:t>表4-</w:t>
            </w:r>
            <w:r>
              <w:rPr>
                <w:rFonts w:hint="eastAsia" w:ascii="Times New Roman" w:hAnsi="Times New Roman" w:cs="Times New Roman"/>
                <w:lang w:val="en-US" w:eastAsia="zh-CN"/>
              </w:rPr>
              <w:t xml:space="preserve">1   </w:t>
            </w:r>
            <w:r>
              <w:rPr>
                <w:rFonts w:hint="default" w:ascii="Times New Roman" w:hAnsi="Times New Roman" w:cs="Times New Roman"/>
                <w:lang w:val="en-US" w:eastAsia="zh-CN"/>
              </w:rPr>
              <w:t>待宰圈恶臭污染源一览表</w:t>
            </w:r>
          </w:p>
          <w:tbl>
            <w:tblPr>
              <w:tblStyle w:val="25"/>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741"/>
              <w:gridCol w:w="796"/>
              <w:gridCol w:w="1050"/>
              <w:gridCol w:w="1073"/>
              <w:gridCol w:w="750"/>
              <w:gridCol w:w="739"/>
              <w:gridCol w:w="115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restar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项目</w:t>
                  </w:r>
                </w:p>
              </w:tc>
              <w:tc>
                <w:tcPr>
                  <w:tcW w:w="4756" w:type="pct"/>
                  <w:gridSpan w:val="8"/>
                  <w:noWrap w:val="0"/>
                  <w:vAlign w:val="center"/>
                </w:tcPr>
                <w:p>
                  <w:pPr>
                    <w:pStyle w:val="69"/>
                    <w:bidi w:val="0"/>
                    <w:jc w:val="center"/>
                    <w:rPr>
                      <w:rFonts w:hint="default" w:ascii="Times New Roman" w:hAnsi="Times New Roman" w:cs="Times New Roman"/>
                      <w:lang w:eastAsia="zh-CN"/>
                    </w:rPr>
                  </w:pPr>
                  <w:r>
                    <w:rPr>
                      <w:rFonts w:hint="default" w:ascii="Times New Roman" w:hAnsi="Times New Roman" w:cs="Times New Roman"/>
                      <w:lang w:val="en-US" w:eastAsia="zh-CN"/>
                    </w:rPr>
                    <w:t>污染物产生情况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noWrap w:val="0"/>
                  <w:vAlign w:val="center"/>
                </w:tcPr>
                <w:p>
                  <w:pPr>
                    <w:pStyle w:val="69"/>
                    <w:bidi w:val="0"/>
                    <w:jc w:val="center"/>
                    <w:rPr>
                      <w:rFonts w:hint="default" w:ascii="Times New Roman" w:hAnsi="Times New Roman" w:cs="Times New Roman"/>
                      <w:lang w:val="en-US" w:eastAsia="zh-CN"/>
                    </w:rPr>
                  </w:pPr>
                </w:p>
              </w:tc>
              <w:tc>
                <w:tcPr>
                  <w:tcW w:w="2279" w:type="pct"/>
                  <w:gridSpan w:val="4"/>
                  <w:noWrap w:val="0"/>
                  <w:vAlign w:val="center"/>
                </w:tcPr>
                <w:p>
                  <w:pPr>
                    <w:pStyle w:val="69"/>
                    <w:bidi w:val="0"/>
                    <w:jc w:val="center"/>
                    <w:rPr>
                      <w:rFonts w:hint="default" w:ascii="Times New Roman" w:hAnsi="Times New Roman" w:cs="Times New Roman"/>
                      <w:lang w:eastAsia="zh-CN"/>
                    </w:rPr>
                  </w:pPr>
                  <w:r>
                    <w:rPr>
                      <w:rFonts w:hint="default" w:ascii="Times New Roman" w:hAnsi="Times New Roman" w:cs="Times New Roman"/>
                      <w:lang w:val="en-US" w:eastAsia="zh-CN"/>
                    </w:rPr>
                    <w:t>氨</w:t>
                  </w:r>
                </w:p>
              </w:tc>
              <w:tc>
                <w:tcPr>
                  <w:tcW w:w="2476" w:type="pct"/>
                  <w:gridSpan w:val="4"/>
                  <w:noWrap w:val="0"/>
                  <w:vAlign w:val="center"/>
                </w:tcPr>
                <w:p>
                  <w:pPr>
                    <w:pStyle w:val="69"/>
                    <w:bidi w:val="0"/>
                    <w:jc w:val="center"/>
                    <w:rPr>
                      <w:rFonts w:hint="default" w:ascii="Times New Roman" w:hAnsi="Times New Roman" w:cs="Times New Roman"/>
                      <w:lang w:eastAsia="zh-CN"/>
                    </w:rPr>
                  </w:pPr>
                  <w:r>
                    <w:rPr>
                      <w:rFonts w:hint="default" w:ascii="Times New Roman" w:hAnsi="Times New Roman" w:cs="Times New Roman"/>
                      <w:lang w:val="en-US" w:eastAsia="zh-CN"/>
                    </w:rPr>
                    <w:t>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noWrap w:val="0"/>
                  <w:vAlign w:val="center"/>
                </w:tcPr>
                <w:p>
                  <w:pPr>
                    <w:pStyle w:val="69"/>
                    <w:bidi w:val="0"/>
                    <w:jc w:val="center"/>
                    <w:rPr>
                      <w:rFonts w:hint="default" w:ascii="Times New Roman" w:hAnsi="Times New Roman" w:cs="Times New Roman"/>
                      <w:lang w:val="en-US" w:eastAsia="zh-CN"/>
                    </w:rPr>
                  </w:pPr>
                </w:p>
              </w:tc>
              <w:tc>
                <w:tcPr>
                  <w:tcW w:w="461" w:type="pct"/>
                  <w:noWrap w:val="0"/>
                  <w:vAlign w:val="center"/>
                </w:tcPr>
                <w:p>
                  <w:pPr>
                    <w:pStyle w:val="69"/>
                    <w:bidi w:val="0"/>
                    <w:jc w:val="center"/>
                    <w:rPr>
                      <w:rFonts w:hint="default" w:ascii="Times New Roman" w:hAnsi="Times New Roman" w:cs="Times New Roman"/>
                      <w:lang w:val="en-US" w:eastAsia="zh-CN"/>
                    </w:rPr>
                  </w:pPr>
                  <w:r>
                    <w:rPr>
                      <w:rFonts w:hint="eastAsia" w:cs="Times New Roman"/>
                      <w:lang w:val="en-US" w:eastAsia="zh-CN"/>
                    </w:rPr>
                    <w:t>产生</w:t>
                  </w:r>
                  <w:r>
                    <w:rPr>
                      <w:rFonts w:hint="default" w:ascii="Times New Roman" w:hAnsi="Times New Roman" w:cs="Times New Roman"/>
                      <w:lang w:val="en-US" w:eastAsia="zh-CN"/>
                    </w:rPr>
                    <w:t>速率</w:t>
                  </w:r>
                </w:p>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（kg/h）</w:t>
                  </w:r>
                </w:p>
              </w:tc>
              <w:tc>
                <w:tcPr>
                  <w:tcW w:w="495"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产生量</w:t>
                  </w:r>
                </w:p>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（t/a）</w:t>
                  </w:r>
                </w:p>
              </w:tc>
              <w:tc>
                <w:tcPr>
                  <w:tcW w:w="654" w:type="pct"/>
                  <w:noWrap w:val="0"/>
                  <w:vAlign w:val="center"/>
                </w:tcPr>
                <w:p>
                  <w:pPr>
                    <w:pStyle w:val="69"/>
                    <w:bidi w:val="0"/>
                    <w:jc w:val="center"/>
                    <w:rPr>
                      <w:rFonts w:hint="default" w:ascii="Times New Roman" w:hAnsi="Times New Roman" w:cs="Times New Roman"/>
                      <w:lang w:val="en-US" w:eastAsia="zh-CN"/>
                    </w:rPr>
                  </w:pPr>
                  <w:r>
                    <w:rPr>
                      <w:rFonts w:hint="eastAsia" w:cs="Times New Roman"/>
                      <w:lang w:val="en-US" w:eastAsia="zh-CN"/>
                    </w:rPr>
                    <w:t>排放</w:t>
                  </w:r>
                  <w:r>
                    <w:rPr>
                      <w:rFonts w:hint="default" w:ascii="Times New Roman" w:hAnsi="Times New Roman" w:cs="Times New Roman"/>
                      <w:lang w:val="en-US" w:eastAsia="zh-CN"/>
                    </w:rPr>
                    <w:t>速率</w:t>
                  </w:r>
                </w:p>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（kg/h）</w:t>
                  </w:r>
                </w:p>
              </w:tc>
              <w:tc>
                <w:tcPr>
                  <w:tcW w:w="668"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排放量</w:t>
                  </w:r>
                </w:p>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（t/a）</w:t>
                  </w:r>
                </w:p>
              </w:tc>
              <w:tc>
                <w:tcPr>
                  <w:tcW w:w="467" w:type="pct"/>
                  <w:noWrap w:val="0"/>
                  <w:vAlign w:val="center"/>
                </w:tcPr>
                <w:p>
                  <w:pPr>
                    <w:pStyle w:val="69"/>
                    <w:bidi w:val="0"/>
                    <w:jc w:val="center"/>
                    <w:rPr>
                      <w:rFonts w:hint="default" w:ascii="Times New Roman" w:hAnsi="Times New Roman" w:cs="Times New Roman"/>
                      <w:lang w:val="en-US" w:eastAsia="zh-CN"/>
                    </w:rPr>
                  </w:pPr>
                  <w:r>
                    <w:rPr>
                      <w:rFonts w:hint="eastAsia" w:cs="Times New Roman"/>
                      <w:lang w:val="en-US" w:eastAsia="zh-CN"/>
                    </w:rPr>
                    <w:t>产生</w:t>
                  </w:r>
                  <w:r>
                    <w:rPr>
                      <w:rFonts w:hint="default" w:ascii="Times New Roman" w:hAnsi="Times New Roman" w:cs="Times New Roman"/>
                      <w:lang w:val="en-US" w:eastAsia="zh-CN"/>
                    </w:rPr>
                    <w:t>速率</w:t>
                  </w:r>
                </w:p>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（kg/h）</w:t>
                  </w:r>
                </w:p>
              </w:tc>
              <w:tc>
                <w:tcPr>
                  <w:tcW w:w="460"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产生量（t/a）</w:t>
                  </w:r>
                </w:p>
              </w:tc>
              <w:tc>
                <w:tcPr>
                  <w:tcW w:w="718" w:type="pct"/>
                  <w:noWrap w:val="0"/>
                  <w:vAlign w:val="center"/>
                </w:tcPr>
                <w:p>
                  <w:pPr>
                    <w:pStyle w:val="69"/>
                    <w:bidi w:val="0"/>
                    <w:jc w:val="center"/>
                    <w:rPr>
                      <w:rFonts w:hint="default" w:ascii="Times New Roman" w:hAnsi="Times New Roman" w:cs="Times New Roman"/>
                      <w:lang w:val="en-US" w:eastAsia="zh-CN"/>
                    </w:rPr>
                  </w:pPr>
                  <w:r>
                    <w:rPr>
                      <w:rFonts w:hint="eastAsia" w:cs="Times New Roman"/>
                      <w:lang w:val="en-US" w:eastAsia="zh-CN"/>
                    </w:rPr>
                    <w:t>排放</w:t>
                  </w:r>
                  <w:r>
                    <w:rPr>
                      <w:rFonts w:hint="default" w:ascii="Times New Roman" w:hAnsi="Times New Roman" w:cs="Times New Roman"/>
                      <w:lang w:val="en-US" w:eastAsia="zh-CN"/>
                    </w:rPr>
                    <w:t>速率</w:t>
                  </w:r>
                </w:p>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（kg/h）</w:t>
                  </w:r>
                </w:p>
              </w:tc>
              <w:tc>
                <w:tcPr>
                  <w:tcW w:w="830"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排放量</w:t>
                  </w:r>
                </w:p>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牛</w:t>
                  </w:r>
                </w:p>
              </w:tc>
              <w:tc>
                <w:tcPr>
                  <w:tcW w:w="461"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9.55×10</w:t>
                  </w:r>
                  <w:r>
                    <w:rPr>
                      <w:rFonts w:hint="default" w:ascii="Times New Roman" w:hAnsi="Times New Roman" w:cs="Times New Roman"/>
                      <w:vertAlign w:val="superscript"/>
                      <w:lang w:val="en-US" w:eastAsia="zh-CN"/>
                    </w:rPr>
                    <w:t>-5</w:t>
                  </w:r>
                </w:p>
              </w:tc>
              <w:tc>
                <w:tcPr>
                  <w:tcW w:w="495"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6.87×10</w:t>
                  </w:r>
                  <w:r>
                    <w:rPr>
                      <w:rFonts w:hint="default" w:ascii="Times New Roman" w:hAnsi="Times New Roman" w:cs="Times New Roman"/>
                      <w:vertAlign w:val="superscript"/>
                      <w:lang w:val="en-US" w:eastAsia="zh-CN"/>
                    </w:rPr>
                    <w:t>-4</w:t>
                  </w:r>
                </w:p>
              </w:tc>
              <w:tc>
                <w:tcPr>
                  <w:tcW w:w="654" w:type="pct"/>
                  <w:noWrap w:val="0"/>
                  <w:vAlign w:val="center"/>
                </w:tcPr>
                <w:p>
                  <w:pPr>
                    <w:pStyle w:val="69"/>
                    <w:bidi w:val="0"/>
                    <w:jc w:val="center"/>
                    <w:rPr>
                      <w:rFonts w:hint="default" w:ascii="Times New Roman" w:hAnsi="Times New Roman" w:cs="Times New Roman"/>
                      <w:lang w:val="en-US" w:eastAsia="zh-CN"/>
                    </w:rPr>
                  </w:pPr>
                  <w:r>
                    <w:rPr>
                      <w:rFonts w:hint="eastAsia" w:cs="Times New Roman"/>
                      <w:lang w:val="en-US" w:eastAsia="zh-CN"/>
                    </w:rPr>
                    <w:t>1.91</w:t>
                  </w:r>
                  <w:r>
                    <w:rPr>
                      <w:rFonts w:hint="default" w:ascii="Times New Roman" w:hAnsi="Times New Roman" w:cs="Times New Roman"/>
                      <w:lang w:val="en-US" w:eastAsia="zh-CN"/>
                    </w:rPr>
                    <w:t>×10</w:t>
                  </w:r>
                  <w:r>
                    <w:rPr>
                      <w:rFonts w:hint="default" w:ascii="Times New Roman" w:hAnsi="Times New Roman" w:cs="Times New Roman"/>
                      <w:vertAlign w:val="superscript"/>
                      <w:lang w:val="en-US" w:eastAsia="zh-CN"/>
                    </w:rPr>
                    <w:t>-</w:t>
                  </w:r>
                  <w:r>
                    <w:rPr>
                      <w:rFonts w:hint="eastAsia" w:cs="Times New Roman"/>
                      <w:vertAlign w:val="superscript"/>
                      <w:lang w:val="en-US" w:eastAsia="zh-CN"/>
                    </w:rPr>
                    <w:t>5</w:t>
                  </w:r>
                </w:p>
              </w:tc>
              <w:tc>
                <w:tcPr>
                  <w:tcW w:w="668" w:type="pct"/>
                  <w:noWrap w:val="0"/>
                  <w:vAlign w:val="center"/>
                </w:tcPr>
                <w:p>
                  <w:pPr>
                    <w:pStyle w:val="69"/>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1.37×10</w:t>
                  </w:r>
                  <w:r>
                    <w:rPr>
                      <w:rFonts w:hint="default" w:ascii="Times New Roman" w:hAnsi="Times New Roman" w:eastAsia="宋体" w:cs="Times New Roman"/>
                      <w:vertAlign w:val="superscript"/>
                      <w:lang w:val="en-US" w:eastAsia="zh-CN"/>
                    </w:rPr>
                    <w:t>-4</w:t>
                  </w:r>
                </w:p>
              </w:tc>
              <w:tc>
                <w:tcPr>
                  <w:tcW w:w="467"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4.08×10</w:t>
                  </w:r>
                  <w:r>
                    <w:rPr>
                      <w:rFonts w:hint="default" w:ascii="Times New Roman" w:hAnsi="Times New Roman" w:cs="Times New Roman"/>
                      <w:vertAlign w:val="superscript"/>
                      <w:lang w:val="en-US" w:eastAsia="zh-CN"/>
                    </w:rPr>
                    <w:t>-5</w:t>
                  </w:r>
                </w:p>
              </w:tc>
              <w:tc>
                <w:tcPr>
                  <w:tcW w:w="460"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2.94×10</w:t>
                  </w:r>
                  <w:r>
                    <w:rPr>
                      <w:rFonts w:hint="default" w:ascii="Times New Roman" w:hAnsi="Times New Roman" w:cs="Times New Roman"/>
                      <w:vertAlign w:val="superscript"/>
                      <w:lang w:val="en-US" w:eastAsia="zh-CN"/>
                    </w:rPr>
                    <w:t>-4</w:t>
                  </w:r>
                </w:p>
              </w:tc>
              <w:tc>
                <w:tcPr>
                  <w:tcW w:w="718"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8.17×10</w:t>
                  </w:r>
                  <w:r>
                    <w:rPr>
                      <w:rFonts w:hint="default" w:ascii="Times New Roman" w:hAnsi="Times New Roman" w:cs="Times New Roman"/>
                      <w:vertAlign w:val="superscript"/>
                      <w:lang w:val="en-US" w:eastAsia="zh-CN"/>
                    </w:rPr>
                    <w:t>-6</w:t>
                  </w:r>
                </w:p>
              </w:tc>
              <w:tc>
                <w:tcPr>
                  <w:tcW w:w="830"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5.88×10</w:t>
                  </w:r>
                  <w:r>
                    <w:rPr>
                      <w:rFonts w:hint="default" w:ascii="Times New Roman" w:hAnsi="Times New Roman" w:cs="Times New Roman"/>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羊</w:t>
                  </w:r>
                </w:p>
              </w:tc>
              <w:tc>
                <w:tcPr>
                  <w:tcW w:w="461"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1.04×10</w:t>
                  </w:r>
                  <w:r>
                    <w:rPr>
                      <w:rFonts w:hint="default" w:ascii="Times New Roman" w:hAnsi="Times New Roman" w:cs="Times New Roman"/>
                      <w:vertAlign w:val="superscript"/>
                      <w:lang w:val="en-US" w:eastAsia="zh-CN"/>
                    </w:rPr>
                    <w:t>-4</w:t>
                  </w:r>
                </w:p>
              </w:tc>
              <w:tc>
                <w:tcPr>
                  <w:tcW w:w="495"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7.48×10</w:t>
                  </w:r>
                  <w:r>
                    <w:rPr>
                      <w:rFonts w:hint="default" w:ascii="Times New Roman" w:hAnsi="Times New Roman" w:cs="Times New Roman"/>
                      <w:vertAlign w:val="superscript"/>
                      <w:lang w:val="en-US" w:eastAsia="zh-CN"/>
                    </w:rPr>
                    <w:t>-4</w:t>
                  </w:r>
                </w:p>
              </w:tc>
              <w:tc>
                <w:tcPr>
                  <w:tcW w:w="654" w:type="pct"/>
                  <w:noWrap w:val="0"/>
                  <w:vAlign w:val="center"/>
                </w:tcPr>
                <w:p>
                  <w:pPr>
                    <w:pStyle w:val="69"/>
                    <w:bidi w:val="0"/>
                    <w:jc w:val="center"/>
                    <w:rPr>
                      <w:rFonts w:hint="default" w:ascii="Times New Roman" w:hAnsi="Times New Roman" w:cs="Times New Roman"/>
                      <w:lang w:val="en-US" w:eastAsia="zh-CN"/>
                    </w:rPr>
                  </w:pPr>
                  <w:r>
                    <w:rPr>
                      <w:rFonts w:hint="eastAsia" w:cs="Times New Roman"/>
                      <w:lang w:val="en-US" w:eastAsia="zh-CN"/>
                    </w:rPr>
                    <w:t>2.08</w:t>
                  </w:r>
                  <w:r>
                    <w:rPr>
                      <w:rFonts w:hint="default" w:ascii="Times New Roman" w:hAnsi="Times New Roman" w:cs="Times New Roman"/>
                      <w:lang w:val="en-US" w:eastAsia="zh-CN"/>
                    </w:rPr>
                    <w:t>×</w:t>
                  </w:r>
                  <w:r>
                    <w:rPr>
                      <w:rFonts w:hint="eastAsia" w:cs="Times New Roman"/>
                      <w:lang w:val="en-US" w:eastAsia="zh-CN"/>
                    </w:rPr>
                    <w:t>10</w:t>
                  </w:r>
                  <w:r>
                    <w:rPr>
                      <w:rFonts w:hint="eastAsia" w:cs="Times New Roman"/>
                      <w:vertAlign w:val="superscript"/>
                      <w:lang w:val="en-US" w:eastAsia="zh-CN"/>
                    </w:rPr>
                    <w:t>-5</w:t>
                  </w:r>
                </w:p>
              </w:tc>
              <w:tc>
                <w:tcPr>
                  <w:tcW w:w="668" w:type="pct"/>
                  <w:noWrap w:val="0"/>
                  <w:vAlign w:val="center"/>
                </w:tcPr>
                <w:p>
                  <w:pPr>
                    <w:pStyle w:val="69"/>
                    <w:bidi w:val="0"/>
                    <w:jc w:val="center"/>
                    <w:rPr>
                      <w:rFonts w:hint="default" w:ascii="Times New Roman" w:hAnsi="Times New Roman" w:cs="Times New Roman"/>
                      <w:lang w:val="en-US" w:eastAsia="zh-CN"/>
                    </w:rPr>
                  </w:pPr>
                  <w:r>
                    <w:rPr>
                      <w:rFonts w:hint="eastAsia" w:cs="Times New Roman"/>
                      <w:lang w:val="en-US" w:eastAsia="zh-CN"/>
                    </w:rPr>
                    <w:t>1.5</w:t>
                  </w:r>
                  <w:r>
                    <w:rPr>
                      <w:rFonts w:hint="default" w:ascii="Times New Roman" w:hAnsi="Times New Roman" w:cs="Times New Roman"/>
                      <w:lang w:val="en-US" w:eastAsia="zh-CN"/>
                    </w:rPr>
                    <w:t>×10</w:t>
                  </w:r>
                  <w:r>
                    <w:rPr>
                      <w:rFonts w:hint="default" w:ascii="Times New Roman" w:hAnsi="Times New Roman" w:cs="Times New Roman"/>
                      <w:vertAlign w:val="superscript"/>
                      <w:lang w:val="en-US" w:eastAsia="zh-CN"/>
                    </w:rPr>
                    <w:t>-</w:t>
                  </w:r>
                  <w:r>
                    <w:rPr>
                      <w:rFonts w:hint="eastAsia" w:cs="Times New Roman"/>
                      <w:vertAlign w:val="superscript"/>
                      <w:lang w:val="en-US" w:eastAsia="zh-CN"/>
                    </w:rPr>
                    <w:t>4</w:t>
                  </w:r>
                </w:p>
              </w:tc>
              <w:tc>
                <w:tcPr>
                  <w:tcW w:w="467"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1.03×10</w:t>
                  </w:r>
                  <w:r>
                    <w:rPr>
                      <w:rFonts w:hint="default" w:ascii="Times New Roman" w:hAnsi="Times New Roman" w:cs="Times New Roman"/>
                      <w:vertAlign w:val="superscript"/>
                      <w:lang w:val="en-US" w:eastAsia="zh-CN"/>
                    </w:rPr>
                    <w:t>-5</w:t>
                  </w:r>
                </w:p>
              </w:tc>
              <w:tc>
                <w:tcPr>
                  <w:tcW w:w="460"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7.38×10</w:t>
                  </w:r>
                  <w:r>
                    <w:rPr>
                      <w:rFonts w:hint="default" w:ascii="Times New Roman" w:hAnsi="Times New Roman" w:cs="Times New Roman"/>
                      <w:vertAlign w:val="superscript"/>
                      <w:lang w:val="en-US" w:eastAsia="zh-CN"/>
                    </w:rPr>
                    <w:t>-5</w:t>
                  </w:r>
                </w:p>
              </w:tc>
              <w:tc>
                <w:tcPr>
                  <w:tcW w:w="718"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2.05×10</w:t>
                  </w:r>
                  <w:r>
                    <w:rPr>
                      <w:rFonts w:hint="default" w:ascii="Times New Roman" w:hAnsi="Times New Roman" w:cs="Times New Roman"/>
                      <w:vertAlign w:val="superscript"/>
                      <w:lang w:val="en-US" w:eastAsia="zh-CN"/>
                    </w:rPr>
                    <w:t>-6</w:t>
                  </w:r>
                </w:p>
              </w:tc>
              <w:tc>
                <w:tcPr>
                  <w:tcW w:w="830"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1.48×10</w:t>
                  </w:r>
                  <w:r>
                    <w:rPr>
                      <w:rFonts w:hint="default" w:ascii="Times New Roman" w:hAnsi="Times New Roman" w:cs="Times New Roman"/>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合计</w:t>
                  </w:r>
                </w:p>
              </w:tc>
              <w:tc>
                <w:tcPr>
                  <w:tcW w:w="461"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1.99×10</w:t>
                  </w:r>
                  <w:r>
                    <w:rPr>
                      <w:rFonts w:hint="default" w:ascii="Times New Roman" w:hAnsi="Times New Roman" w:cs="Times New Roman"/>
                      <w:vertAlign w:val="superscript"/>
                      <w:lang w:val="en-US" w:eastAsia="zh-CN"/>
                    </w:rPr>
                    <w:t>-4</w:t>
                  </w:r>
                </w:p>
              </w:tc>
              <w:tc>
                <w:tcPr>
                  <w:tcW w:w="495"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1.44×10</w:t>
                  </w:r>
                  <w:r>
                    <w:rPr>
                      <w:rFonts w:hint="default" w:ascii="Times New Roman" w:hAnsi="Times New Roman" w:cs="Times New Roman"/>
                      <w:vertAlign w:val="superscript"/>
                      <w:lang w:val="en-US" w:eastAsia="zh-CN"/>
                    </w:rPr>
                    <w:t>-3</w:t>
                  </w:r>
                </w:p>
              </w:tc>
              <w:tc>
                <w:tcPr>
                  <w:tcW w:w="654"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3.99×10</w:t>
                  </w:r>
                  <w:r>
                    <w:rPr>
                      <w:rFonts w:hint="default" w:ascii="Times New Roman" w:hAnsi="Times New Roman" w:cs="Times New Roman"/>
                      <w:vertAlign w:val="superscript"/>
                      <w:lang w:val="en-US" w:eastAsia="zh-CN"/>
                    </w:rPr>
                    <w:t>-5</w:t>
                  </w:r>
                </w:p>
              </w:tc>
              <w:tc>
                <w:tcPr>
                  <w:tcW w:w="668" w:type="pct"/>
                  <w:noWrap w:val="0"/>
                  <w:vAlign w:val="center"/>
                </w:tcPr>
                <w:p>
                  <w:pPr>
                    <w:pStyle w:val="69"/>
                    <w:bidi w:val="0"/>
                    <w:jc w:val="center"/>
                    <w:rPr>
                      <w:rFonts w:hint="default" w:ascii="Times New Roman" w:hAnsi="Times New Roman" w:cs="Times New Roman"/>
                      <w:lang w:val="en-US" w:eastAsia="zh-CN"/>
                    </w:rPr>
                  </w:pPr>
                  <w:r>
                    <w:rPr>
                      <w:rFonts w:hint="eastAsia" w:cs="Times New Roman"/>
                      <w:lang w:val="en-US" w:eastAsia="zh-CN"/>
                    </w:rPr>
                    <w:t>2.87</w:t>
                  </w:r>
                  <w:r>
                    <w:rPr>
                      <w:rFonts w:hint="default" w:ascii="Times New Roman" w:hAnsi="Times New Roman" w:cs="Times New Roman"/>
                      <w:lang w:val="en-US" w:eastAsia="zh-CN"/>
                    </w:rPr>
                    <w:t>×10</w:t>
                  </w:r>
                  <w:r>
                    <w:rPr>
                      <w:rFonts w:hint="default" w:ascii="Times New Roman" w:hAnsi="Times New Roman" w:cs="Times New Roman"/>
                      <w:vertAlign w:val="superscript"/>
                      <w:lang w:val="en-US" w:eastAsia="zh-CN"/>
                    </w:rPr>
                    <w:t>-4</w:t>
                  </w:r>
                </w:p>
              </w:tc>
              <w:tc>
                <w:tcPr>
                  <w:tcW w:w="467"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5.11×10</w:t>
                  </w:r>
                  <w:r>
                    <w:rPr>
                      <w:rFonts w:hint="default" w:ascii="Times New Roman" w:hAnsi="Times New Roman" w:cs="Times New Roman"/>
                      <w:vertAlign w:val="superscript"/>
                      <w:lang w:val="en-US" w:eastAsia="zh-CN"/>
                    </w:rPr>
                    <w:t>-5</w:t>
                  </w:r>
                </w:p>
              </w:tc>
              <w:tc>
                <w:tcPr>
                  <w:tcW w:w="460"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3.68×10</w:t>
                  </w:r>
                  <w:r>
                    <w:rPr>
                      <w:rFonts w:hint="default" w:ascii="Times New Roman" w:hAnsi="Times New Roman" w:cs="Times New Roman"/>
                      <w:vertAlign w:val="superscript"/>
                      <w:lang w:val="en-US" w:eastAsia="zh-CN"/>
                    </w:rPr>
                    <w:t>-4</w:t>
                  </w:r>
                </w:p>
              </w:tc>
              <w:tc>
                <w:tcPr>
                  <w:tcW w:w="718"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1.02×10</w:t>
                  </w:r>
                  <w:r>
                    <w:rPr>
                      <w:rFonts w:hint="default" w:ascii="Times New Roman" w:hAnsi="Times New Roman" w:cs="Times New Roman"/>
                      <w:vertAlign w:val="superscript"/>
                      <w:lang w:val="en-US" w:eastAsia="zh-CN"/>
                    </w:rPr>
                    <w:t>-5</w:t>
                  </w:r>
                </w:p>
              </w:tc>
              <w:tc>
                <w:tcPr>
                  <w:tcW w:w="830" w:type="pct"/>
                  <w:noWrap w:val="0"/>
                  <w:vAlign w:val="center"/>
                </w:tcPr>
                <w:p>
                  <w:pPr>
                    <w:pStyle w:val="69"/>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7.36×10</w:t>
                  </w:r>
                  <w:r>
                    <w:rPr>
                      <w:rFonts w:hint="default" w:ascii="Times New Roman" w:hAnsi="Times New Roman" w:cs="Times New Roman"/>
                      <w:vertAlign w:val="superscript"/>
                      <w:lang w:val="en-US" w:eastAsia="zh-CN"/>
                    </w:rPr>
                    <w:t>-5</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本项目待宰圈恶臭废气产量较少，日常管理过程中及时清理，采用人工“干清粪”工艺并喷洒生物除臭剂处理后无组织排放。</w:t>
            </w:r>
          </w:p>
          <w:p>
            <w:pPr>
              <w:pStyle w:val="2"/>
              <w:bidi w:val="0"/>
              <w:rPr>
                <w:rFonts w:hint="default"/>
                <w:lang w:val="en-US" w:eastAsia="zh-CN"/>
              </w:rPr>
            </w:pPr>
            <w:r>
              <w:rPr>
                <w:rFonts w:hint="default"/>
                <w:lang w:val="en-US" w:eastAsia="zh-CN"/>
              </w:rPr>
              <w:t>（2）屠宰</w:t>
            </w:r>
            <w:r>
              <w:rPr>
                <w:rFonts w:hint="eastAsia"/>
                <w:lang w:val="en-US" w:eastAsia="zh-CN"/>
              </w:rPr>
              <w:t>车</w:t>
            </w:r>
            <w:r>
              <w:rPr>
                <w:rFonts w:hint="default"/>
                <w:lang w:val="en-US" w:eastAsia="zh-CN"/>
              </w:rPr>
              <w:t>间恶臭</w:t>
            </w:r>
            <w:r>
              <w:rPr>
                <w:rFonts w:hint="eastAsia"/>
                <w:lang w:val="en-US" w:eastAsia="zh-CN"/>
              </w:rPr>
              <w:t>气体</w:t>
            </w:r>
          </w:p>
          <w:p>
            <w:pPr>
              <w:pStyle w:val="18"/>
              <w:keepNext w:val="0"/>
              <w:keepLines w:val="0"/>
              <w:pageBreakBefore w:val="0"/>
              <w:widowControl w:val="0"/>
              <w:kinsoku/>
              <w:wordWrap w:val="0"/>
              <w:overflowPunct/>
              <w:topLinePunct w:val="0"/>
              <w:autoSpaceDE/>
              <w:autoSpaceDN/>
              <w:bidi w:val="0"/>
              <w:adjustRightInd/>
              <w:snapToGrid w:val="0"/>
              <w:spacing w:line="520" w:lineRule="exact"/>
              <w:ind w:left="0" w:firstLine="480" w:firstLineChars="20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目前屠宰过程恶臭气体污染源强的核算尚无成熟的定量核算方法，参考《肉联厂对周围大气的污染及其卫生防护距离分析》（辛峰，环境与职业医学，2012年1月，第29卷第1期），有关文献数据，屠宰每头猪无组织恶臭污染物NH</w:t>
            </w:r>
            <w:r>
              <w:rPr>
                <w:rFonts w:hint="default" w:ascii="Times New Roman" w:hAnsi="Times New Roman" w:cs="Times New Roman"/>
                <w:sz w:val="24"/>
                <w:szCs w:val="24"/>
                <w:highlight w:val="none"/>
                <w:vertAlign w:val="subscript"/>
                <w:lang w:val="en-US" w:eastAsia="zh-CN"/>
              </w:rPr>
              <w:t>3</w:t>
            </w: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vertAlign w:val="subscript"/>
                <w:lang w:val="en-US" w:eastAsia="zh-CN"/>
              </w:rPr>
              <w:t>2</w:t>
            </w:r>
            <w:r>
              <w:rPr>
                <w:rFonts w:hint="default" w:ascii="Times New Roman" w:hAnsi="Times New Roman" w:cs="Times New Roman"/>
                <w:sz w:val="24"/>
                <w:szCs w:val="24"/>
                <w:highlight w:val="none"/>
                <w:lang w:val="en-US" w:eastAsia="zh-CN"/>
              </w:rPr>
              <w:t>S排放源强分别介于0.000038~0.00034kg/h、0.0000006~0.000013kgh之间，本环评取最大值。</w:t>
            </w:r>
          </w:p>
          <w:p>
            <w:pPr>
              <w:pStyle w:val="18"/>
              <w:keepNext w:val="0"/>
              <w:keepLines w:val="0"/>
              <w:pageBreakBefore w:val="0"/>
              <w:widowControl w:val="0"/>
              <w:kinsoku/>
              <w:wordWrap/>
              <w:overflowPunct/>
              <w:topLinePunct w:val="0"/>
              <w:autoSpaceDE/>
              <w:autoSpaceDN/>
              <w:bidi w:val="0"/>
              <w:adjustRightInd/>
              <w:snapToGrid w:val="0"/>
              <w:spacing w:line="520" w:lineRule="exact"/>
              <w:ind w:left="0" w:firstLine="480" w:firstLineChars="200"/>
              <w:jc w:val="left"/>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cs="Times New Roman"/>
                <w:sz w:val="24"/>
                <w:szCs w:val="24"/>
                <w:highlight w:val="none"/>
                <w:lang w:val="en-US" w:eastAsia="zh-CN"/>
              </w:rPr>
              <w:t>根据《畜禽养殖业污染物排放标准》(GB18596-2001)，3只羊换算成1头猪，1头牛折算成5头猪。本项目年屠宰肉牛</w:t>
            </w:r>
            <w:r>
              <w:rPr>
                <w:rFonts w:hint="eastAsia" w:cs="Times New Roman"/>
                <w:sz w:val="24"/>
                <w:szCs w:val="24"/>
                <w:highlight w:val="none"/>
                <w:lang w:val="en-US" w:eastAsia="zh-CN"/>
              </w:rPr>
              <w:t>1800</w:t>
            </w:r>
            <w:r>
              <w:rPr>
                <w:rFonts w:hint="default" w:ascii="Times New Roman" w:hAnsi="Times New Roman" w:cs="Times New Roman"/>
                <w:sz w:val="24"/>
                <w:szCs w:val="24"/>
                <w:highlight w:val="none"/>
                <w:lang w:val="en-US" w:eastAsia="zh-CN"/>
              </w:rPr>
              <w:t>头、肉羊</w:t>
            </w:r>
            <w:r>
              <w:rPr>
                <w:rFonts w:hint="eastAsia" w:cs="Times New Roman"/>
                <w:sz w:val="24"/>
                <w:szCs w:val="24"/>
                <w:highlight w:val="none"/>
                <w:lang w:val="en-US" w:eastAsia="zh-CN"/>
              </w:rPr>
              <w:t>18000</w:t>
            </w:r>
            <w:r>
              <w:rPr>
                <w:rFonts w:hint="default" w:ascii="Times New Roman" w:hAnsi="Times New Roman" w:cs="Times New Roman"/>
                <w:sz w:val="24"/>
                <w:szCs w:val="24"/>
                <w:highlight w:val="none"/>
                <w:lang w:val="en-US" w:eastAsia="zh-CN"/>
              </w:rPr>
              <w:t>只，经计算，本项目屠宰车间NH</w:t>
            </w:r>
            <w:r>
              <w:rPr>
                <w:rFonts w:hint="default" w:ascii="Times New Roman" w:hAnsi="Times New Roman" w:cs="Times New Roman"/>
                <w:sz w:val="24"/>
                <w:szCs w:val="24"/>
                <w:highlight w:val="none"/>
                <w:vertAlign w:val="subscript"/>
                <w:lang w:val="en-US" w:eastAsia="zh-CN"/>
              </w:rPr>
              <w:t>3</w:t>
            </w:r>
            <w:r>
              <w:rPr>
                <w:rFonts w:hint="default" w:ascii="Times New Roman" w:hAnsi="Times New Roman" w:cs="Times New Roman"/>
                <w:sz w:val="24"/>
                <w:szCs w:val="24"/>
                <w:highlight w:val="none"/>
                <w:lang w:val="en-US" w:eastAsia="zh-CN"/>
              </w:rPr>
              <w:t>产生速率为</w:t>
            </w:r>
            <w:r>
              <w:rPr>
                <w:rFonts w:hint="eastAsia" w:cs="Times New Roman"/>
                <w:sz w:val="24"/>
                <w:szCs w:val="24"/>
                <w:highlight w:val="none"/>
                <w:lang w:val="en-US" w:eastAsia="zh-CN"/>
              </w:rPr>
              <w:t>0.0021</w:t>
            </w:r>
            <w:r>
              <w:rPr>
                <w:rFonts w:hint="default" w:ascii="Times New Roman" w:hAnsi="Times New Roman" w:cs="Times New Roman"/>
                <w:sz w:val="24"/>
                <w:szCs w:val="24"/>
                <w:highlight w:val="none"/>
                <w:lang w:val="en-US" w:eastAsia="zh-CN"/>
              </w:rPr>
              <w:t>kg/h，产生量为</w:t>
            </w:r>
            <w:r>
              <w:rPr>
                <w:rFonts w:hint="eastAsia" w:cs="Times New Roman"/>
                <w:sz w:val="24"/>
                <w:szCs w:val="24"/>
                <w:highlight w:val="none"/>
                <w:lang w:val="en-US" w:eastAsia="zh-CN"/>
              </w:rPr>
              <w:t>0.0051</w:t>
            </w:r>
            <w:r>
              <w:rPr>
                <w:rFonts w:hint="default" w:ascii="Times New Roman" w:hAnsi="Times New Roman" w:cs="Times New Roman"/>
                <w:sz w:val="24"/>
                <w:szCs w:val="24"/>
                <w:highlight w:val="none"/>
                <w:lang w:val="en-US" w:eastAsia="zh-CN"/>
              </w:rPr>
              <w:t>t/a，H</w:t>
            </w:r>
            <w:r>
              <w:rPr>
                <w:rFonts w:hint="default" w:ascii="Times New Roman" w:hAnsi="Times New Roman" w:cs="Times New Roman"/>
                <w:sz w:val="24"/>
                <w:szCs w:val="24"/>
                <w:highlight w:val="none"/>
                <w:vertAlign w:val="subscript"/>
                <w:lang w:val="en-US" w:eastAsia="zh-CN"/>
              </w:rPr>
              <w:t>2</w:t>
            </w:r>
            <w:r>
              <w:rPr>
                <w:rFonts w:hint="default" w:ascii="Times New Roman" w:hAnsi="Times New Roman" w:cs="Times New Roman"/>
                <w:sz w:val="24"/>
                <w:szCs w:val="24"/>
                <w:highlight w:val="none"/>
                <w:lang w:val="en-US" w:eastAsia="zh-CN"/>
              </w:rPr>
              <w:t>S产生速率为</w:t>
            </w:r>
            <w:r>
              <w:rPr>
                <w:rFonts w:hint="eastAsia" w:cs="Times New Roman"/>
                <w:sz w:val="24"/>
                <w:szCs w:val="24"/>
                <w:highlight w:val="none"/>
                <w:lang w:val="en-US" w:eastAsia="zh-CN"/>
              </w:rPr>
              <w:t>0.00008</w:t>
            </w:r>
            <w:r>
              <w:rPr>
                <w:rFonts w:hint="default" w:ascii="Times New Roman" w:hAnsi="Times New Roman" w:cs="Times New Roman"/>
                <w:sz w:val="24"/>
                <w:szCs w:val="24"/>
                <w:highlight w:val="none"/>
                <w:lang w:val="en-US" w:eastAsia="zh-CN"/>
              </w:rPr>
              <w:t>kg/h，产生量为</w:t>
            </w:r>
            <w:r>
              <w:rPr>
                <w:rFonts w:hint="eastAsia" w:cs="Times New Roman"/>
                <w:sz w:val="24"/>
                <w:szCs w:val="24"/>
                <w:highlight w:val="none"/>
                <w:lang w:val="en-US" w:eastAsia="zh-CN"/>
              </w:rPr>
              <w:t>0.0002</w:t>
            </w:r>
            <w:r>
              <w:rPr>
                <w:rFonts w:hint="default" w:ascii="Times New Roman" w:hAnsi="Times New Roman" w:cs="Times New Roman"/>
                <w:sz w:val="24"/>
                <w:szCs w:val="24"/>
                <w:highlight w:val="none"/>
                <w:lang w:val="en-US" w:eastAsia="zh-CN"/>
              </w:rPr>
              <w:t>t/a</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通过喷洒生物除臭剂能减少约80%排放量</w:t>
            </w:r>
            <w:r>
              <w:rPr>
                <w:rFonts w:hint="eastAsia" w:cs="Times New Roman"/>
                <w:sz w:val="24"/>
                <w:szCs w:val="24"/>
                <w:highlight w:val="none"/>
                <w:lang w:val="en-US" w:eastAsia="zh-CN"/>
              </w:rPr>
              <w:t>，则</w:t>
            </w:r>
            <w:r>
              <w:rPr>
                <w:rFonts w:hint="default" w:ascii="Times New Roman" w:hAnsi="Times New Roman" w:eastAsia="宋体" w:cs="Times New Roman"/>
                <w:sz w:val="24"/>
                <w:szCs w:val="24"/>
                <w:highlight w:val="none"/>
                <w:lang w:val="en-US" w:eastAsia="zh-CN"/>
              </w:rPr>
              <w:t>屠宰车间NH</w:t>
            </w:r>
            <w:r>
              <w:rPr>
                <w:rFonts w:hint="default" w:ascii="Times New Roman" w:hAnsi="Times New Roman" w:eastAsia="宋体" w:cs="Times New Roman"/>
                <w:sz w:val="24"/>
                <w:szCs w:val="24"/>
                <w:highlight w:val="none"/>
                <w:vertAlign w:val="subscript"/>
                <w:lang w:val="en-US" w:eastAsia="zh-CN"/>
              </w:rPr>
              <w:t>3</w:t>
            </w:r>
            <w:r>
              <w:rPr>
                <w:rFonts w:hint="eastAsia" w:cs="Times New Roman"/>
                <w:sz w:val="24"/>
                <w:szCs w:val="24"/>
                <w:highlight w:val="none"/>
                <w:vertAlign w:val="baseline"/>
                <w:lang w:val="en-US" w:eastAsia="zh-CN"/>
              </w:rPr>
              <w:t>排放量为0.001t/a，H</w:t>
            </w:r>
            <w:r>
              <w:rPr>
                <w:rFonts w:hint="eastAsia" w:cs="Times New Roman"/>
                <w:sz w:val="24"/>
                <w:szCs w:val="24"/>
                <w:highlight w:val="none"/>
                <w:vertAlign w:val="subscript"/>
                <w:lang w:val="en-US" w:eastAsia="zh-CN"/>
              </w:rPr>
              <w:t>2</w:t>
            </w:r>
            <w:r>
              <w:rPr>
                <w:rFonts w:hint="eastAsia" w:cs="Times New Roman"/>
                <w:sz w:val="24"/>
                <w:szCs w:val="24"/>
                <w:highlight w:val="none"/>
                <w:vertAlign w:val="baseline"/>
                <w:lang w:val="en-US" w:eastAsia="zh-CN"/>
              </w:rPr>
              <w:t>S排放量为0.00004t/a。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本项目屠宰过程中产生的</w:t>
            </w:r>
            <w:r>
              <w:rPr>
                <w:rFonts w:hint="eastAsia" w:ascii="Times New Roman" w:hAnsi="Times New Roman" w:eastAsia="宋体" w:cs="Times New Roman"/>
                <w:b w:val="0"/>
                <w:bCs w:val="0"/>
                <w:kern w:val="2"/>
                <w:sz w:val="24"/>
                <w:szCs w:val="24"/>
                <w:lang w:val="en-US" w:eastAsia="zh-CN" w:bidi="ar-SA"/>
              </w:rPr>
              <w:t>废气</w:t>
            </w:r>
            <w:r>
              <w:rPr>
                <w:rFonts w:hint="default" w:ascii="Times New Roman" w:hAnsi="Times New Roman" w:eastAsia="宋体" w:cs="Times New Roman"/>
                <w:b w:val="0"/>
                <w:bCs w:val="0"/>
                <w:kern w:val="2"/>
                <w:sz w:val="24"/>
                <w:szCs w:val="24"/>
                <w:lang w:val="en-US" w:eastAsia="zh-CN" w:bidi="ar-SA"/>
              </w:rPr>
              <w:t>通过及时冲洗、加强通风并喷洒生物除臭剂处理后无组织排放。</w:t>
            </w:r>
          </w:p>
          <w:p>
            <w:pPr>
              <w:pStyle w:val="2"/>
              <w:bidi w:val="0"/>
              <w:rPr>
                <w:rFonts w:hint="default"/>
                <w:lang w:val="en-US"/>
              </w:rPr>
            </w:pPr>
            <w:r>
              <w:rPr>
                <w:rFonts w:hint="default"/>
                <w:lang w:eastAsia="zh-CN"/>
              </w:rPr>
              <w:t>（</w:t>
            </w:r>
            <w:r>
              <w:rPr>
                <w:rFonts w:hint="eastAsia"/>
                <w:lang w:val="en-US" w:eastAsia="zh-CN"/>
              </w:rPr>
              <w:t>3</w:t>
            </w:r>
            <w:r>
              <w:rPr>
                <w:rFonts w:hint="default"/>
                <w:lang w:eastAsia="zh-CN"/>
              </w:rPr>
              <w:t>）</w:t>
            </w:r>
            <w:r>
              <w:rPr>
                <w:rFonts w:hint="default"/>
                <w:lang w:val="en-US" w:eastAsia="zh-CN"/>
              </w:rPr>
              <w:t>污水处理站臭气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本项目采用“格栅+气浮+厌氧+好氧+沉淀+消毒”工艺处理项目废水，在污水处理系统运行过程中，由于微生物，原生动物、菌胶团等的新陈代谢，将产生H</w:t>
            </w:r>
            <w:r>
              <w:rPr>
                <w:rFonts w:hint="default" w:ascii="Times New Roman" w:hAnsi="Times New Roman" w:cs="Times New Roman"/>
                <w:sz w:val="24"/>
                <w:vertAlign w:val="subscript"/>
                <w:lang w:val="en-US" w:eastAsia="zh-CN"/>
              </w:rPr>
              <w:t>2</w:t>
            </w:r>
            <w:r>
              <w:rPr>
                <w:rFonts w:hint="default" w:ascii="Times New Roman" w:hAnsi="Times New Roman" w:cs="Times New Roman"/>
                <w:sz w:val="24"/>
                <w:lang w:val="en-US" w:eastAsia="zh-CN"/>
              </w:rPr>
              <w:t>S、NH</w:t>
            </w:r>
            <w:r>
              <w:rPr>
                <w:rFonts w:hint="default" w:ascii="Times New Roman" w:hAnsi="Times New Roman" w:cs="Times New Roman"/>
                <w:sz w:val="24"/>
                <w:vertAlign w:val="subscript"/>
                <w:lang w:val="en-US" w:eastAsia="zh-CN"/>
              </w:rPr>
              <w:t>3</w:t>
            </w:r>
            <w:r>
              <w:rPr>
                <w:rFonts w:hint="default" w:ascii="Times New Roman" w:hAnsi="Times New Roman" w:cs="Times New Roman"/>
                <w:sz w:val="24"/>
                <w:lang w:val="en-US" w:eastAsia="zh-CN"/>
              </w:rPr>
              <w:t>等废气。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r>
              <w:rPr>
                <w:rFonts w:hint="default" w:ascii="Times New Roman" w:hAnsi="Times New Roman" w:cs="Times New Roman"/>
                <w:sz w:val="24"/>
                <w:lang w:val="en-US" w:eastAsia="zh-CN"/>
              </w:rPr>
              <w:t>项目污水处理站臭气污染源强采用美国EPA对城市污水处理厂恶臭污染物产生情况的研究，污水处理站每处理1kgBOD</w:t>
            </w:r>
            <w:r>
              <w:rPr>
                <w:rFonts w:hint="default" w:ascii="Times New Roman" w:hAnsi="Times New Roman" w:cs="Times New Roman"/>
                <w:sz w:val="24"/>
                <w:vertAlign w:val="subscript"/>
                <w:lang w:val="en-US" w:eastAsia="zh-CN"/>
              </w:rPr>
              <w:t>5</w:t>
            </w:r>
            <w:r>
              <w:rPr>
                <w:rFonts w:hint="default" w:ascii="Times New Roman" w:hAnsi="Times New Roman" w:cs="Times New Roman"/>
                <w:sz w:val="24"/>
                <w:lang w:val="en-US" w:eastAsia="zh-CN"/>
              </w:rPr>
              <w:t>，约产生3.1gNH</w:t>
            </w:r>
            <w:r>
              <w:rPr>
                <w:rFonts w:hint="default" w:ascii="Times New Roman" w:hAnsi="Times New Roman" w:cs="Times New Roman"/>
                <w:sz w:val="24"/>
                <w:vertAlign w:val="subscript"/>
                <w:lang w:val="en-US" w:eastAsia="zh-CN"/>
              </w:rPr>
              <w:t>3</w:t>
            </w:r>
            <w:r>
              <w:rPr>
                <w:rFonts w:hint="default" w:ascii="Times New Roman" w:hAnsi="Times New Roman" w:cs="Times New Roman"/>
                <w:sz w:val="24"/>
                <w:lang w:val="en-US" w:eastAsia="zh-CN"/>
              </w:rPr>
              <w:t>及0.12gH</w:t>
            </w:r>
            <w:r>
              <w:rPr>
                <w:rFonts w:hint="default" w:ascii="Times New Roman" w:hAnsi="Times New Roman" w:cs="Times New Roman"/>
                <w:sz w:val="24"/>
                <w:vertAlign w:val="subscript"/>
                <w:lang w:val="en-US" w:eastAsia="zh-CN"/>
              </w:rPr>
              <w:t>2</w:t>
            </w:r>
            <w:r>
              <w:rPr>
                <w:rFonts w:hint="default" w:ascii="Times New Roman" w:hAnsi="Times New Roman" w:cs="Times New Roman"/>
                <w:sz w:val="24"/>
                <w:lang w:val="en-US" w:eastAsia="zh-CN"/>
              </w:rPr>
              <w:t>S。本项目BOD</w:t>
            </w:r>
            <w:r>
              <w:rPr>
                <w:rFonts w:hint="default" w:ascii="Times New Roman" w:hAnsi="Times New Roman" w:cs="Times New Roman"/>
                <w:sz w:val="24"/>
                <w:vertAlign w:val="subscript"/>
                <w:lang w:val="en-US" w:eastAsia="zh-CN"/>
              </w:rPr>
              <w:t>5</w:t>
            </w:r>
            <w:r>
              <w:rPr>
                <w:rFonts w:hint="default" w:ascii="Times New Roman" w:hAnsi="Times New Roman" w:cs="Times New Roman"/>
                <w:sz w:val="24"/>
                <w:lang w:val="en-US" w:eastAsia="zh-CN"/>
              </w:rPr>
              <w:t>的处理量为</w:t>
            </w:r>
            <w:r>
              <w:rPr>
                <w:rFonts w:hint="eastAsia" w:cs="Times New Roman"/>
                <w:sz w:val="24"/>
                <w:highlight w:val="none"/>
                <w:lang w:val="en-US" w:eastAsia="zh-CN"/>
              </w:rPr>
              <w:t>5.54</w:t>
            </w:r>
            <w:r>
              <w:rPr>
                <w:rFonts w:hint="default" w:ascii="Times New Roman" w:hAnsi="Times New Roman" w:cs="Times New Roman"/>
                <w:sz w:val="24"/>
                <w:highlight w:val="none"/>
                <w:lang w:val="en-US" w:eastAsia="zh-CN"/>
              </w:rPr>
              <w:t>t/a，则NH</w:t>
            </w:r>
            <w:r>
              <w:rPr>
                <w:rFonts w:hint="default" w:ascii="Times New Roman" w:hAnsi="Times New Roman" w:cs="Times New Roman"/>
                <w:sz w:val="24"/>
                <w:highlight w:val="none"/>
                <w:vertAlign w:val="subscript"/>
                <w:lang w:val="en-US" w:eastAsia="zh-CN"/>
              </w:rPr>
              <w:t>3</w:t>
            </w:r>
            <w:r>
              <w:rPr>
                <w:rFonts w:hint="default" w:ascii="Times New Roman" w:hAnsi="Times New Roman" w:cs="Times New Roman"/>
                <w:sz w:val="24"/>
                <w:highlight w:val="none"/>
                <w:lang w:val="en-US" w:eastAsia="zh-CN"/>
              </w:rPr>
              <w:t>及H</w:t>
            </w:r>
            <w:r>
              <w:rPr>
                <w:rFonts w:hint="default" w:ascii="Times New Roman" w:hAnsi="Times New Roman" w:cs="Times New Roman"/>
                <w:sz w:val="24"/>
                <w:highlight w:val="none"/>
                <w:vertAlign w:val="subscript"/>
                <w:lang w:val="en-US" w:eastAsia="zh-CN"/>
              </w:rPr>
              <w:t>2</w:t>
            </w:r>
            <w:r>
              <w:rPr>
                <w:rFonts w:hint="default" w:ascii="Times New Roman" w:hAnsi="Times New Roman" w:cs="Times New Roman"/>
                <w:sz w:val="24"/>
                <w:highlight w:val="none"/>
                <w:lang w:val="en-US" w:eastAsia="zh-CN"/>
              </w:rPr>
              <w:t>S产生量分别为</w:t>
            </w:r>
            <w:r>
              <w:rPr>
                <w:rFonts w:hint="eastAsia" w:cs="Times New Roman"/>
                <w:color w:val="auto"/>
                <w:sz w:val="24"/>
                <w:highlight w:val="none"/>
                <w:lang w:val="en-US" w:eastAsia="zh-CN"/>
              </w:rPr>
              <w:t>0.017</w:t>
            </w:r>
            <w:r>
              <w:rPr>
                <w:rFonts w:hint="default" w:ascii="Times New Roman" w:hAnsi="Times New Roman" w:cs="Times New Roman"/>
                <w:color w:val="auto"/>
                <w:sz w:val="24"/>
                <w:highlight w:val="none"/>
                <w:lang w:val="en-US" w:eastAsia="zh-CN"/>
              </w:rPr>
              <w:t>t/a、0.0006</w:t>
            </w:r>
            <w:r>
              <w:rPr>
                <w:rFonts w:hint="eastAsia" w:cs="Times New Roman"/>
                <w:color w:val="auto"/>
                <w:sz w:val="24"/>
                <w:highlight w:val="none"/>
                <w:lang w:val="en-US" w:eastAsia="zh-CN"/>
              </w:rPr>
              <w:t>6</w:t>
            </w:r>
            <w:r>
              <w:rPr>
                <w:rFonts w:hint="default" w:ascii="Times New Roman" w:hAnsi="Times New Roman" w:cs="Times New Roman"/>
                <w:color w:val="auto"/>
                <w:sz w:val="24"/>
                <w:highlight w:val="none"/>
                <w:lang w:val="en-US" w:eastAsia="zh-CN"/>
              </w:rPr>
              <w:t>t/a</w:t>
            </w:r>
            <w:r>
              <w:rPr>
                <w:rFonts w:hint="default" w:ascii="Times New Roman" w:hAnsi="Times New Roman" w:cs="Times New Roman"/>
                <w:color w:val="auto"/>
                <w:sz w:val="24"/>
                <w:highlight w:val="none"/>
              </w:rPr>
              <w:t>。</w:t>
            </w:r>
            <w:r>
              <w:rPr>
                <w:rFonts w:hint="default" w:ascii="Times New Roman" w:hAnsi="Times New Roman" w:cs="Times New Roman"/>
                <w:sz w:val="24"/>
                <w:lang w:val="en-US" w:eastAsia="zh-CN"/>
              </w:rPr>
              <w:t>污水处理站</w:t>
            </w:r>
            <w:r>
              <w:rPr>
                <w:rFonts w:hint="eastAsia" w:cs="Times New Roman"/>
                <w:sz w:val="24"/>
                <w:lang w:val="en-US" w:eastAsia="zh-CN"/>
              </w:rPr>
              <w:t>采取</w:t>
            </w:r>
            <w:r>
              <w:rPr>
                <w:rFonts w:hint="default" w:ascii="Times New Roman" w:hAnsi="Times New Roman" w:cs="Times New Roman"/>
                <w:sz w:val="24"/>
                <w:lang w:val="en-US" w:eastAsia="zh-CN"/>
              </w:rPr>
              <w:t>密闭并喷洒生物除臭剂</w:t>
            </w:r>
            <w:r>
              <w:rPr>
                <w:rFonts w:hint="eastAsia" w:cs="Times New Roman"/>
                <w:sz w:val="24"/>
                <w:lang w:val="en-US" w:eastAsia="zh-CN"/>
              </w:rPr>
              <w:t>处理后无组织排放，喷洒生物除臭剂处理效率按80%计，H</w:t>
            </w:r>
            <w:r>
              <w:rPr>
                <w:rFonts w:hint="eastAsia" w:cs="Times New Roman"/>
                <w:sz w:val="24"/>
                <w:vertAlign w:val="subscript"/>
                <w:lang w:val="en-US" w:eastAsia="zh-CN"/>
              </w:rPr>
              <w:t>2</w:t>
            </w:r>
            <w:r>
              <w:rPr>
                <w:rFonts w:hint="eastAsia" w:cs="Times New Roman"/>
                <w:sz w:val="24"/>
                <w:lang w:val="en-US" w:eastAsia="zh-CN"/>
              </w:rPr>
              <w:t>S排放量为1.32</w:t>
            </w:r>
            <w:r>
              <w:rPr>
                <w:rFonts w:hint="default" w:ascii="Times New Roman" w:hAnsi="Times New Roman" w:cs="Times New Roman"/>
                <w:sz w:val="24"/>
                <w:lang w:val="en-US" w:eastAsia="zh-CN"/>
              </w:rPr>
              <w:t>×</w:t>
            </w:r>
            <w:r>
              <w:rPr>
                <w:rFonts w:hint="eastAsia" w:cs="Times New Roman"/>
                <w:sz w:val="24"/>
                <w:lang w:val="en-US" w:eastAsia="zh-CN"/>
              </w:rPr>
              <w:t>10</w:t>
            </w:r>
            <w:r>
              <w:rPr>
                <w:rFonts w:hint="eastAsia" w:cs="Times New Roman"/>
                <w:sz w:val="24"/>
                <w:vertAlign w:val="superscript"/>
                <w:lang w:val="en-US" w:eastAsia="zh-CN"/>
              </w:rPr>
              <w:t>-4</w:t>
            </w:r>
            <w:r>
              <w:rPr>
                <w:rFonts w:hint="eastAsia" w:cs="Times New Roman"/>
                <w:sz w:val="24"/>
                <w:vertAlign w:val="baseline"/>
                <w:lang w:val="en-US" w:eastAsia="zh-CN"/>
              </w:rPr>
              <w:t>t/a</w:t>
            </w:r>
            <w:r>
              <w:rPr>
                <w:rFonts w:hint="eastAsia" w:cs="Times New Roman"/>
                <w:sz w:val="24"/>
                <w:lang w:val="en-US" w:eastAsia="zh-CN"/>
              </w:rPr>
              <w:t>，排放速率1.83</w:t>
            </w:r>
            <w:r>
              <w:rPr>
                <w:rFonts w:hint="default" w:ascii="Times New Roman" w:hAnsi="Times New Roman" w:cs="Times New Roman"/>
                <w:sz w:val="24"/>
                <w:lang w:val="en-US" w:eastAsia="zh-CN"/>
              </w:rPr>
              <w:t>×</w:t>
            </w:r>
            <w:r>
              <w:rPr>
                <w:rFonts w:hint="eastAsia" w:cs="Times New Roman"/>
                <w:sz w:val="24"/>
                <w:lang w:val="en-US" w:eastAsia="zh-CN"/>
              </w:rPr>
              <w:t>10</w:t>
            </w:r>
            <w:r>
              <w:rPr>
                <w:rFonts w:hint="eastAsia" w:cs="Times New Roman"/>
                <w:sz w:val="24"/>
                <w:vertAlign w:val="superscript"/>
                <w:lang w:val="en-US" w:eastAsia="zh-CN"/>
              </w:rPr>
              <w:t>-5</w:t>
            </w:r>
            <w:r>
              <w:rPr>
                <w:rFonts w:hint="eastAsia" w:cs="Times New Roman"/>
                <w:sz w:val="24"/>
                <w:vertAlign w:val="baseline"/>
                <w:lang w:val="en-US" w:eastAsia="zh-CN"/>
              </w:rPr>
              <w:t>kg/h</w:t>
            </w:r>
            <w:r>
              <w:rPr>
                <w:rFonts w:hint="eastAsia" w:cs="Times New Roman"/>
                <w:sz w:val="24"/>
                <w:lang w:val="en-US" w:eastAsia="zh-CN"/>
              </w:rPr>
              <w:t>；NH</w:t>
            </w:r>
            <w:r>
              <w:rPr>
                <w:rFonts w:hint="eastAsia" w:cs="Times New Roman"/>
                <w:sz w:val="24"/>
                <w:vertAlign w:val="subscript"/>
                <w:lang w:val="en-US" w:eastAsia="zh-CN"/>
              </w:rPr>
              <w:t>3</w:t>
            </w:r>
            <w:r>
              <w:rPr>
                <w:rFonts w:hint="eastAsia" w:cs="Times New Roman"/>
                <w:sz w:val="24"/>
                <w:lang w:val="en-US" w:eastAsia="zh-CN"/>
              </w:rPr>
              <w:t>排放量为3.4</w:t>
            </w:r>
            <w:r>
              <w:rPr>
                <w:rFonts w:hint="default" w:ascii="Times New Roman" w:hAnsi="Times New Roman" w:cs="Times New Roman"/>
                <w:sz w:val="24"/>
                <w:lang w:val="en-US" w:eastAsia="zh-CN"/>
              </w:rPr>
              <w:t>×</w:t>
            </w:r>
            <w:r>
              <w:rPr>
                <w:rFonts w:hint="eastAsia" w:cs="Times New Roman"/>
                <w:sz w:val="24"/>
                <w:lang w:val="en-US" w:eastAsia="zh-CN"/>
              </w:rPr>
              <w:t>10</w:t>
            </w:r>
            <w:r>
              <w:rPr>
                <w:rFonts w:hint="eastAsia" w:cs="Times New Roman"/>
                <w:sz w:val="24"/>
                <w:vertAlign w:val="superscript"/>
                <w:lang w:val="en-US" w:eastAsia="zh-CN"/>
              </w:rPr>
              <w:t>-3</w:t>
            </w:r>
            <w:r>
              <w:rPr>
                <w:rFonts w:hint="eastAsia" w:cs="Times New Roman"/>
                <w:sz w:val="24"/>
                <w:vertAlign w:val="baseline"/>
                <w:lang w:val="en-US" w:eastAsia="zh-CN"/>
              </w:rPr>
              <w:t>t/a</w:t>
            </w:r>
            <w:r>
              <w:rPr>
                <w:rFonts w:hint="eastAsia" w:cs="Times New Roman"/>
                <w:sz w:val="24"/>
                <w:lang w:val="en-US" w:eastAsia="zh-CN"/>
              </w:rPr>
              <w:t>，排放速率为4</w:t>
            </w:r>
            <w:r>
              <w:rPr>
                <w:rFonts w:hint="default" w:ascii="Times New Roman" w:hAnsi="Times New Roman" w:cs="Times New Roman"/>
                <w:sz w:val="24"/>
                <w:lang w:val="en-US" w:eastAsia="zh-CN"/>
              </w:rPr>
              <w:t>.8×</w:t>
            </w:r>
            <w:r>
              <w:rPr>
                <w:rFonts w:hint="eastAsia" w:cs="Times New Roman"/>
                <w:sz w:val="24"/>
                <w:lang w:val="en-US" w:eastAsia="zh-CN"/>
              </w:rPr>
              <w:t>10</w:t>
            </w:r>
            <w:r>
              <w:rPr>
                <w:rFonts w:hint="eastAsia" w:cs="Times New Roman"/>
                <w:sz w:val="24"/>
                <w:vertAlign w:val="superscript"/>
                <w:lang w:val="en-US" w:eastAsia="zh-CN"/>
              </w:rPr>
              <w:t>-4</w:t>
            </w:r>
            <w:r>
              <w:rPr>
                <w:rFonts w:hint="eastAsia" w:cs="Times New Roman"/>
                <w:sz w:val="24"/>
                <w:vertAlign w:val="baseline"/>
                <w:lang w:val="en-US" w:eastAsia="zh-CN"/>
              </w:rPr>
              <w:t>kg/h。</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left"/>
              <w:textAlignment w:val="auto"/>
              <w:rPr>
                <w:rFonts w:hint="default" w:cs="Times New Roman"/>
                <w:sz w:val="24"/>
                <w:vertAlign w:val="baseline"/>
                <w:lang w:val="en-US" w:eastAsia="zh-CN"/>
              </w:rPr>
            </w:pPr>
          </w:p>
        </w:tc>
      </w:tr>
    </w:tbl>
    <w:p>
      <w:pPr>
        <w:adjustRightInd w:val="0"/>
        <w:snapToGrid w:val="0"/>
        <w:spacing w:line="360" w:lineRule="auto"/>
        <w:rPr>
          <w:rFonts w:hint="default" w:ascii="Times New Roman" w:hAnsi="Times New Roman" w:cs="Times New Roman"/>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4"/>
        <w:tblW w:w="50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4" w:hRule="atLeast"/>
          <w:jc w:val="center"/>
        </w:trPr>
        <w:tc>
          <w:tcPr>
            <w:tcW w:w="5000" w:type="pct"/>
            <w:noWrap w:val="0"/>
            <w:tcMar>
              <w:left w:w="28" w:type="dxa"/>
              <w:right w:w="28" w:type="dxa"/>
            </w:tcMar>
            <w:vAlign w:val="center"/>
          </w:tcPr>
          <w:p>
            <w:pPr>
              <w:pStyle w:val="72"/>
              <w:bidi w:val="0"/>
              <w:rPr>
                <w:rFonts w:hint="default"/>
              </w:rPr>
            </w:pPr>
            <w:r>
              <w:rPr>
                <w:rFonts w:hint="default"/>
              </w:rPr>
              <w:t>表</w:t>
            </w:r>
            <w:r>
              <w:rPr>
                <w:rFonts w:hint="default"/>
                <w:lang w:val="en-US" w:eastAsia="zh-CN"/>
              </w:rPr>
              <w:t>4-</w:t>
            </w:r>
            <w:r>
              <w:rPr>
                <w:rFonts w:hint="eastAsia"/>
                <w:lang w:val="en-US" w:eastAsia="zh-CN"/>
              </w:rPr>
              <w:t xml:space="preserve">2   </w:t>
            </w:r>
            <w:r>
              <w:rPr>
                <w:rFonts w:hint="default"/>
              </w:rPr>
              <w:t>废气污染源源强核算结果一览表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30"/>
              <w:gridCol w:w="784"/>
              <w:gridCol w:w="540"/>
              <w:gridCol w:w="1030"/>
              <w:gridCol w:w="1099"/>
              <w:gridCol w:w="1062"/>
              <w:gridCol w:w="977"/>
              <w:gridCol w:w="760"/>
              <w:gridCol w:w="765"/>
              <w:gridCol w:w="844"/>
              <w:gridCol w:w="1225"/>
              <w:gridCol w:w="1061"/>
              <w:gridCol w:w="109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4"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污染源</w:t>
                  </w:r>
                </w:p>
              </w:tc>
              <w:tc>
                <w:tcPr>
                  <w:tcW w:w="200"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产污</w:t>
                  </w:r>
                  <w:r>
                    <w:rPr>
                      <w:rFonts w:hint="default" w:ascii="Times New Roman" w:hAnsi="Times New Roman" w:cs="Times New Roman"/>
                      <w:sz w:val="21"/>
                      <w:szCs w:val="21"/>
                    </w:rPr>
                    <w:t>环节</w:t>
                  </w:r>
                </w:p>
              </w:tc>
              <w:tc>
                <w:tcPr>
                  <w:tcW w:w="296"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污染物种类</w:t>
                  </w:r>
                </w:p>
              </w:tc>
              <w:tc>
                <w:tcPr>
                  <w:tcW w:w="204"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排放形式</w:t>
                  </w:r>
                </w:p>
              </w:tc>
              <w:tc>
                <w:tcPr>
                  <w:tcW w:w="389"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污染物产生量(t/a)</w:t>
                  </w:r>
                </w:p>
              </w:tc>
              <w:tc>
                <w:tcPr>
                  <w:tcW w:w="415"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污染物产生速率(kg/h)</w:t>
                  </w:r>
                </w:p>
              </w:tc>
              <w:tc>
                <w:tcPr>
                  <w:tcW w:w="401"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污染物产生浓度</w:t>
                  </w:r>
                </w:p>
                <w:p>
                  <w:pPr>
                    <w:jc w:val="center"/>
                    <w:rPr>
                      <w:rFonts w:hint="default" w:ascii="Times New Roman" w:hAnsi="Times New Roman" w:cs="Times New Roman"/>
                      <w:sz w:val="21"/>
                      <w:szCs w:val="21"/>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264" w:type="pct"/>
                  <w:gridSpan w:val="4"/>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污染治理设施</w:t>
                  </w:r>
                </w:p>
              </w:tc>
              <w:tc>
                <w:tcPr>
                  <w:tcW w:w="462"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污染物排放量（t/a）</w:t>
                  </w:r>
                </w:p>
              </w:tc>
              <w:tc>
                <w:tcPr>
                  <w:tcW w:w="400"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污染物排放速率（kg/h)</w:t>
                  </w:r>
                </w:p>
              </w:tc>
              <w:tc>
                <w:tcPr>
                  <w:tcW w:w="411"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污染物排放浓度</w:t>
                  </w:r>
                </w:p>
                <w:p>
                  <w:pPr>
                    <w:jc w:val="center"/>
                    <w:rPr>
                      <w:rFonts w:hint="default" w:ascii="Times New Roman" w:hAnsi="Times New Roman" w:cs="Times New Roman"/>
                      <w:sz w:val="21"/>
                      <w:szCs w:val="21"/>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360"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排放口编号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 w:type="pct"/>
                  <w:vMerge w:val="continue"/>
                  <w:noWrap w:val="0"/>
                  <w:vAlign w:val="center"/>
                </w:tcPr>
                <w:p>
                  <w:pPr>
                    <w:jc w:val="center"/>
                    <w:rPr>
                      <w:rFonts w:hint="default" w:ascii="Times New Roman" w:hAnsi="Times New Roman" w:cs="Times New Roman"/>
                      <w:sz w:val="21"/>
                      <w:szCs w:val="21"/>
                    </w:rPr>
                  </w:pPr>
                </w:p>
              </w:tc>
              <w:tc>
                <w:tcPr>
                  <w:tcW w:w="200" w:type="pct"/>
                  <w:vMerge w:val="continue"/>
                  <w:noWrap w:val="0"/>
                  <w:vAlign w:val="center"/>
                </w:tcPr>
                <w:p>
                  <w:pPr>
                    <w:jc w:val="center"/>
                    <w:rPr>
                      <w:rFonts w:hint="default" w:ascii="Times New Roman" w:hAnsi="Times New Roman" w:cs="Times New Roman"/>
                      <w:sz w:val="21"/>
                      <w:szCs w:val="21"/>
                    </w:rPr>
                  </w:pPr>
                </w:p>
              </w:tc>
              <w:tc>
                <w:tcPr>
                  <w:tcW w:w="296" w:type="pct"/>
                  <w:vMerge w:val="continue"/>
                  <w:noWrap w:val="0"/>
                  <w:vAlign w:val="center"/>
                </w:tcPr>
                <w:p>
                  <w:pPr>
                    <w:jc w:val="center"/>
                    <w:rPr>
                      <w:rFonts w:hint="default" w:ascii="Times New Roman" w:hAnsi="Times New Roman" w:cs="Times New Roman"/>
                      <w:sz w:val="21"/>
                      <w:szCs w:val="21"/>
                    </w:rPr>
                  </w:pPr>
                </w:p>
              </w:tc>
              <w:tc>
                <w:tcPr>
                  <w:tcW w:w="204" w:type="pct"/>
                  <w:vMerge w:val="continue"/>
                  <w:noWrap w:val="0"/>
                  <w:vAlign w:val="center"/>
                </w:tcPr>
                <w:p>
                  <w:pPr>
                    <w:jc w:val="center"/>
                    <w:rPr>
                      <w:rFonts w:hint="default" w:ascii="Times New Roman" w:hAnsi="Times New Roman" w:cs="Times New Roman"/>
                      <w:sz w:val="21"/>
                      <w:szCs w:val="21"/>
                    </w:rPr>
                  </w:pPr>
                </w:p>
              </w:tc>
              <w:tc>
                <w:tcPr>
                  <w:tcW w:w="389" w:type="pct"/>
                  <w:vMerge w:val="continue"/>
                  <w:noWrap w:val="0"/>
                  <w:vAlign w:val="center"/>
                </w:tcPr>
                <w:p>
                  <w:pPr>
                    <w:jc w:val="center"/>
                    <w:rPr>
                      <w:rFonts w:hint="default" w:ascii="Times New Roman" w:hAnsi="Times New Roman" w:cs="Times New Roman"/>
                      <w:sz w:val="21"/>
                      <w:szCs w:val="21"/>
                    </w:rPr>
                  </w:pPr>
                </w:p>
              </w:tc>
              <w:tc>
                <w:tcPr>
                  <w:tcW w:w="415" w:type="pct"/>
                  <w:vMerge w:val="continue"/>
                  <w:noWrap w:val="0"/>
                  <w:vAlign w:val="center"/>
                </w:tcPr>
                <w:p>
                  <w:pPr>
                    <w:jc w:val="center"/>
                    <w:rPr>
                      <w:rFonts w:hint="default" w:ascii="Times New Roman" w:hAnsi="Times New Roman" w:cs="Times New Roman"/>
                      <w:sz w:val="21"/>
                      <w:szCs w:val="21"/>
                    </w:rPr>
                  </w:pPr>
                </w:p>
              </w:tc>
              <w:tc>
                <w:tcPr>
                  <w:tcW w:w="401" w:type="pct"/>
                  <w:vMerge w:val="continue"/>
                  <w:noWrap w:val="0"/>
                  <w:vAlign w:val="center"/>
                </w:tcPr>
                <w:p>
                  <w:pPr>
                    <w:jc w:val="center"/>
                    <w:rPr>
                      <w:rFonts w:hint="default" w:ascii="Times New Roman" w:hAnsi="Times New Roman" w:cs="Times New Roman"/>
                      <w:sz w:val="21"/>
                      <w:szCs w:val="21"/>
                    </w:rPr>
                  </w:pPr>
                </w:p>
              </w:tc>
              <w:tc>
                <w:tcPr>
                  <w:tcW w:w="369"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名称及工艺</w:t>
                  </w:r>
                </w:p>
              </w:tc>
              <w:tc>
                <w:tcPr>
                  <w:tcW w:w="287"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收集效率%</w:t>
                  </w:r>
                </w:p>
              </w:tc>
              <w:tc>
                <w:tcPr>
                  <w:tcW w:w="289"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去除效率%</w:t>
                  </w:r>
                </w:p>
              </w:tc>
              <w:tc>
                <w:tcPr>
                  <w:tcW w:w="318"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是否为可行技术</w:t>
                  </w:r>
                </w:p>
              </w:tc>
              <w:tc>
                <w:tcPr>
                  <w:tcW w:w="462" w:type="pct"/>
                  <w:vMerge w:val="continue"/>
                  <w:noWrap w:val="0"/>
                  <w:vAlign w:val="center"/>
                </w:tcPr>
                <w:p>
                  <w:pPr>
                    <w:jc w:val="center"/>
                    <w:rPr>
                      <w:rFonts w:hint="default" w:ascii="Times New Roman" w:hAnsi="Times New Roman" w:cs="Times New Roman"/>
                      <w:sz w:val="21"/>
                      <w:szCs w:val="21"/>
                    </w:rPr>
                  </w:pPr>
                </w:p>
              </w:tc>
              <w:tc>
                <w:tcPr>
                  <w:tcW w:w="400" w:type="pct"/>
                  <w:vMerge w:val="continue"/>
                  <w:noWrap w:val="0"/>
                  <w:vAlign w:val="center"/>
                </w:tcPr>
                <w:p>
                  <w:pPr>
                    <w:jc w:val="center"/>
                    <w:rPr>
                      <w:rFonts w:hint="default" w:ascii="Times New Roman" w:hAnsi="Times New Roman" w:cs="Times New Roman"/>
                      <w:sz w:val="21"/>
                      <w:szCs w:val="21"/>
                    </w:rPr>
                  </w:pPr>
                </w:p>
              </w:tc>
              <w:tc>
                <w:tcPr>
                  <w:tcW w:w="411" w:type="pct"/>
                  <w:vMerge w:val="continue"/>
                  <w:noWrap w:val="0"/>
                  <w:vAlign w:val="center"/>
                </w:tcPr>
                <w:p>
                  <w:pPr>
                    <w:jc w:val="center"/>
                    <w:rPr>
                      <w:rFonts w:hint="default" w:ascii="Times New Roman" w:hAnsi="Times New Roman" w:cs="Times New Roman"/>
                      <w:sz w:val="21"/>
                      <w:szCs w:val="21"/>
                    </w:rPr>
                  </w:pPr>
                </w:p>
              </w:tc>
              <w:tc>
                <w:tcPr>
                  <w:tcW w:w="360" w:type="pct"/>
                  <w:vMerge w:val="continue"/>
                  <w:noWrap w:val="0"/>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94"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待宰圈</w:t>
                  </w:r>
                </w:p>
              </w:tc>
              <w:tc>
                <w:tcPr>
                  <w:tcW w:w="200"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待宰静养</w:t>
                  </w:r>
                </w:p>
              </w:tc>
              <w:tc>
                <w:tcPr>
                  <w:tcW w:w="296"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H</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S</w:t>
                  </w:r>
                </w:p>
              </w:tc>
              <w:tc>
                <w:tcPr>
                  <w:tcW w:w="204" w:type="pct"/>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无</w:t>
                  </w:r>
                  <w:r>
                    <w:rPr>
                      <w:rFonts w:hint="default" w:ascii="Times New Roman" w:hAnsi="Times New Roman" w:cs="Times New Roman"/>
                      <w:sz w:val="21"/>
                      <w:szCs w:val="21"/>
                    </w:rPr>
                    <w:t>组织</w:t>
                  </w:r>
                </w:p>
              </w:tc>
              <w:tc>
                <w:tcPr>
                  <w:tcW w:w="389"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3.68×10</w:t>
                  </w:r>
                  <w:r>
                    <w:rPr>
                      <w:rFonts w:hint="default" w:ascii="Times New Roman" w:hAnsi="Times New Roman" w:eastAsia="宋体" w:cs="Times New Roman"/>
                      <w:sz w:val="21"/>
                      <w:szCs w:val="21"/>
                      <w:vertAlign w:val="superscript"/>
                      <w:lang w:val="en-US" w:eastAsia="zh-CN"/>
                    </w:rPr>
                    <w:t>-4</w:t>
                  </w:r>
                </w:p>
              </w:tc>
              <w:tc>
                <w:tcPr>
                  <w:tcW w:w="415"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5.11×10</w:t>
                  </w:r>
                  <w:r>
                    <w:rPr>
                      <w:rFonts w:hint="default" w:ascii="Times New Roman" w:hAnsi="Times New Roman" w:eastAsia="宋体" w:cs="Times New Roman"/>
                      <w:sz w:val="21"/>
                      <w:szCs w:val="21"/>
                      <w:vertAlign w:val="superscript"/>
                      <w:lang w:val="en-US" w:eastAsia="zh-CN"/>
                    </w:rPr>
                    <w:t>-5</w:t>
                  </w:r>
                </w:p>
              </w:tc>
              <w:tc>
                <w:tcPr>
                  <w:tcW w:w="401"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c>
                <w:tcPr>
                  <w:tcW w:w="369"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及时清理，采用“干清粪工艺”并喷洒生物除臭剂</w:t>
                  </w:r>
                </w:p>
              </w:tc>
              <w:tc>
                <w:tcPr>
                  <w:tcW w:w="287" w:type="pct"/>
                  <w:noWrap w:val="0"/>
                  <w:vAlign w:val="center"/>
                </w:tcPr>
                <w:p>
                  <w:pPr>
                    <w:jc w:val="center"/>
                  </w:pPr>
                  <w:r>
                    <w:rPr>
                      <w:rFonts w:hint="eastAsia"/>
                      <w:lang w:val="en-US" w:eastAsia="zh-CN"/>
                    </w:rPr>
                    <w:t>/</w:t>
                  </w:r>
                </w:p>
              </w:tc>
              <w:tc>
                <w:tcPr>
                  <w:tcW w:w="289" w:type="pct"/>
                  <w:noWrap w:val="0"/>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80</w:t>
                  </w:r>
                </w:p>
              </w:tc>
              <w:tc>
                <w:tcPr>
                  <w:tcW w:w="318" w:type="pct"/>
                  <w:vMerge w:val="restart"/>
                  <w:noWrap w:val="0"/>
                  <w:vAlign w:val="center"/>
                </w:tcPr>
                <w:p>
                  <w:pPr>
                    <w:jc w:val="center"/>
                    <w:rPr>
                      <w:rFonts w:hint="default" w:ascii="Times New Roman" w:hAnsi="Times New Roman" w:cs="Times New Roman"/>
                      <w:sz w:val="21"/>
                      <w:szCs w:val="21"/>
                    </w:rPr>
                  </w:pPr>
                  <w:r>
                    <w:rPr>
                      <w:rFonts w:hint="eastAsia" w:cs="Times New Roman"/>
                      <w:sz w:val="21"/>
                      <w:szCs w:val="21"/>
                      <w:lang w:val="en-US" w:eastAsia="zh-CN"/>
                    </w:rPr>
                    <w:t>是</w:t>
                  </w:r>
                </w:p>
              </w:tc>
              <w:tc>
                <w:tcPr>
                  <w:tcW w:w="462"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7.36×10</w:t>
                  </w:r>
                  <w:r>
                    <w:rPr>
                      <w:rFonts w:hint="default" w:ascii="Times New Roman" w:hAnsi="Times New Roman" w:eastAsia="宋体" w:cs="Times New Roman"/>
                      <w:sz w:val="21"/>
                      <w:szCs w:val="21"/>
                      <w:vertAlign w:val="superscript"/>
                      <w:lang w:val="en-US" w:eastAsia="zh-CN"/>
                    </w:rPr>
                    <w:t>-5</w:t>
                  </w:r>
                </w:p>
              </w:tc>
              <w:tc>
                <w:tcPr>
                  <w:tcW w:w="400"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vertAlign w:val="superscript"/>
                      <w:lang w:val="en-US" w:eastAsia="zh-CN"/>
                    </w:rPr>
                    <w:t>-5</w:t>
                  </w:r>
                </w:p>
              </w:tc>
              <w:tc>
                <w:tcPr>
                  <w:tcW w:w="411"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360"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4" w:type="pct"/>
                  <w:vMerge w:val="continue"/>
                  <w:noWrap w:val="0"/>
                  <w:vAlign w:val="center"/>
                </w:tcPr>
                <w:p>
                  <w:pPr>
                    <w:jc w:val="center"/>
                    <w:rPr>
                      <w:rFonts w:hint="default" w:ascii="Times New Roman" w:hAnsi="Times New Roman" w:cs="Times New Roman"/>
                      <w:sz w:val="21"/>
                      <w:szCs w:val="21"/>
                    </w:rPr>
                  </w:pPr>
                </w:p>
              </w:tc>
              <w:tc>
                <w:tcPr>
                  <w:tcW w:w="200" w:type="pct"/>
                  <w:vMerge w:val="continue"/>
                  <w:noWrap w:val="0"/>
                  <w:vAlign w:val="center"/>
                </w:tcPr>
                <w:p>
                  <w:pPr>
                    <w:jc w:val="center"/>
                    <w:rPr>
                      <w:rFonts w:hint="default" w:ascii="Times New Roman" w:hAnsi="Times New Roman" w:cs="Times New Roman"/>
                      <w:sz w:val="21"/>
                      <w:szCs w:val="21"/>
                    </w:rPr>
                  </w:pPr>
                </w:p>
              </w:tc>
              <w:tc>
                <w:tcPr>
                  <w:tcW w:w="296" w:type="pct"/>
                  <w:noWrap w:val="0"/>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rPr>
                    <w:t>NH</w:t>
                  </w:r>
                  <w:r>
                    <w:rPr>
                      <w:rFonts w:hint="default" w:ascii="Times New Roman" w:hAnsi="Times New Roman" w:eastAsia="宋体" w:cs="Times New Roman"/>
                      <w:sz w:val="21"/>
                      <w:szCs w:val="21"/>
                      <w:vertAlign w:val="subscript"/>
                      <w:lang w:val="en-US" w:eastAsia="zh-CN"/>
                    </w:rPr>
                    <w:t>3</w:t>
                  </w:r>
                </w:p>
              </w:tc>
              <w:tc>
                <w:tcPr>
                  <w:tcW w:w="204" w:type="pct"/>
                  <w:vMerge w:val="continue"/>
                  <w:noWrap w:val="0"/>
                  <w:vAlign w:val="center"/>
                </w:tcPr>
                <w:p>
                  <w:pPr>
                    <w:jc w:val="center"/>
                    <w:rPr>
                      <w:rFonts w:hint="default" w:ascii="Times New Roman" w:hAnsi="Times New Roman" w:cs="Times New Roman"/>
                      <w:sz w:val="21"/>
                      <w:szCs w:val="21"/>
                    </w:rPr>
                  </w:pPr>
                </w:p>
              </w:tc>
              <w:tc>
                <w:tcPr>
                  <w:tcW w:w="389"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1.44×10</w:t>
                  </w:r>
                  <w:r>
                    <w:rPr>
                      <w:rFonts w:hint="default" w:ascii="Times New Roman" w:hAnsi="Times New Roman" w:eastAsia="宋体" w:cs="Times New Roman"/>
                      <w:sz w:val="21"/>
                      <w:szCs w:val="21"/>
                      <w:vertAlign w:val="superscript"/>
                      <w:lang w:val="en-US" w:eastAsia="zh-CN"/>
                    </w:rPr>
                    <w:t>-3</w:t>
                  </w:r>
                </w:p>
              </w:tc>
              <w:tc>
                <w:tcPr>
                  <w:tcW w:w="415"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1.99×10</w:t>
                  </w:r>
                  <w:r>
                    <w:rPr>
                      <w:rFonts w:hint="default" w:ascii="Times New Roman" w:hAnsi="Times New Roman" w:eastAsia="宋体" w:cs="Times New Roman"/>
                      <w:sz w:val="21"/>
                      <w:szCs w:val="21"/>
                      <w:vertAlign w:val="superscript"/>
                      <w:lang w:val="en-US" w:eastAsia="zh-CN"/>
                    </w:rPr>
                    <w:t>-4</w:t>
                  </w:r>
                </w:p>
              </w:tc>
              <w:tc>
                <w:tcPr>
                  <w:tcW w:w="401"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369" w:type="pct"/>
                  <w:vMerge w:val="continue"/>
                  <w:noWrap w:val="0"/>
                  <w:vAlign w:val="center"/>
                </w:tcPr>
                <w:p>
                  <w:pPr>
                    <w:jc w:val="center"/>
                    <w:rPr>
                      <w:rFonts w:hint="default" w:ascii="Times New Roman" w:hAnsi="Times New Roman" w:cs="Times New Roman"/>
                      <w:sz w:val="21"/>
                      <w:szCs w:val="21"/>
                    </w:rPr>
                  </w:pPr>
                </w:p>
              </w:tc>
              <w:tc>
                <w:tcPr>
                  <w:tcW w:w="287" w:type="pct"/>
                  <w:noWrap w:val="0"/>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89" w:type="pct"/>
                  <w:noWrap w:val="0"/>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80</w:t>
                  </w:r>
                </w:p>
              </w:tc>
              <w:tc>
                <w:tcPr>
                  <w:tcW w:w="318" w:type="pct"/>
                  <w:vMerge w:val="continue"/>
                  <w:noWrap w:val="0"/>
                  <w:vAlign w:val="center"/>
                </w:tcPr>
                <w:p>
                  <w:pPr>
                    <w:jc w:val="center"/>
                    <w:rPr>
                      <w:rFonts w:hint="default" w:ascii="Times New Roman" w:hAnsi="Times New Roman" w:cs="Times New Roman"/>
                      <w:sz w:val="21"/>
                      <w:szCs w:val="21"/>
                    </w:rPr>
                  </w:pPr>
                </w:p>
              </w:tc>
              <w:tc>
                <w:tcPr>
                  <w:tcW w:w="462" w:type="pct"/>
                  <w:noWrap w:val="0"/>
                  <w:vAlign w:val="center"/>
                </w:tcPr>
                <w:p>
                  <w:pPr>
                    <w:jc w:val="center"/>
                    <w:rPr>
                      <w:rFonts w:hint="default" w:ascii="Times New Roman" w:hAnsi="Times New Roman" w:cs="Times New Roman"/>
                      <w:sz w:val="21"/>
                      <w:szCs w:val="21"/>
                    </w:rPr>
                  </w:pPr>
                  <w:r>
                    <w:rPr>
                      <w:rFonts w:hint="eastAsia" w:cs="Times New Roman"/>
                      <w:sz w:val="21"/>
                      <w:szCs w:val="21"/>
                      <w:lang w:val="en-US" w:eastAsia="zh-CN"/>
                    </w:rPr>
                    <w:t>2.87</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vertAlign w:val="superscript"/>
                      <w:lang w:val="en-US" w:eastAsia="zh-CN"/>
                    </w:rPr>
                    <w:t>-4</w:t>
                  </w:r>
                </w:p>
              </w:tc>
              <w:tc>
                <w:tcPr>
                  <w:tcW w:w="400" w:type="pct"/>
                  <w:noWrap w:val="0"/>
                  <w:vAlign w:val="center"/>
                </w:tcPr>
                <w:p>
                  <w:pPr>
                    <w:jc w:val="center"/>
                    <w:rPr>
                      <w:rFonts w:hint="default" w:ascii="Times New Roman" w:hAnsi="Times New Roman" w:cs="Times New Roman"/>
                      <w:sz w:val="21"/>
                      <w:szCs w:val="21"/>
                      <w:lang w:val="en-US"/>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.99×10</w:t>
                  </w:r>
                  <w:r>
                    <w:rPr>
                      <w:rFonts w:hint="default" w:ascii="Times New Roman" w:hAnsi="Times New Roman" w:eastAsia="宋体" w:cs="Times New Roman"/>
                      <w:sz w:val="21"/>
                      <w:szCs w:val="21"/>
                      <w:vertAlign w:val="superscript"/>
                      <w:lang w:val="en-US" w:eastAsia="zh-CN"/>
                    </w:rPr>
                    <w:t>-</w:t>
                  </w:r>
                  <w:r>
                    <w:rPr>
                      <w:rFonts w:hint="eastAsia" w:cs="Times New Roman"/>
                      <w:sz w:val="21"/>
                      <w:szCs w:val="21"/>
                      <w:vertAlign w:val="superscript"/>
                      <w:lang w:val="en-US" w:eastAsia="zh-CN"/>
                    </w:rPr>
                    <w:t>5</w:t>
                  </w:r>
                </w:p>
              </w:tc>
              <w:tc>
                <w:tcPr>
                  <w:tcW w:w="411"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c>
                <w:tcPr>
                  <w:tcW w:w="360" w:type="pct"/>
                  <w:vMerge w:val="continue"/>
                  <w:noWrap w:val="0"/>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94"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屠宰车间</w:t>
                  </w:r>
                </w:p>
              </w:tc>
              <w:tc>
                <w:tcPr>
                  <w:tcW w:w="200"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屠宰</w:t>
                  </w:r>
                </w:p>
              </w:tc>
              <w:tc>
                <w:tcPr>
                  <w:tcW w:w="296" w:type="pct"/>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S</w:t>
                  </w:r>
                </w:p>
              </w:tc>
              <w:tc>
                <w:tcPr>
                  <w:tcW w:w="204"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无组织</w:t>
                  </w:r>
                </w:p>
              </w:tc>
              <w:tc>
                <w:tcPr>
                  <w:tcW w:w="389" w:type="pct"/>
                  <w:noWrap w:val="0"/>
                  <w:vAlign w:val="center"/>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2</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vertAlign w:val="superscript"/>
                      <w:lang w:val="en-US" w:eastAsia="zh-CN"/>
                    </w:rPr>
                    <w:t>-4</w:t>
                  </w:r>
                </w:p>
              </w:tc>
              <w:tc>
                <w:tcPr>
                  <w:tcW w:w="415" w:type="pct"/>
                  <w:noWrap w:val="0"/>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vertAlign w:val="superscript"/>
                      <w:lang w:val="en-US" w:eastAsia="zh-CN"/>
                    </w:rPr>
                    <w:t>-5</w:t>
                  </w:r>
                </w:p>
              </w:tc>
              <w:tc>
                <w:tcPr>
                  <w:tcW w:w="401"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369" w:type="pct"/>
                  <w:vMerge w:val="restart"/>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及时冲洗、加强通风并喷洒生物除臭剂</w:t>
                  </w:r>
                </w:p>
              </w:tc>
              <w:tc>
                <w:tcPr>
                  <w:tcW w:w="287" w:type="pct"/>
                  <w:noWrap w:val="0"/>
                  <w:vAlign w:val="center"/>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w:t>
                  </w:r>
                </w:p>
              </w:tc>
              <w:tc>
                <w:tcPr>
                  <w:tcW w:w="289" w:type="pct"/>
                  <w:noWrap w:val="0"/>
                  <w:vAlign w:val="center"/>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80</w:t>
                  </w:r>
                </w:p>
              </w:tc>
              <w:tc>
                <w:tcPr>
                  <w:tcW w:w="318"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sz w:val="21"/>
                      <w:szCs w:val="21"/>
                      <w:lang w:val="en-US" w:eastAsia="zh-CN"/>
                    </w:rPr>
                    <w:t>是</w:t>
                  </w:r>
                </w:p>
              </w:tc>
              <w:tc>
                <w:tcPr>
                  <w:tcW w:w="462" w:type="pct"/>
                  <w:noWrap w:val="0"/>
                  <w:vAlign w:val="center"/>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4</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vertAlign w:val="superscript"/>
                      <w:lang w:val="en-US" w:eastAsia="zh-CN"/>
                    </w:rPr>
                    <w:t>-</w:t>
                  </w:r>
                  <w:r>
                    <w:rPr>
                      <w:rFonts w:hint="eastAsia" w:cs="Times New Roman"/>
                      <w:sz w:val="21"/>
                      <w:szCs w:val="21"/>
                      <w:vertAlign w:val="superscript"/>
                      <w:lang w:val="en-US" w:eastAsia="zh-CN"/>
                    </w:rPr>
                    <w:t>5</w:t>
                  </w:r>
                </w:p>
              </w:tc>
              <w:tc>
                <w:tcPr>
                  <w:tcW w:w="400" w:type="pct"/>
                  <w:noWrap w:val="0"/>
                  <w:vAlign w:val="center"/>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1.67</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vertAlign w:val="superscript"/>
                      <w:lang w:val="en-US" w:eastAsia="zh-CN"/>
                    </w:rPr>
                    <w:t>-5</w:t>
                  </w:r>
                </w:p>
              </w:tc>
              <w:tc>
                <w:tcPr>
                  <w:tcW w:w="411" w:type="pct"/>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360"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 w:type="pct"/>
                  <w:vMerge w:val="continue"/>
                  <w:noWrap w:val="0"/>
                  <w:vAlign w:val="center"/>
                </w:tcPr>
                <w:p>
                  <w:pPr>
                    <w:jc w:val="center"/>
                    <w:rPr>
                      <w:rFonts w:hint="default" w:ascii="Times New Roman" w:hAnsi="Times New Roman" w:cs="Times New Roman"/>
                      <w:sz w:val="21"/>
                      <w:szCs w:val="21"/>
                    </w:rPr>
                  </w:pPr>
                </w:p>
              </w:tc>
              <w:tc>
                <w:tcPr>
                  <w:tcW w:w="200" w:type="pct"/>
                  <w:vMerge w:val="continue"/>
                  <w:noWrap w:val="0"/>
                  <w:vAlign w:val="center"/>
                </w:tcPr>
                <w:p>
                  <w:pPr>
                    <w:jc w:val="center"/>
                    <w:rPr>
                      <w:rFonts w:hint="default" w:ascii="Times New Roman" w:hAnsi="Times New Roman" w:cs="Times New Roman"/>
                      <w:sz w:val="21"/>
                      <w:szCs w:val="21"/>
                    </w:rPr>
                  </w:pPr>
                </w:p>
              </w:tc>
              <w:tc>
                <w:tcPr>
                  <w:tcW w:w="296" w:type="pct"/>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lang w:val="en-US" w:eastAsia="zh-CN"/>
                    </w:rPr>
                    <w:t>NH</w:t>
                  </w:r>
                  <w:r>
                    <w:rPr>
                      <w:rFonts w:hint="default" w:ascii="Times New Roman" w:hAnsi="Times New Roman" w:eastAsia="宋体" w:cs="Times New Roman"/>
                      <w:sz w:val="21"/>
                      <w:szCs w:val="21"/>
                      <w:vertAlign w:val="subscript"/>
                      <w:lang w:val="en-US" w:eastAsia="zh-CN"/>
                    </w:rPr>
                    <w:t>3</w:t>
                  </w:r>
                </w:p>
              </w:tc>
              <w:tc>
                <w:tcPr>
                  <w:tcW w:w="204" w:type="pct"/>
                  <w:vMerge w:val="continue"/>
                  <w:noWrap w:val="0"/>
                  <w:vAlign w:val="center"/>
                </w:tcPr>
                <w:p>
                  <w:pPr>
                    <w:jc w:val="center"/>
                    <w:rPr>
                      <w:rFonts w:hint="default" w:ascii="Times New Roman" w:hAnsi="Times New Roman" w:cs="Times New Roman"/>
                      <w:sz w:val="21"/>
                      <w:szCs w:val="21"/>
                    </w:rPr>
                  </w:pPr>
                </w:p>
              </w:tc>
              <w:tc>
                <w:tcPr>
                  <w:tcW w:w="389" w:type="pct"/>
                  <w:noWrap w:val="0"/>
                  <w:vAlign w:val="center"/>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5.1</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vertAlign w:val="superscript"/>
                      <w:lang w:val="en-US" w:eastAsia="zh-CN"/>
                    </w:rPr>
                    <w:t>-</w:t>
                  </w:r>
                  <w:r>
                    <w:rPr>
                      <w:rFonts w:hint="eastAsia" w:cs="Times New Roman"/>
                      <w:sz w:val="21"/>
                      <w:szCs w:val="21"/>
                      <w:vertAlign w:val="superscript"/>
                      <w:lang w:val="en-US" w:eastAsia="zh-CN"/>
                    </w:rPr>
                    <w:t>3</w:t>
                  </w:r>
                </w:p>
              </w:tc>
              <w:tc>
                <w:tcPr>
                  <w:tcW w:w="415" w:type="pct"/>
                  <w:noWrap w:val="0"/>
                  <w:vAlign w:val="center"/>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2.1</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vertAlign w:val="superscript"/>
                      <w:lang w:val="en-US" w:eastAsia="zh-CN"/>
                    </w:rPr>
                    <w:t>-3</w:t>
                  </w:r>
                </w:p>
              </w:tc>
              <w:tc>
                <w:tcPr>
                  <w:tcW w:w="401" w:type="pct"/>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bCs/>
                      <w:color w:val="auto"/>
                      <w:sz w:val="21"/>
                      <w:szCs w:val="21"/>
                      <w:lang w:val="en-US" w:eastAsia="zh-CN"/>
                    </w:rPr>
                    <w:t>/</w:t>
                  </w:r>
                </w:p>
              </w:tc>
              <w:tc>
                <w:tcPr>
                  <w:tcW w:w="369" w:type="pct"/>
                  <w:vMerge w:val="continue"/>
                  <w:noWrap w:val="0"/>
                  <w:vAlign w:val="center"/>
                </w:tcPr>
                <w:p>
                  <w:pPr>
                    <w:jc w:val="center"/>
                    <w:rPr>
                      <w:rFonts w:hint="default" w:ascii="Times New Roman" w:hAnsi="Times New Roman" w:cs="Times New Roman"/>
                      <w:sz w:val="21"/>
                      <w:szCs w:val="21"/>
                      <w:lang w:val="en-US" w:eastAsia="zh-CN"/>
                    </w:rPr>
                  </w:pPr>
                </w:p>
              </w:tc>
              <w:tc>
                <w:tcPr>
                  <w:tcW w:w="287" w:type="pct"/>
                  <w:noWrap w:val="0"/>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89" w:type="pct"/>
                  <w:noWrap w:val="0"/>
                  <w:vAlign w:val="center"/>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80</w:t>
                  </w:r>
                </w:p>
              </w:tc>
              <w:tc>
                <w:tcPr>
                  <w:tcW w:w="318" w:type="pct"/>
                  <w:vMerge w:val="continue"/>
                  <w:noWrap w:val="0"/>
                  <w:vAlign w:val="center"/>
                </w:tcPr>
                <w:p>
                  <w:pPr>
                    <w:jc w:val="center"/>
                    <w:rPr>
                      <w:rFonts w:hint="default" w:ascii="Times New Roman" w:hAnsi="Times New Roman" w:cs="Times New Roman"/>
                      <w:sz w:val="21"/>
                      <w:szCs w:val="21"/>
                      <w:lang w:val="en-US" w:eastAsia="zh-CN"/>
                    </w:rPr>
                  </w:pPr>
                </w:p>
              </w:tc>
              <w:tc>
                <w:tcPr>
                  <w:tcW w:w="462" w:type="pct"/>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lang w:val="en-US" w:eastAsia="zh-CN"/>
                    </w:rPr>
                    <w:t>1×10</w:t>
                  </w:r>
                  <w:r>
                    <w:rPr>
                      <w:rFonts w:hint="default" w:ascii="Times New Roman" w:hAnsi="Times New Roman" w:eastAsia="宋体" w:cs="Times New Roman"/>
                      <w:sz w:val="21"/>
                      <w:szCs w:val="21"/>
                      <w:vertAlign w:val="superscript"/>
                      <w:lang w:val="en-US" w:eastAsia="zh-CN"/>
                    </w:rPr>
                    <w:t>-</w:t>
                  </w:r>
                  <w:r>
                    <w:rPr>
                      <w:rFonts w:hint="eastAsia" w:cs="Times New Roman"/>
                      <w:sz w:val="21"/>
                      <w:szCs w:val="21"/>
                      <w:vertAlign w:val="superscript"/>
                      <w:lang w:val="en-US" w:eastAsia="zh-CN"/>
                    </w:rPr>
                    <w:t>3</w:t>
                  </w:r>
                </w:p>
              </w:tc>
              <w:tc>
                <w:tcPr>
                  <w:tcW w:w="400" w:type="pct"/>
                  <w:noWrap w:val="0"/>
                  <w:vAlign w:val="center"/>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4.25</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vertAlign w:val="superscript"/>
                      <w:lang w:val="en-US" w:eastAsia="zh-CN"/>
                    </w:rPr>
                    <w:t>-</w:t>
                  </w:r>
                  <w:r>
                    <w:rPr>
                      <w:rFonts w:hint="eastAsia" w:cs="Times New Roman"/>
                      <w:sz w:val="21"/>
                      <w:szCs w:val="21"/>
                      <w:vertAlign w:val="superscript"/>
                      <w:lang w:val="en-US" w:eastAsia="zh-CN"/>
                    </w:rPr>
                    <w:t>4</w:t>
                  </w:r>
                </w:p>
              </w:tc>
              <w:tc>
                <w:tcPr>
                  <w:tcW w:w="411" w:type="pct"/>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bCs/>
                      <w:color w:val="auto"/>
                      <w:sz w:val="21"/>
                      <w:szCs w:val="21"/>
                      <w:lang w:val="en-US" w:eastAsia="zh-CN"/>
                    </w:rPr>
                    <w:t>/</w:t>
                  </w:r>
                </w:p>
              </w:tc>
              <w:tc>
                <w:tcPr>
                  <w:tcW w:w="360"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94" w:type="pct"/>
                  <w:vMerge w:val="restar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污水处理站</w:t>
                  </w:r>
                </w:p>
              </w:tc>
              <w:tc>
                <w:tcPr>
                  <w:tcW w:w="200" w:type="pct"/>
                  <w:vMerge w:val="restar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污水处理</w:t>
                  </w:r>
                </w:p>
              </w:tc>
              <w:tc>
                <w:tcPr>
                  <w:tcW w:w="296"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H</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S</w:t>
                  </w:r>
                </w:p>
              </w:tc>
              <w:tc>
                <w:tcPr>
                  <w:tcW w:w="204" w:type="pct"/>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无组织</w:t>
                  </w:r>
                </w:p>
              </w:tc>
              <w:tc>
                <w:tcPr>
                  <w:tcW w:w="389"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0.0006</w:t>
                  </w:r>
                  <w:r>
                    <w:rPr>
                      <w:rFonts w:hint="eastAsia" w:cs="Times New Roman"/>
                      <w:color w:val="auto"/>
                      <w:sz w:val="21"/>
                      <w:szCs w:val="21"/>
                      <w:lang w:val="en-US" w:eastAsia="zh-CN"/>
                    </w:rPr>
                    <w:t>6</w:t>
                  </w:r>
                </w:p>
              </w:tc>
              <w:tc>
                <w:tcPr>
                  <w:tcW w:w="415"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r>
                    <w:rPr>
                      <w:rFonts w:hint="eastAsia" w:cs="Times New Roman"/>
                      <w:color w:val="auto"/>
                      <w:sz w:val="21"/>
                      <w:szCs w:val="21"/>
                      <w:lang w:val="en-US" w:eastAsia="zh-CN"/>
                    </w:rPr>
                    <w:t>16</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-5</w:t>
                  </w:r>
                </w:p>
              </w:tc>
              <w:tc>
                <w:tcPr>
                  <w:tcW w:w="401" w:type="pct"/>
                  <w:noWrap w:val="0"/>
                  <w:vAlign w:val="center"/>
                </w:tcPr>
                <w:p>
                  <w:pPr>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w:t>
                  </w:r>
                </w:p>
              </w:tc>
              <w:tc>
                <w:tcPr>
                  <w:tcW w:w="369" w:type="pct"/>
                  <w:vMerge w:val="restar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污水处理站密闭并喷洒生物除臭剂</w:t>
                  </w:r>
                </w:p>
              </w:tc>
              <w:tc>
                <w:tcPr>
                  <w:tcW w:w="287" w:type="pct"/>
                  <w:noWrap w:val="0"/>
                  <w:vAlign w:val="center"/>
                </w:tcPr>
                <w:p>
                  <w:pPr>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c>
                <w:tcPr>
                  <w:tcW w:w="289"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80</w:t>
                  </w:r>
                </w:p>
              </w:tc>
              <w:tc>
                <w:tcPr>
                  <w:tcW w:w="318" w:type="pct"/>
                  <w:vMerge w:val="restar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是</w:t>
                  </w:r>
                </w:p>
              </w:tc>
              <w:tc>
                <w:tcPr>
                  <w:tcW w:w="46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1.32×10</w:t>
                  </w:r>
                  <w:r>
                    <w:rPr>
                      <w:rFonts w:hint="default" w:ascii="Times New Roman" w:hAnsi="Times New Roman" w:cs="Times New Roman"/>
                      <w:color w:val="auto"/>
                      <w:sz w:val="21"/>
                      <w:szCs w:val="21"/>
                      <w:vertAlign w:val="superscript"/>
                      <w:lang w:val="en-US" w:eastAsia="zh-CN"/>
                    </w:rPr>
                    <w:t>-4</w:t>
                  </w:r>
                </w:p>
              </w:tc>
              <w:tc>
                <w:tcPr>
                  <w:tcW w:w="40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1.83</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-5</w:t>
                  </w:r>
                </w:p>
              </w:tc>
              <w:tc>
                <w:tcPr>
                  <w:tcW w:w="411" w:type="pct"/>
                  <w:noWrap w:val="0"/>
                  <w:vAlign w:val="center"/>
                </w:tcPr>
                <w:p>
                  <w:pPr>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w:t>
                  </w:r>
                </w:p>
              </w:tc>
              <w:tc>
                <w:tcPr>
                  <w:tcW w:w="360" w:type="pct"/>
                  <w:vMerge w:val="restar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4" w:type="pct"/>
                  <w:vMerge w:val="continue"/>
                  <w:noWrap w:val="0"/>
                  <w:vAlign w:val="center"/>
                </w:tcPr>
                <w:p>
                  <w:pPr>
                    <w:jc w:val="center"/>
                    <w:rPr>
                      <w:rFonts w:hint="default" w:ascii="Times New Roman" w:hAnsi="Times New Roman" w:cs="Times New Roman"/>
                      <w:color w:val="auto"/>
                      <w:sz w:val="21"/>
                      <w:szCs w:val="21"/>
                      <w:lang w:val="en-US" w:eastAsia="zh-CN"/>
                    </w:rPr>
                  </w:pPr>
                </w:p>
              </w:tc>
              <w:tc>
                <w:tcPr>
                  <w:tcW w:w="200" w:type="pct"/>
                  <w:vMerge w:val="continue"/>
                  <w:noWrap w:val="0"/>
                  <w:vAlign w:val="center"/>
                </w:tcPr>
                <w:p>
                  <w:pPr>
                    <w:jc w:val="center"/>
                    <w:rPr>
                      <w:rFonts w:hint="default" w:ascii="Times New Roman" w:hAnsi="Times New Roman" w:cs="Times New Roman"/>
                      <w:color w:val="auto"/>
                      <w:sz w:val="21"/>
                      <w:szCs w:val="21"/>
                      <w:lang w:val="en-US" w:eastAsia="zh-CN"/>
                    </w:rPr>
                  </w:pPr>
                </w:p>
              </w:tc>
              <w:tc>
                <w:tcPr>
                  <w:tcW w:w="296" w:type="pct"/>
                  <w:noWrap w:val="0"/>
                  <w:vAlign w:val="center"/>
                </w:tcPr>
                <w:p>
                  <w:pPr>
                    <w:jc w:val="center"/>
                    <w:rPr>
                      <w:rFonts w:hint="default" w:ascii="Times New Roman" w:hAnsi="Times New Roman" w:cs="Times New Roman"/>
                      <w:kern w:val="2"/>
                      <w:sz w:val="21"/>
                      <w:szCs w:val="21"/>
                      <w:lang w:val="en-US" w:eastAsia="zh-CN" w:bidi="ar-SA"/>
                    </w:rPr>
                  </w:pPr>
                  <w:r>
                    <w:rPr>
                      <w:rFonts w:hint="default" w:ascii="Times New Roman" w:hAnsi="Times New Roman" w:eastAsia="宋体" w:cs="Times New Roman"/>
                      <w:sz w:val="21"/>
                      <w:szCs w:val="21"/>
                      <w:lang w:val="en-US" w:eastAsia="zh-CN"/>
                    </w:rPr>
                    <w:t>NH</w:t>
                  </w:r>
                  <w:r>
                    <w:rPr>
                      <w:rFonts w:hint="default" w:ascii="Times New Roman" w:hAnsi="Times New Roman" w:eastAsia="宋体" w:cs="Times New Roman"/>
                      <w:sz w:val="21"/>
                      <w:szCs w:val="21"/>
                      <w:vertAlign w:val="subscript"/>
                      <w:lang w:val="en-US" w:eastAsia="zh-CN"/>
                    </w:rPr>
                    <w:t>3</w:t>
                  </w:r>
                </w:p>
              </w:tc>
              <w:tc>
                <w:tcPr>
                  <w:tcW w:w="204" w:type="pct"/>
                  <w:vMerge w:val="continue"/>
                  <w:noWrap w:val="0"/>
                  <w:vAlign w:val="center"/>
                </w:tcPr>
                <w:p>
                  <w:pPr>
                    <w:jc w:val="center"/>
                    <w:rPr>
                      <w:rFonts w:hint="default" w:ascii="Times New Roman" w:hAnsi="Times New Roman" w:cs="Times New Roman"/>
                      <w:color w:val="auto"/>
                      <w:sz w:val="21"/>
                      <w:szCs w:val="21"/>
                    </w:rPr>
                  </w:pPr>
                </w:p>
              </w:tc>
              <w:tc>
                <w:tcPr>
                  <w:tcW w:w="389"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0.017</w:t>
                  </w:r>
                </w:p>
              </w:tc>
              <w:tc>
                <w:tcPr>
                  <w:tcW w:w="415"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0.0024</w:t>
                  </w:r>
                </w:p>
              </w:tc>
              <w:tc>
                <w:tcPr>
                  <w:tcW w:w="401" w:type="pct"/>
                  <w:noWrap w:val="0"/>
                  <w:vAlign w:val="center"/>
                </w:tcPr>
                <w:p>
                  <w:pPr>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w:t>
                  </w:r>
                </w:p>
              </w:tc>
              <w:tc>
                <w:tcPr>
                  <w:tcW w:w="369" w:type="pct"/>
                  <w:vMerge w:val="continue"/>
                  <w:noWrap w:val="0"/>
                  <w:vAlign w:val="center"/>
                </w:tcPr>
                <w:p>
                  <w:pPr>
                    <w:jc w:val="center"/>
                    <w:rPr>
                      <w:rFonts w:hint="default" w:ascii="Times New Roman" w:hAnsi="Times New Roman" w:cs="Times New Roman"/>
                      <w:color w:val="auto"/>
                      <w:sz w:val="21"/>
                      <w:szCs w:val="21"/>
                      <w:lang w:val="en-US" w:eastAsia="zh-CN"/>
                    </w:rPr>
                  </w:pPr>
                </w:p>
              </w:tc>
              <w:tc>
                <w:tcPr>
                  <w:tcW w:w="287" w:type="pct"/>
                  <w:noWrap w:val="0"/>
                  <w:vAlign w:val="center"/>
                </w:tcPr>
                <w:p>
                  <w:pPr>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c>
                <w:tcPr>
                  <w:tcW w:w="289"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80</w:t>
                  </w:r>
                </w:p>
              </w:tc>
              <w:tc>
                <w:tcPr>
                  <w:tcW w:w="318" w:type="pct"/>
                  <w:vMerge w:val="continue"/>
                  <w:noWrap w:val="0"/>
                  <w:vAlign w:val="center"/>
                </w:tcPr>
                <w:p>
                  <w:pPr>
                    <w:jc w:val="center"/>
                    <w:rPr>
                      <w:rFonts w:hint="default" w:ascii="Times New Roman" w:hAnsi="Times New Roman" w:cs="Times New Roman"/>
                      <w:color w:val="auto"/>
                      <w:sz w:val="21"/>
                      <w:szCs w:val="21"/>
                      <w:lang w:val="en-US" w:eastAsia="zh-CN"/>
                    </w:rPr>
                  </w:pPr>
                </w:p>
              </w:tc>
              <w:tc>
                <w:tcPr>
                  <w:tcW w:w="46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3.4×10</w:t>
                  </w:r>
                  <w:r>
                    <w:rPr>
                      <w:rFonts w:hint="default" w:ascii="Times New Roman" w:hAnsi="Times New Roman" w:cs="Times New Roman"/>
                      <w:color w:val="auto"/>
                      <w:sz w:val="21"/>
                      <w:szCs w:val="21"/>
                      <w:vertAlign w:val="superscript"/>
                      <w:lang w:val="en-US" w:eastAsia="zh-CN"/>
                    </w:rPr>
                    <w:t>-3</w:t>
                  </w:r>
                </w:p>
              </w:tc>
              <w:tc>
                <w:tcPr>
                  <w:tcW w:w="40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4.8</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vertAlign w:val="superscript"/>
                      <w:lang w:val="en-US" w:eastAsia="zh-CN"/>
                    </w:rPr>
                    <w:t>-4</w:t>
                  </w:r>
                </w:p>
              </w:tc>
              <w:tc>
                <w:tcPr>
                  <w:tcW w:w="411" w:type="pct"/>
                  <w:noWrap w:val="0"/>
                  <w:vAlign w:val="center"/>
                </w:tcPr>
                <w:p>
                  <w:pPr>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w:t>
                  </w:r>
                </w:p>
              </w:tc>
              <w:tc>
                <w:tcPr>
                  <w:tcW w:w="360" w:type="pct"/>
                  <w:vMerge w:val="continue"/>
                  <w:noWrap w:val="0"/>
                  <w:vAlign w:val="center"/>
                </w:tcPr>
                <w:p>
                  <w:pPr>
                    <w:jc w:val="center"/>
                    <w:rPr>
                      <w:rFonts w:hint="default" w:ascii="Times New Roman" w:hAnsi="Times New Roman"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宋体" w:cs="Times New Roman"/>
                <w:bCs/>
                <w:spacing w:val="-10"/>
                <w:sz w:val="24"/>
                <w:szCs w:val="24"/>
                <w:lang w:eastAsia="zh-CN"/>
              </w:rPr>
            </w:pPr>
          </w:p>
        </w:tc>
      </w:tr>
    </w:tbl>
    <w:p>
      <w:pPr>
        <w:pStyle w:val="18"/>
        <w:rPr>
          <w:rFonts w:hint="default" w:ascii="Times New Roman" w:hAnsi="Times New Roman" w:cs="Times New Roman"/>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723" w:type="dxa"/>
            <w:vAlign w:val="center"/>
          </w:tcPr>
          <w:p>
            <w:pPr>
              <w:adjustRightInd w:val="0"/>
              <w:snapToGrid w:val="0"/>
              <w:jc w:val="center"/>
              <w:rPr>
                <w:rFonts w:hint="default" w:ascii="Times New Roman" w:hAnsi="Times New Roman" w:cs="Times New Roman"/>
                <w:bCs/>
                <w:szCs w:val="21"/>
                <w:vertAlign w:val="baseline"/>
              </w:rPr>
            </w:pPr>
            <w:r>
              <w:rPr>
                <w:rFonts w:hint="default" w:ascii="Times New Roman" w:hAnsi="Times New Roman" w:cs="Times New Roman"/>
                <w:bCs/>
                <w:szCs w:val="21"/>
              </w:rPr>
              <w:t>运营期环境影响和保护措施</w:t>
            </w:r>
          </w:p>
        </w:tc>
        <w:tc>
          <w:tcPr>
            <w:tcW w:w="7799" w:type="dxa"/>
          </w:tcPr>
          <w:p>
            <w:pPr>
              <w:pStyle w:val="2"/>
              <w:bidi w:val="0"/>
              <w:rPr>
                <w:rFonts w:hint="default"/>
                <w:lang w:val="en-US" w:eastAsia="zh-CN"/>
              </w:rPr>
            </w:pPr>
            <w:r>
              <w:rPr>
                <w:rFonts w:hint="eastAsia"/>
                <w:lang w:val="en-US" w:eastAsia="zh-CN"/>
              </w:rPr>
              <w:t>1.2</w:t>
            </w:r>
            <w:r>
              <w:rPr>
                <w:rFonts w:hint="default"/>
                <w:lang w:val="en-US" w:eastAsia="zh-CN"/>
              </w:rPr>
              <w:t>污染防治技术可行性分析</w:t>
            </w:r>
          </w:p>
          <w:p>
            <w:pPr>
              <w:pStyle w:val="71"/>
              <w:bidi w:val="0"/>
              <w:rPr>
                <w:rFonts w:hint="default"/>
              </w:rPr>
            </w:pPr>
            <w:r>
              <w:rPr>
                <w:rFonts w:hint="default"/>
                <w:lang w:val="en-US" w:eastAsia="zh-CN"/>
              </w:rPr>
              <w:t>待宰圈、屠宰车间及污水处理站产生的污染物主要是氨、硫化氢等恶臭气体，产生量较少，日常管理中及时清理、采用</w:t>
            </w:r>
            <w:r>
              <w:rPr>
                <w:rFonts w:hint="eastAsia"/>
                <w:lang w:val="en-US" w:eastAsia="zh-CN"/>
              </w:rPr>
              <w:t>“</w:t>
            </w:r>
            <w:r>
              <w:rPr>
                <w:rFonts w:hint="default"/>
                <w:lang w:val="en-US" w:eastAsia="zh-CN"/>
              </w:rPr>
              <w:t>干清粪</w:t>
            </w:r>
            <w:r>
              <w:rPr>
                <w:rFonts w:hint="eastAsia"/>
                <w:lang w:val="en-US" w:eastAsia="zh-CN"/>
              </w:rPr>
              <w:t>”</w:t>
            </w:r>
            <w:r>
              <w:rPr>
                <w:rFonts w:hint="default"/>
                <w:lang w:val="en-US" w:eastAsia="zh-CN"/>
              </w:rPr>
              <w:t>工艺并喷洒生物除臭剂。</w:t>
            </w:r>
          </w:p>
          <w:p>
            <w:pPr>
              <w:pStyle w:val="71"/>
              <w:bidi w:val="0"/>
              <w:rPr>
                <w:rFonts w:hint="default"/>
                <w:lang w:val="en-US" w:eastAsia="zh-CN"/>
              </w:rPr>
            </w:pPr>
            <w:r>
              <w:rPr>
                <w:rFonts w:hint="default"/>
                <w:lang w:val="en-US" w:eastAsia="zh-CN"/>
              </w:rPr>
              <w:t>生物除臭剂除臭的基本原理是利用微生物把恶臭物质吸收于微生物自身体内，通过微生物的代谢活动使其降解的一种过程。牲畜粪便除臭处理技术很多，其中微生物除臭法是一种较为有效的方法，具有除臭率高、无二次污染、所需设备简单、易操作、费用低廉、管理维护方便等优点。</w:t>
            </w:r>
          </w:p>
          <w:p>
            <w:pPr>
              <w:pStyle w:val="71"/>
              <w:bidi w:val="0"/>
              <w:rPr>
                <w:rFonts w:hint="eastAsia"/>
                <w:lang w:val="en-US" w:eastAsia="zh-CN"/>
              </w:rPr>
            </w:pPr>
            <w:r>
              <w:rPr>
                <w:rFonts w:hint="default"/>
                <w:lang w:val="en-US" w:eastAsia="zh-CN"/>
              </w:rPr>
              <w:t>根据《规模畜禽养殖场污染防治最佳可行技术指南（</w:t>
            </w:r>
            <w:r>
              <w:rPr>
                <w:rFonts w:hint="eastAsia"/>
                <w:lang w:val="en-US" w:eastAsia="zh-CN"/>
              </w:rPr>
              <w:t>试行</w:t>
            </w:r>
            <w:r>
              <w:rPr>
                <w:rFonts w:hint="default"/>
                <w:lang w:val="en-US" w:eastAsia="zh-CN"/>
              </w:rPr>
              <w:t>）》，及时清除粪便可减少25%的氨。辽宁省生物科学研究院冯健等人的研究显示（生物除臭剂在畜禽粪便除臭中的应用试验，现代农业科技，2009年第20期），生物除臭剂对恶臭的吸附降解具有显著作用。根据《自然科学》现代化农业，2011年第6期“微生物除臭剂研究进展”（赵晓锋，隋文志）的资料，经国家环境分析测试中心和陕西环境监测中心测试，养殖场生物除臭剂（大力克、万洁芬等）对NH</w:t>
            </w:r>
            <w:r>
              <w:rPr>
                <w:rFonts w:hint="default"/>
                <w:vertAlign w:val="subscript"/>
                <w:lang w:val="en-US" w:eastAsia="zh-CN"/>
              </w:rPr>
              <w:t>3</w:t>
            </w:r>
            <w:r>
              <w:rPr>
                <w:rFonts w:hint="default"/>
                <w:lang w:val="en-US" w:eastAsia="zh-CN"/>
              </w:rPr>
              <w:t>和H</w:t>
            </w:r>
            <w:r>
              <w:rPr>
                <w:rFonts w:hint="default"/>
                <w:vertAlign w:val="subscript"/>
                <w:lang w:val="en-US" w:eastAsia="zh-CN"/>
              </w:rPr>
              <w:t>2</w:t>
            </w:r>
            <w:r>
              <w:rPr>
                <w:rFonts w:hint="default"/>
                <w:lang w:val="en-US" w:eastAsia="zh-CN"/>
              </w:rPr>
              <w:t>S的去除效率分别为92.6%和89%。因此，项目待宰圈将实施粪便及时清理与生物除臭剂喷洒的组合措施。通过这种即时处理方式，可确保项目厂界恶臭浓度稳定达标，从源头降低对周边环境的影响。符合《排污许可证申请与核发技术规范农副食品加工工业-屠宰及肉类加工业》（HJ 860.3-2018）无组织排放控制要求。</w:t>
            </w:r>
            <w:r>
              <w:rPr>
                <w:rFonts w:hint="eastAsia"/>
                <w:lang w:val="en-US" w:eastAsia="zh-CN"/>
              </w:rPr>
              <w:t>同时，针对屠宰车间、待宰圈、污水处理站等关键恶臭单元，将在其周边规划建设绿化隔离带。隔离带优选叶片茂密、废气吸收能力强的树种，利用植物的生态净化作用进一步拦截、吸附恶臭物质，最大限度削弱恶臭向外部环境的扩散。鉴于项目区周边环境开阔，在上述多重措施的协同作用下，能够有效控制恶臭传播范围与强度，对大气环境及周边保护目标的影响降至最低水平。</w:t>
            </w:r>
          </w:p>
          <w:p>
            <w:pPr>
              <w:pStyle w:val="2"/>
              <w:bidi w:val="0"/>
              <w:rPr>
                <w:rFonts w:hint="default"/>
              </w:rPr>
            </w:pPr>
            <w:r>
              <w:rPr>
                <w:rFonts w:hint="eastAsia"/>
                <w:lang w:val="en-US" w:eastAsia="zh-CN"/>
              </w:rPr>
              <w:t>1.3废气</w:t>
            </w:r>
            <w:r>
              <w:rPr>
                <w:rFonts w:hint="default"/>
              </w:rPr>
              <w:t>监测计划</w:t>
            </w:r>
          </w:p>
          <w:p>
            <w:pPr>
              <w:spacing w:line="520" w:lineRule="exact"/>
              <w:ind w:firstLine="440" w:firstLineChars="200"/>
              <w:rPr>
                <w:rFonts w:hint="default" w:ascii="Times New Roman" w:hAnsi="Times New Roman" w:cs="Times New Roman"/>
                <w:bCs/>
                <w:spacing w:val="-10"/>
                <w:sz w:val="24"/>
                <w:szCs w:val="24"/>
              </w:rPr>
            </w:pPr>
            <w:r>
              <w:rPr>
                <w:rFonts w:hint="default" w:ascii="Times New Roman" w:hAnsi="Times New Roman" w:cs="Times New Roman"/>
                <w:bCs/>
                <w:spacing w:val="-10"/>
                <w:sz w:val="24"/>
                <w:szCs w:val="24"/>
              </w:rPr>
              <w:t>根据</w:t>
            </w:r>
            <w:r>
              <w:rPr>
                <w:rFonts w:hint="default" w:ascii="Times New Roman" w:hAnsi="Times New Roman" w:cs="Times New Roman"/>
                <w:bCs/>
                <w:spacing w:val="-10"/>
                <w:sz w:val="24"/>
                <w:szCs w:val="24"/>
                <w:lang w:eastAsia="zh-CN"/>
              </w:rPr>
              <w:t>《</w:t>
            </w:r>
            <w:r>
              <w:rPr>
                <w:rFonts w:hint="default" w:ascii="Times New Roman" w:hAnsi="Times New Roman" w:cs="Times New Roman"/>
                <w:bCs/>
                <w:spacing w:val="-10"/>
                <w:sz w:val="24"/>
                <w:szCs w:val="24"/>
              </w:rPr>
              <w:t>排污单位自行监测技术指南</w:t>
            </w:r>
            <w:r>
              <w:rPr>
                <w:rFonts w:hint="default" w:ascii="Times New Roman" w:hAnsi="Times New Roman" w:cs="Times New Roman"/>
                <w:bCs/>
                <w:spacing w:val="-10"/>
                <w:sz w:val="24"/>
                <w:szCs w:val="24"/>
                <w:lang w:val="en-US" w:eastAsia="zh-CN"/>
              </w:rPr>
              <w:t>总则</w:t>
            </w:r>
            <w:r>
              <w:rPr>
                <w:rFonts w:hint="default" w:ascii="Times New Roman" w:hAnsi="Times New Roman" w:cs="Times New Roman"/>
                <w:bCs/>
                <w:spacing w:val="-10"/>
                <w:sz w:val="24"/>
                <w:szCs w:val="24"/>
                <w:lang w:eastAsia="zh-CN"/>
              </w:rPr>
              <w:t>》（</w:t>
            </w:r>
            <w:r>
              <w:rPr>
                <w:rFonts w:hint="default" w:ascii="Times New Roman" w:hAnsi="Times New Roman" w:cs="Times New Roman"/>
                <w:bCs/>
                <w:spacing w:val="-10"/>
                <w:sz w:val="24"/>
                <w:szCs w:val="24"/>
                <w:lang w:val="en-US" w:eastAsia="zh-CN"/>
              </w:rPr>
              <w:t>HJ819-2017</w:t>
            </w:r>
            <w:r>
              <w:rPr>
                <w:rFonts w:hint="default" w:ascii="Times New Roman" w:hAnsi="Times New Roman" w:cs="Times New Roman"/>
                <w:bCs/>
                <w:spacing w:val="-10"/>
                <w:sz w:val="24"/>
                <w:szCs w:val="24"/>
                <w:lang w:eastAsia="zh-CN"/>
              </w:rPr>
              <w:t>）、</w:t>
            </w:r>
            <w:r>
              <w:rPr>
                <w:rFonts w:hint="default" w:ascii="Times New Roman" w:hAnsi="Times New Roman" w:cs="Times New Roman"/>
                <w:bCs/>
                <w:spacing w:val="-10"/>
                <w:sz w:val="24"/>
                <w:szCs w:val="24"/>
              </w:rPr>
              <w:t>《排污单位自行监测技术指南</w:t>
            </w:r>
            <w:r>
              <w:rPr>
                <w:rFonts w:hint="default" w:ascii="Times New Roman" w:hAnsi="Times New Roman" w:cs="Times New Roman"/>
                <w:bCs/>
                <w:spacing w:val="-10"/>
                <w:sz w:val="24"/>
                <w:szCs w:val="24"/>
                <w:lang w:val="en-US" w:eastAsia="zh-CN"/>
              </w:rPr>
              <w:t>-农副食品加工业</w:t>
            </w:r>
            <w:r>
              <w:rPr>
                <w:rFonts w:hint="default" w:ascii="Times New Roman" w:hAnsi="Times New Roman" w:cs="Times New Roman"/>
                <w:bCs/>
                <w:spacing w:val="-10"/>
                <w:sz w:val="24"/>
                <w:szCs w:val="24"/>
              </w:rPr>
              <w:t>》（HJ</w:t>
            </w:r>
            <w:r>
              <w:rPr>
                <w:rFonts w:hint="default" w:ascii="Times New Roman" w:hAnsi="Times New Roman" w:cs="Times New Roman"/>
                <w:bCs/>
                <w:spacing w:val="-10"/>
                <w:sz w:val="24"/>
                <w:szCs w:val="24"/>
                <w:lang w:val="en-US" w:eastAsia="zh-CN"/>
              </w:rPr>
              <w:t>986</w:t>
            </w:r>
            <w:r>
              <w:rPr>
                <w:rFonts w:hint="default" w:ascii="Times New Roman" w:hAnsi="Times New Roman" w:cs="Times New Roman"/>
                <w:bCs/>
                <w:spacing w:val="-10"/>
                <w:sz w:val="24"/>
                <w:szCs w:val="24"/>
              </w:rPr>
              <w:t>-201</w:t>
            </w:r>
            <w:r>
              <w:rPr>
                <w:rFonts w:hint="default" w:ascii="Times New Roman" w:hAnsi="Times New Roman" w:cs="Times New Roman"/>
                <w:bCs/>
                <w:spacing w:val="-10"/>
                <w:sz w:val="24"/>
                <w:szCs w:val="24"/>
                <w:lang w:val="en-US" w:eastAsia="zh-CN"/>
              </w:rPr>
              <w:t>8</w:t>
            </w:r>
            <w:r>
              <w:rPr>
                <w:rFonts w:hint="default" w:ascii="Times New Roman" w:hAnsi="Times New Roman" w:cs="Times New Roman"/>
                <w:bCs/>
                <w:spacing w:val="-10"/>
                <w:sz w:val="24"/>
                <w:szCs w:val="24"/>
              </w:rPr>
              <w:t>），本项目大气监测计划如下：</w:t>
            </w:r>
          </w:p>
          <w:p>
            <w:pPr>
              <w:pStyle w:val="49"/>
              <w:bidi w:val="0"/>
              <w:rPr>
                <w:rFonts w:hint="default" w:ascii="Times New Roman" w:hAnsi="Times New Roman" w:cs="Times New Roman"/>
              </w:rPr>
            </w:pPr>
            <w:r>
              <w:rPr>
                <w:rFonts w:hint="default" w:ascii="Times New Roman" w:hAnsi="Times New Roman" w:cs="Times New Roman"/>
                <w:highlight w:val="none"/>
              </w:rPr>
              <w:t>表</w:t>
            </w:r>
            <w:r>
              <w:rPr>
                <w:rFonts w:hint="default" w:ascii="Times New Roman" w:hAnsi="Times New Roman" w:cs="Times New Roman"/>
                <w:highlight w:val="none"/>
                <w:lang w:val="en-US" w:eastAsia="zh-CN"/>
              </w:rPr>
              <w:t>4-</w:t>
            </w:r>
            <w:r>
              <w:rPr>
                <w:rFonts w:hint="eastAsia" w:ascii="Times New Roman" w:hAnsi="Times New Roman" w:cs="Times New Roman"/>
                <w:highlight w:val="none"/>
                <w:lang w:val="en-US" w:eastAsia="zh-CN"/>
              </w:rPr>
              <w:t xml:space="preserve">3 </w:t>
            </w:r>
            <w:r>
              <w:rPr>
                <w:rFonts w:hint="eastAsia" w:ascii="Times New Roman" w:hAnsi="Times New Roman" w:cs="Times New Roman"/>
                <w:lang w:val="en-US" w:eastAsia="zh-CN"/>
              </w:rPr>
              <w:t xml:space="preserve">  </w:t>
            </w:r>
            <w:r>
              <w:rPr>
                <w:rFonts w:hint="default" w:ascii="Times New Roman" w:hAnsi="Times New Roman" w:cs="Times New Roman"/>
              </w:rPr>
              <w:t>废气污染源监测计划一览表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812"/>
              <w:gridCol w:w="887"/>
              <w:gridCol w:w="1469"/>
              <w:gridCol w:w="1336"/>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4" w:type="pct"/>
                  <w:noWrap w:val="0"/>
                  <w:vAlign w:val="center"/>
                </w:tcPr>
                <w:p>
                  <w:pPr>
                    <w:adjustRightInd w:val="0"/>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监测点位</w:t>
                  </w:r>
                </w:p>
              </w:tc>
              <w:tc>
                <w:tcPr>
                  <w:tcW w:w="536" w:type="pct"/>
                  <w:noWrap w:val="0"/>
                  <w:vAlign w:val="center"/>
                </w:tcPr>
                <w:p>
                  <w:pPr>
                    <w:adjustRightInd w:val="0"/>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监测因子</w:t>
                  </w:r>
                </w:p>
              </w:tc>
              <w:tc>
                <w:tcPr>
                  <w:tcW w:w="586" w:type="pct"/>
                  <w:noWrap w:val="0"/>
                  <w:vAlign w:val="center"/>
                </w:tcPr>
                <w:p>
                  <w:pPr>
                    <w:adjustRightInd w:val="0"/>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监测频次</w:t>
                  </w:r>
                </w:p>
              </w:tc>
              <w:tc>
                <w:tcPr>
                  <w:tcW w:w="970" w:type="pct"/>
                  <w:noWrap w:val="0"/>
                  <w:vAlign w:val="center"/>
                </w:tcPr>
                <w:p>
                  <w:pPr>
                    <w:adjustRightInd w:val="0"/>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大气污染物排放限值</w:t>
                  </w:r>
                  <w:r>
                    <w:rPr>
                      <w:rFonts w:hint="default" w:ascii="Times New Roman" w:hAnsi="Times New Roman" w:cs="Times New Roman"/>
                      <w:color w:val="000000"/>
                      <w:sz w:val="21"/>
                      <w:szCs w:val="21"/>
                    </w:rPr>
                    <w:t>mg/m</w:t>
                  </w:r>
                  <w:r>
                    <w:rPr>
                      <w:rFonts w:hint="default" w:ascii="Times New Roman" w:hAnsi="Times New Roman" w:cs="Times New Roman"/>
                      <w:color w:val="000000"/>
                      <w:sz w:val="21"/>
                      <w:szCs w:val="21"/>
                      <w:vertAlign w:val="superscript"/>
                    </w:rPr>
                    <w:t>3</w:t>
                  </w:r>
                </w:p>
              </w:tc>
              <w:tc>
                <w:tcPr>
                  <w:tcW w:w="882" w:type="pct"/>
                  <w:noWrap w:val="0"/>
                  <w:vAlign w:val="center"/>
                </w:tcPr>
                <w:p>
                  <w:pPr>
                    <w:adjustRightInd w:val="0"/>
                    <w:snapToGrid w:val="0"/>
                    <w:jc w:val="center"/>
                    <w:rPr>
                      <w:rFonts w:hint="default" w:ascii="Times New Roman" w:hAnsi="Times New Roman" w:eastAsia="宋体" w:cs="Times New Roman"/>
                      <w:bCs/>
                      <w:color w:val="000000"/>
                      <w:sz w:val="21"/>
                      <w:szCs w:val="21"/>
                      <w:lang w:eastAsia="zh-CN"/>
                    </w:rPr>
                  </w:pPr>
                  <w:r>
                    <w:rPr>
                      <w:rFonts w:hint="default" w:ascii="Times New Roman" w:hAnsi="Times New Roman" w:cs="Times New Roman"/>
                      <w:bCs/>
                      <w:color w:val="000000"/>
                      <w:sz w:val="21"/>
                      <w:szCs w:val="21"/>
                      <w:lang w:eastAsia="zh-CN"/>
                    </w:rPr>
                    <w:t>污染物排放监控位置</w:t>
                  </w:r>
                </w:p>
              </w:tc>
              <w:tc>
                <w:tcPr>
                  <w:tcW w:w="1251" w:type="pct"/>
                  <w:noWrap w:val="0"/>
                  <w:vAlign w:val="center"/>
                </w:tcPr>
                <w:p>
                  <w:pPr>
                    <w:adjustRightInd w:val="0"/>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pct"/>
                  <w:vMerge w:val="restart"/>
                  <w:noWrap w:val="0"/>
                  <w:vAlign w:val="center"/>
                </w:tcPr>
                <w:p>
                  <w:pPr>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厂界</w:t>
                  </w:r>
                </w:p>
              </w:tc>
              <w:tc>
                <w:tcPr>
                  <w:tcW w:w="536" w:type="pct"/>
                  <w:noWrap w:val="0"/>
                  <w:vAlign w:val="center"/>
                </w:tcPr>
                <w:p>
                  <w:pPr>
                    <w:adjustRightInd w:val="0"/>
                    <w:snapToGrid w:val="0"/>
                    <w:jc w:val="center"/>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臭气</w:t>
                  </w:r>
                  <w:r>
                    <w:rPr>
                      <w:rFonts w:hint="eastAsia" w:ascii="Times New Roman" w:hAnsi="Times New Roman" w:cs="Times New Roman"/>
                      <w:color w:val="000000"/>
                      <w:sz w:val="21"/>
                      <w:szCs w:val="21"/>
                      <w:vertAlign w:val="baseline"/>
                      <w:lang w:val="en-US" w:eastAsia="zh-CN"/>
                    </w:rPr>
                    <w:t>浓度</w:t>
                  </w:r>
                </w:p>
              </w:tc>
              <w:tc>
                <w:tcPr>
                  <w:tcW w:w="586" w:type="pct"/>
                  <w:noWrap w:val="0"/>
                  <w:vAlign w:val="center"/>
                </w:tcPr>
                <w:p>
                  <w:pPr>
                    <w:adjustRightInd w:val="0"/>
                    <w:snapToGrid w:val="0"/>
                    <w:jc w:val="center"/>
                    <w:rPr>
                      <w:rFonts w:hint="default" w:ascii="Times New Roman" w:hAnsi="Times New Roman" w:cs="Times New Roman"/>
                      <w:bCs/>
                      <w:color w:val="000000"/>
                      <w:sz w:val="21"/>
                      <w:szCs w:val="21"/>
                      <w:lang w:eastAsia="zh-CN"/>
                    </w:rPr>
                  </w:pPr>
                  <w:r>
                    <w:rPr>
                      <w:rFonts w:hint="eastAsia" w:cs="Times New Roman"/>
                      <w:color w:val="000000"/>
                      <w:szCs w:val="21"/>
                      <w:lang w:val="en-US" w:eastAsia="zh-CN"/>
                    </w:rPr>
                    <w:t>1</w:t>
                  </w:r>
                  <w:r>
                    <w:rPr>
                      <w:rFonts w:hint="default" w:ascii="Times New Roman" w:hAnsi="Times New Roman" w:cs="Times New Roman"/>
                      <w:color w:val="000000"/>
                      <w:szCs w:val="21"/>
                    </w:rPr>
                    <w:t>次/</w:t>
                  </w:r>
                  <w:r>
                    <w:rPr>
                      <w:rFonts w:hint="default" w:ascii="Times New Roman" w:hAnsi="Times New Roman" w:cs="Times New Roman"/>
                      <w:color w:val="000000"/>
                      <w:szCs w:val="21"/>
                      <w:lang w:val="en-US" w:eastAsia="zh-CN"/>
                    </w:rPr>
                    <w:t>半</w:t>
                  </w:r>
                  <w:r>
                    <w:rPr>
                      <w:rFonts w:hint="default" w:ascii="Times New Roman" w:hAnsi="Times New Roman" w:cs="Times New Roman"/>
                      <w:color w:val="000000"/>
                      <w:szCs w:val="21"/>
                    </w:rPr>
                    <w:t>年</w:t>
                  </w:r>
                </w:p>
              </w:tc>
              <w:tc>
                <w:tcPr>
                  <w:tcW w:w="970" w:type="pct"/>
                  <w:noWrap w:val="0"/>
                  <w:vAlign w:val="center"/>
                </w:tcPr>
                <w:p>
                  <w:pPr>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20（无量纲）</w:t>
                  </w:r>
                </w:p>
              </w:tc>
              <w:tc>
                <w:tcPr>
                  <w:tcW w:w="882" w:type="pct"/>
                  <w:vMerge w:val="restart"/>
                  <w:noWrap w:val="0"/>
                  <w:vAlign w:val="center"/>
                </w:tcPr>
                <w:p>
                  <w:pPr>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厂界</w:t>
                  </w:r>
                </w:p>
              </w:tc>
              <w:tc>
                <w:tcPr>
                  <w:tcW w:w="1251" w:type="pct"/>
                  <w:vMerge w:val="restart"/>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bCs/>
                      <w:color w:val="000000"/>
                      <w:sz w:val="21"/>
                      <w:szCs w:val="21"/>
                      <w:lang w:val="en-US" w:eastAsia="zh-CN"/>
                    </w:rPr>
                    <w:t>《恶臭污染物排放标准》（GB 14554-93）表1二级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pct"/>
                  <w:vMerge w:val="continue"/>
                  <w:noWrap w:val="0"/>
                  <w:vAlign w:val="center"/>
                </w:tcPr>
                <w:p>
                  <w:pPr>
                    <w:adjustRightInd w:val="0"/>
                    <w:snapToGrid w:val="0"/>
                    <w:jc w:val="center"/>
                    <w:rPr>
                      <w:rFonts w:hint="default" w:ascii="Times New Roman" w:hAnsi="Times New Roman" w:cs="Times New Roman"/>
                      <w:bCs/>
                      <w:color w:val="000000"/>
                      <w:sz w:val="21"/>
                      <w:szCs w:val="21"/>
                      <w:lang w:val="en-US" w:eastAsia="zh-CN"/>
                    </w:rPr>
                  </w:pPr>
                </w:p>
              </w:tc>
              <w:tc>
                <w:tcPr>
                  <w:tcW w:w="536" w:type="pct"/>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氨</w:t>
                  </w:r>
                </w:p>
              </w:tc>
              <w:tc>
                <w:tcPr>
                  <w:tcW w:w="586" w:type="pct"/>
                  <w:noWrap w:val="0"/>
                  <w:vAlign w:val="center"/>
                </w:tcPr>
                <w:p>
                  <w:pPr>
                    <w:adjustRightInd w:val="0"/>
                    <w:snapToGrid w:val="0"/>
                    <w:jc w:val="center"/>
                    <w:rPr>
                      <w:rFonts w:hint="default" w:ascii="Times New Roman" w:hAnsi="Times New Roman" w:cs="Times New Roman"/>
                      <w:color w:val="000000"/>
                      <w:szCs w:val="21"/>
                    </w:rPr>
                  </w:pPr>
                  <w:r>
                    <w:rPr>
                      <w:rFonts w:hint="eastAsia" w:cs="Times New Roman"/>
                      <w:bCs/>
                      <w:color w:val="000000"/>
                      <w:sz w:val="21"/>
                      <w:szCs w:val="21"/>
                      <w:lang w:val="en-US" w:eastAsia="zh-CN"/>
                    </w:rPr>
                    <w:t>1</w:t>
                  </w:r>
                  <w:r>
                    <w:rPr>
                      <w:rFonts w:hint="default" w:ascii="Times New Roman" w:hAnsi="Times New Roman" w:cs="Times New Roman"/>
                      <w:bCs/>
                      <w:color w:val="000000"/>
                      <w:sz w:val="21"/>
                      <w:szCs w:val="21"/>
                      <w:lang w:eastAsia="zh-CN"/>
                    </w:rPr>
                    <w:t>次</w:t>
                  </w:r>
                  <w:r>
                    <w:rPr>
                      <w:rFonts w:hint="default" w:ascii="Times New Roman" w:hAnsi="Times New Roman" w:cs="Times New Roman"/>
                      <w:bCs/>
                      <w:color w:val="000000"/>
                      <w:sz w:val="21"/>
                      <w:szCs w:val="21"/>
                      <w:lang w:val="en-US" w:eastAsia="zh-CN"/>
                    </w:rPr>
                    <w:t>/半年</w:t>
                  </w:r>
                </w:p>
              </w:tc>
              <w:tc>
                <w:tcPr>
                  <w:tcW w:w="970" w:type="pct"/>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1.5</w:t>
                  </w:r>
                </w:p>
              </w:tc>
              <w:tc>
                <w:tcPr>
                  <w:tcW w:w="882" w:type="pct"/>
                  <w:vMerge w:val="continue"/>
                  <w:noWrap w:val="0"/>
                  <w:vAlign w:val="center"/>
                </w:tcPr>
                <w:p>
                  <w:pPr>
                    <w:adjustRightInd w:val="0"/>
                    <w:snapToGrid w:val="0"/>
                    <w:jc w:val="center"/>
                    <w:rPr>
                      <w:rFonts w:hint="default" w:ascii="Times New Roman" w:hAnsi="Times New Roman" w:cs="Times New Roman"/>
                      <w:color w:val="000000"/>
                      <w:szCs w:val="21"/>
                      <w:lang w:val="en-US" w:eastAsia="zh-CN"/>
                    </w:rPr>
                  </w:pPr>
                </w:p>
              </w:tc>
              <w:tc>
                <w:tcPr>
                  <w:tcW w:w="1251" w:type="pct"/>
                  <w:vMerge w:val="continue"/>
                  <w:noWrap w:val="0"/>
                  <w:vAlign w:val="center"/>
                </w:tcPr>
                <w:p>
                  <w:pPr>
                    <w:adjustRightInd w:val="0"/>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pct"/>
                  <w:vMerge w:val="continue"/>
                  <w:noWrap w:val="0"/>
                  <w:vAlign w:val="center"/>
                </w:tcPr>
                <w:p>
                  <w:pPr>
                    <w:adjustRightInd w:val="0"/>
                    <w:snapToGrid w:val="0"/>
                    <w:jc w:val="center"/>
                    <w:rPr>
                      <w:rFonts w:hint="default" w:ascii="Times New Roman" w:hAnsi="Times New Roman" w:cs="Times New Roman"/>
                      <w:bCs/>
                      <w:color w:val="000000"/>
                      <w:sz w:val="21"/>
                      <w:szCs w:val="21"/>
                      <w:lang w:val="en-US" w:eastAsia="zh-CN"/>
                    </w:rPr>
                  </w:pPr>
                </w:p>
              </w:tc>
              <w:tc>
                <w:tcPr>
                  <w:tcW w:w="536" w:type="pct"/>
                  <w:noWrap w:val="0"/>
                  <w:vAlign w:val="center"/>
                </w:tcPr>
                <w:p>
                  <w:pPr>
                    <w:adjustRightInd w:val="0"/>
                    <w:snapToGrid w:val="0"/>
                    <w:jc w:val="center"/>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硫化氢</w:t>
                  </w:r>
                </w:p>
              </w:tc>
              <w:tc>
                <w:tcPr>
                  <w:tcW w:w="586" w:type="pct"/>
                  <w:noWrap w:val="0"/>
                  <w:vAlign w:val="center"/>
                </w:tcPr>
                <w:p>
                  <w:pPr>
                    <w:adjustRightInd w:val="0"/>
                    <w:snapToGrid w:val="0"/>
                    <w:jc w:val="center"/>
                    <w:rPr>
                      <w:rFonts w:hint="default" w:ascii="Times New Roman" w:hAnsi="Times New Roman" w:cs="Times New Roman"/>
                      <w:bCs/>
                      <w:color w:val="000000"/>
                      <w:sz w:val="21"/>
                      <w:szCs w:val="21"/>
                      <w:lang w:eastAsia="zh-CN"/>
                    </w:rPr>
                  </w:pPr>
                  <w:r>
                    <w:rPr>
                      <w:rFonts w:hint="eastAsia" w:cs="Times New Roman"/>
                      <w:color w:val="000000"/>
                      <w:szCs w:val="21"/>
                      <w:lang w:val="en-US" w:eastAsia="zh-CN"/>
                    </w:rPr>
                    <w:t>1</w:t>
                  </w:r>
                  <w:r>
                    <w:rPr>
                      <w:rFonts w:hint="default" w:ascii="Times New Roman" w:hAnsi="Times New Roman" w:cs="Times New Roman"/>
                      <w:color w:val="000000"/>
                      <w:szCs w:val="21"/>
                    </w:rPr>
                    <w:t>次/</w:t>
                  </w:r>
                  <w:r>
                    <w:rPr>
                      <w:rFonts w:hint="default" w:ascii="Times New Roman" w:hAnsi="Times New Roman" w:cs="Times New Roman"/>
                      <w:color w:val="000000"/>
                      <w:szCs w:val="21"/>
                      <w:lang w:val="en-US" w:eastAsia="zh-CN"/>
                    </w:rPr>
                    <w:t>半</w:t>
                  </w:r>
                  <w:r>
                    <w:rPr>
                      <w:rFonts w:hint="default" w:ascii="Times New Roman" w:hAnsi="Times New Roman" w:cs="Times New Roman"/>
                      <w:color w:val="000000"/>
                      <w:szCs w:val="21"/>
                    </w:rPr>
                    <w:t>年</w:t>
                  </w:r>
                </w:p>
              </w:tc>
              <w:tc>
                <w:tcPr>
                  <w:tcW w:w="970" w:type="pct"/>
                  <w:noWrap w:val="0"/>
                  <w:vAlign w:val="center"/>
                </w:tcPr>
                <w:p>
                  <w:pPr>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0.06</w:t>
                  </w:r>
                </w:p>
              </w:tc>
              <w:tc>
                <w:tcPr>
                  <w:tcW w:w="882" w:type="pct"/>
                  <w:vMerge w:val="continue"/>
                  <w:noWrap w:val="0"/>
                  <w:vAlign w:val="center"/>
                </w:tcPr>
                <w:p>
                  <w:pPr>
                    <w:adjustRightInd w:val="0"/>
                    <w:snapToGrid w:val="0"/>
                    <w:jc w:val="center"/>
                    <w:rPr>
                      <w:rFonts w:hint="default" w:ascii="Times New Roman" w:hAnsi="Times New Roman" w:cs="Times New Roman"/>
                      <w:bCs/>
                      <w:color w:val="000000"/>
                      <w:sz w:val="21"/>
                      <w:szCs w:val="21"/>
                      <w:lang w:val="en-US" w:eastAsia="zh-CN"/>
                    </w:rPr>
                  </w:pPr>
                </w:p>
              </w:tc>
              <w:tc>
                <w:tcPr>
                  <w:tcW w:w="1251" w:type="pct"/>
                  <w:vMerge w:val="continue"/>
                  <w:noWrap w:val="0"/>
                  <w:vAlign w:val="center"/>
                </w:tcPr>
                <w:p>
                  <w:pPr>
                    <w:adjustRightInd w:val="0"/>
                    <w:snapToGrid w:val="0"/>
                    <w:jc w:val="center"/>
                    <w:rPr>
                      <w:rFonts w:hint="default" w:ascii="Times New Roman" w:hAnsi="Times New Roman" w:cs="Times New Roman"/>
                      <w:bCs/>
                      <w:color w:val="000000"/>
                      <w:sz w:val="21"/>
                      <w:szCs w:val="21"/>
                      <w:lang w:val="en-US" w:eastAsia="zh-CN"/>
                    </w:rPr>
                  </w:pPr>
                </w:p>
              </w:tc>
            </w:tr>
          </w:tbl>
          <w:p>
            <w:pPr>
              <w:spacing w:line="520" w:lineRule="exact"/>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2.水环境影响和保护措施</w:t>
            </w:r>
          </w:p>
          <w:p>
            <w:pPr>
              <w:pStyle w:val="2"/>
              <w:bidi w:val="0"/>
              <w:rPr>
                <w:rFonts w:hint="default"/>
              </w:rPr>
            </w:pPr>
            <w:r>
              <w:rPr>
                <w:rFonts w:hint="eastAsia"/>
                <w:lang w:val="en-US" w:eastAsia="zh-CN"/>
              </w:rPr>
              <w:t>2.1废水源强核算</w:t>
            </w:r>
          </w:p>
          <w:p>
            <w:pPr>
              <w:pStyle w:val="71"/>
              <w:bidi w:val="0"/>
              <w:rPr>
                <w:rFonts w:hint="default" w:ascii="Times New Roman" w:hAnsi="Times New Roman" w:cs="Times New Roman"/>
                <w:sz w:val="24"/>
                <w:lang w:val="en-US" w:eastAsia="zh-CN"/>
              </w:rPr>
            </w:pPr>
            <w:r>
              <w:rPr>
                <w:rFonts w:hint="eastAsia"/>
                <w:lang w:val="en-US" w:eastAsia="zh-CN"/>
              </w:rPr>
              <w:t>本项目废水主要为屠宰废水和生活污水。</w:t>
            </w:r>
            <w:r>
              <w:rPr>
                <w:rFonts w:hint="default" w:ascii="Times New Roman" w:hAnsi="Times New Roman" w:cs="Times New Roman"/>
                <w:sz w:val="24"/>
                <w:lang w:val="en-US" w:eastAsia="zh-CN"/>
              </w:rPr>
              <w:t>屠宰废水包括待宰圈冲洗、宰前淋洗或剥皮、开腔、劈半、解体、内脏洗涤及屠宰车间冲洗用水等</w:t>
            </w:r>
            <w:r>
              <w:rPr>
                <w:rFonts w:hint="eastAsia" w:cs="Times New Roman"/>
                <w:sz w:val="24"/>
                <w:lang w:val="en-US" w:eastAsia="zh-CN"/>
              </w:rPr>
              <w:t>，其中</w:t>
            </w:r>
            <w:r>
              <w:rPr>
                <w:rFonts w:hint="default" w:ascii="Times New Roman" w:hAnsi="Times New Roman" w:cs="Times New Roman"/>
                <w:sz w:val="24"/>
                <w:lang w:val="en-US" w:eastAsia="zh-CN"/>
              </w:rPr>
              <w:t>含有大量的血污、畜毛、碎肉、内脏杂物、未消化的食物以及粪便等污染物，悬浮物浓度较高，水呈红褐色并有明显的腥臭味，是一种典型的中高浓度有机废水。</w:t>
            </w:r>
          </w:p>
          <w:p>
            <w:pPr>
              <w:pStyle w:val="71"/>
              <w:bidi w:val="0"/>
              <w:rPr>
                <w:rFonts w:hint="default" w:ascii="Times New Roman" w:hAnsi="Times New Roman" w:cs="Times New Roman"/>
                <w:sz w:val="24"/>
                <w:highlight w:val="none"/>
              </w:rPr>
            </w:pPr>
            <w:r>
              <w:rPr>
                <w:rFonts w:hint="eastAsia" w:cs="Times New Roman"/>
                <w:sz w:val="24"/>
                <w:lang w:val="en-US" w:eastAsia="zh-CN"/>
              </w:rPr>
              <w:t>本项目生活污水总产生量为120m</w:t>
            </w:r>
            <w:r>
              <w:rPr>
                <w:rFonts w:hint="eastAsia" w:cs="Times New Roman"/>
                <w:sz w:val="24"/>
                <w:vertAlign w:val="superscript"/>
                <w:lang w:val="en-US" w:eastAsia="zh-CN"/>
              </w:rPr>
              <w:t>3</w:t>
            </w:r>
            <w:r>
              <w:rPr>
                <w:rFonts w:hint="eastAsia" w:cs="Times New Roman"/>
                <w:sz w:val="24"/>
                <w:lang w:val="en-US" w:eastAsia="zh-CN"/>
              </w:rPr>
              <w:t>/a，与屠宰废水一同进入厂区污水处理站，处理后拉运至若羌县污水处理厂。屠宰废水总产生量为6426m</w:t>
            </w:r>
            <w:r>
              <w:rPr>
                <w:rFonts w:hint="eastAsia" w:cs="Times New Roman"/>
                <w:sz w:val="24"/>
                <w:vertAlign w:val="superscript"/>
                <w:lang w:val="en-US" w:eastAsia="zh-CN"/>
              </w:rPr>
              <w:t>3</w:t>
            </w:r>
            <w:r>
              <w:rPr>
                <w:rFonts w:hint="eastAsia" w:cs="Times New Roman"/>
                <w:sz w:val="24"/>
                <w:lang w:val="en-US" w:eastAsia="zh-CN"/>
              </w:rPr>
              <w:t>/a，</w:t>
            </w:r>
            <w:r>
              <w:rPr>
                <w:rFonts w:hint="default" w:ascii="Times New Roman" w:hAnsi="Times New Roman" w:cs="Times New Roman"/>
                <w:sz w:val="24"/>
                <w:lang w:val="en-US" w:eastAsia="zh-CN"/>
              </w:rPr>
              <w:t>参照《屠宰与肉类加工废水治理工程技术规范》（HJ 2004-2010）</w:t>
            </w:r>
            <w:r>
              <w:rPr>
                <w:rFonts w:hint="eastAsia" w:ascii="Times New Roman" w:hAnsi="Times New Roman" w:cs="Times New Roman"/>
                <w:sz w:val="24"/>
                <w:lang w:val="en-US" w:eastAsia="zh-CN"/>
              </w:rPr>
              <w:t>，本次评价取中间值</w:t>
            </w:r>
            <w:r>
              <w:rPr>
                <w:rFonts w:hint="default" w:ascii="Times New Roman" w:hAnsi="Times New Roman" w:cs="Times New Roman"/>
                <w:sz w:val="24"/>
                <w:lang w:val="en-US" w:eastAsia="zh-CN"/>
              </w:rPr>
              <w:t>，本项目废水水质详见</w:t>
            </w:r>
            <w:r>
              <w:rPr>
                <w:rFonts w:hint="default" w:ascii="Times New Roman" w:hAnsi="Times New Roman" w:cs="Times New Roman"/>
                <w:sz w:val="24"/>
                <w:highlight w:val="none"/>
                <w:lang w:val="en-US" w:eastAsia="zh-CN"/>
              </w:rPr>
              <w:t>表4-</w:t>
            </w:r>
            <w:r>
              <w:rPr>
                <w:rFonts w:hint="eastAsia" w:cs="Times New Roman"/>
                <w:sz w:val="24"/>
                <w:highlight w:val="none"/>
                <w:lang w:val="en-US" w:eastAsia="zh-CN"/>
              </w:rPr>
              <w:t>4</w:t>
            </w:r>
            <w:r>
              <w:rPr>
                <w:rFonts w:hint="default" w:ascii="Times New Roman" w:hAnsi="Times New Roman" w:cs="Times New Roman"/>
                <w:sz w:val="24"/>
                <w:highlight w:val="none"/>
              </w:rPr>
              <w:t>。</w:t>
            </w:r>
          </w:p>
          <w:p>
            <w:pPr>
              <w:pStyle w:val="72"/>
              <w:bidi w:val="0"/>
              <w:rPr>
                <w:rFonts w:hint="default" w:ascii="Times New Roman" w:hAnsi="Times New Roman" w:cs="Times New Roman"/>
                <w:highlight w:val="green"/>
                <w:lang w:val="en-US"/>
              </w:rPr>
            </w:pPr>
            <w:r>
              <w:rPr>
                <w:rFonts w:hint="default" w:ascii="Times New Roman" w:hAnsi="Times New Roman" w:cs="Times New Roman"/>
                <w:highlight w:val="none"/>
              </w:rPr>
              <w:t>表4-</w:t>
            </w:r>
            <w:r>
              <w:rPr>
                <w:rFonts w:hint="eastAsia" w:cs="Times New Roman"/>
                <w:highlight w:val="none"/>
                <w:lang w:val="en-US" w:eastAsia="zh-CN"/>
              </w:rPr>
              <w:t>4</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废水</w:t>
            </w:r>
            <w:r>
              <w:rPr>
                <w:rFonts w:hint="eastAsia" w:ascii="Times New Roman" w:hAnsi="Times New Roman" w:cs="Times New Roman"/>
                <w:highlight w:val="none"/>
                <w:lang w:val="en-US" w:eastAsia="zh-CN"/>
              </w:rPr>
              <w:t>产生情况</w:t>
            </w:r>
          </w:p>
          <w:tbl>
            <w:tblPr>
              <w:tblStyle w:val="25"/>
              <w:tblW w:w="7563"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7"/>
              <w:gridCol w:w="911"/>
              <w:gridCol w:w="901"/>
              <w:gridCol w:w="923"/>
              <w:gridCol w:w="923"/>
              <w:gridCol w:w="923"/>
              <w:gridCol w:w="774"/>
              <w:gridCol w:w="749"/>
              <w:gridCol w:w="6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0"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废水类别</w:t>
                  </w:r>
                </w:p>
              </w:tc>
              <w:tc>
                <w:tcPr>
                  <w:tcW w:w="602" w:type="pct"/>
                  <w:tcBorders>
                    <w:tl2br w:val="nil"/>
                    <w:tr2bl w:val="nil"/>
                  </w:tcBorders>
                  <w:noWrap w:val="0"/>
                  <w:vAlign w:val="center"/>
                </w:tcPr>
                <w:p>
                  <w:pPr>
                    <w:pStyle w:val="69"/>
                    <w:bidi w:val="0"/>
                    <w:rPr>
                      <w:rFonts w:hint="default"/>
                    </w:rPr>
                  </w:pPr>
                  <w:r>
                    <w:rPr>
                      <w:rFonts w:hint="default"/>
                    </w:rPr>
                    <w:t>污染物指标</w:t>
                  </w:r>
                </w:p>
              </w:tc>
              <w:tc>
                <w:tcPr>
                  <w:tcW w:w="595" w:type="pct"/>
                  <w:tcBorders>
                    <w:tl2br w:val="nil"/>
                    <w:tr2bl w:val="nil"/>
                  </w:tcBorders>
                  <w:noWrap w:val="0"/>
                  <w:vAlign w:val="center"/>
                </w:tcPr>
                <w:p>
                  <w:pPr>
                    <w:pStyle w:val="69"/>
                    <w:bidi w:val="0"/>
                    <w:rPr>
                      <w:rFonts w:hint="default"/>
                    </w:rPr>
                  </w:pPr>
                  <w:r>
                    <w:rPr>
                      <w:rFonts w:hint="eastAsia"/>
                      <w:lang w:val="en-US" w:eastAsia="zh-CN"/>
                    </w:rPr>
                    <w:t>单位</w:t>
                  </w:r>
                </w:p>
              </w:tc>
              <w:tc>
                <w:tcPr>
                  <w:tcW w:w="610" w:type="pct"/>
                  <w:tcBorders>
                    <w:tl2br w:val="nil"/>
                    <w:tr2bl w:val="nil"/>
                  </w:tcBorders>
                  <w:noWrap w:val="0"/>
                  <w:vAlign w:val="center"/>
                </w:tcPr>
                <w:p>
                  <w:pPr>
                    <w:pStyle w:val="69"/>
                    <w:bidi w:val="0"/>
                    <w:rPr>
                      <w:rFonts w:hint="default"/>
                    </w:rPr>
                  </w:pPr>
                  <w:r>
                    <w:rPr>
                      <w:rFonts w:hint="default"/>
                    </w:rPr>
                    <w:t>CODcr</w:t>
                  </w:r>
                </w:p>
              </w:tc>
              <w:tc>
                <w:tcPr>
                  <w:tcW w:w="610" w:type="pct"/>
                  <w:tcBorders>
                    <w:tl2br w:val="nil"/>
                    <w:tr2bl w:val="nil"/>
                  </w:tcBorders>
                  <w:noWrap w:val="0"/>
                  <w:vAlign w:val="center"/>
                </w:tcPr>
                <w:p>
                  <w:pPr>
                    <w:pStyle w:val="69"/>
                    <w:bidi w:val="0"/>
                    <w:rPr>
                      <w:rFonts w:hint="default"/>
                    </w:rPr>
                  </w:pPr>
                  <w:r>
                    <w:rPr>
                      <w:rFonts w:hint="default"/>
                    </w:rPr>
                    <w:t>BOD</w:t>
                  </w:r>
                  <w:r>
                    <w:rPr>
                      <w:rFonts w:hint="default"/>
                      <w:vertAlign w:val="subscript"/>
                    </w:rPr>
                    <w:t>5</w:t>
                  </w:r>
                </w:p>
              </w:tc>
              <w:tc>
                <w:tcPr>
                  <w:tcW w:w="610" w:type="pct"/>
                  <w:tcBorders>
                    <w:tl2br w:val="nil"/>
                    <w:tr2bl w:val="nil"/>
                  </w:tcBorders>
                  <w:noWrap w:val="0"/>
                  <w:vAlign w:val="center"/>
                </w:tcPr>
                <w:p>
                  <w:pPr>
                    <w:pStyle w:val="69"/>
                    <w:bidi w:val="0"/>
                    <w:rPr>
                      <w:rFonts w:hint="default"/>
                    </w:rPr>
                  </w:pPr>
                  <w:r>
                    <w:rPr>
                      <w:rFonts w:hint="default"/>
                    </w:rPr>
                    <w:t>SS</w:t>
                  </w:r>
                </w:p>
              </w:tc>
              <w:tc>
                <w:tcPr>
                  <w:tcW w:w="511" w:type="pct"/>
                  <w:tcBorders>
                    <w:tl2br w:val="nil"/>
                    <w:tr2bl w:val="nil"/>
                  </w:tcBorders>
                  <w:noWrap w:val="0"/>
                  <w:vAlign w:val="center"/>
                </w:tcPr>
                <w:p>
                  <w:pPr>
                    <w:pStyle w:val="69"/>
                    <w:bidi w:val="0"/>
                    <w:rPr>
                      <w:rFonts w:hint="default"/>
                    </w:rPr>
                  </w:pPr>
                  <w:r>
                    <w:rPr>
                      <w:rFonts w:hint="default"/>
                    </w:rPr>
                    <w:t>氨氮</w:t>
                  </w:r>
                </w:p>
              </w:tc>
              <w:tc>
                <w:tcPr>
                  <w:tcW w:w="495" w:type="pct"/>
                  <w:tcBorders>
                    <w:tl2br w:val="nil"/>
                    <w:tr2bl w:val="nil"/>
                  </w:tcBorders>
                  <w:noWrap w:val="0"/>
                  <w:vAlign w:val="center"/>
                </w:tcPr>
                <w:p>
                  <w:pPr>
                    <w:pStyle w:val="69"/>
                    <w:bidi w:val="0"/>
                    <w:rPr>
                      <w:rFonts w:hint="default"/>
                    </w:rPr>
                  </w:pPr>
                  <w:r>
                    <w:rPr>
                      <w:rFonts w:hint="default"/>
                    </w:rPr>
                    <w:t>动植物油</w:t>
                  </w:r>
                </w:p>
              </w:tc>
              <w:tc>
                <w:tcPr>
                  <w:tcW w:w="443" w:type="pct"/>
                  <w:tcBorders>
                    <w:tl2br w:val="nil"/>
                    <w:tr2bl w:val="nil"/>
                  </w:tcBorders>
                  <w:noWrap w:val="0"/>
                  <w:vAlign w:val="center"/>
                </w:tcPr>
                <w:p>
                  <w:pPr>
                    <w:pStyle w:val="69"/>
                    <w:bidi w:val="0"/>
                    <w:rPr>
                      <w:rFonts w:hint="default"/>
                    </w:rPr>
                  </w:pPr>
                  <w:r>
                    <w:rPr>
                      <w:rFonts w:hint="default"/>
                    </w:rPr>
                    <w:t>pH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0" w:type="pct"/>
                  <w:vMerge w:val="restart"/>
                  <w:tcBorders>
                    <w:tl2br w:val="nil"/>
                    <w:tr2bl w:val="nil"/>
                  </w:tcBorders>
                  <w:noWrap w:val="0"/>
                  <w:vAlign w:val="center"/>
                </w:tcPr>
                <w:p>
                  <w:pPr>
                    <w:pStyle w:val="69"/>
                    <w:bidi w:val="0"/>
                    <w:rPr>
                      <w:rFonts w:hint="eastAsia" w:eastAsia="宋体"/>
                      <w:lang w:val="en-US" w:eastAsia="zh-CN"/>
                    </w:rPr>
                  </w:pPr>
                  <w:r>
                    <w:rPr>
                      <w:rFonts w:hint="eastAsia"/>
                      <w:lang w:val="en-US" w:eastAsia="zh-CN"/>
                    </w:rPr>
                    <w:t>屠宰废水（6426m</w:t>
                  </w:r>
                  <w:r>
                    <w:rPr>
                      <w:rFonts w:hint="eastAsia"/>
                      <w:vertAlign w:val="superscript"/>
                      <w:lang w:val="en-US" w:eastAsia="zh-CN"/>
                    </w:rPr>
                    <w:t>3</w:t>
                  </w:r>
                  <w:r>
                    <w:rPr>
                      <w:rFonts w:hint="eastAsia"/>
                      <w:lang w:val="en-US" w:eastAsia="zh-CN"/>
                    </w:rPr>
                    <w:t>/a）</w:t>
                  </w:r>
                </w:p>
              </w:tc>
              <w:tc>
                <w:tcPr>
                  <w:tcW w:w="602" w:type="pct"/>
                  <w:tcBorders>
                    <w:tl2br w:val="nil"/>
                    <w:tr2bl w:val="nil"/>
                  </w:tcBorders>
                  <w:noWrap w:val="0"/>
                  <w:vAlign w:val="center"/>
                </w:tcPr>
                <w:p>
                  <w:pPr>
                    <w:pStyle w:val="69"/>
                    <w:bidi w:val="0"/>
                    <w:rPr>
                      <w:rFonts w:hint="default"/>
                    </w:rPr>
                  </w:pPr>
                  <w:r>
                    <w:rPr>
                      <w:rFonts w:hint="default"/>
                    </w:rPr>
                    <w:t>HJ 2004-2010</w:t>
                  </w:r>
                </w:p>
              </w:tc>
              <w:tc>
                <w:tcPr>
                  <w:tcW w:w="595" w:type="pct"/>
                  <w:tcBorders>
                    <w:tl2br w:val="nil"/>
                    <w:tr2bl w:val="nil"/>
                  </w:tcBorders>
                  <w:noWrap w:val="0"/>
                  <w:vAlign w:val="center"/>
                </w:tcPr>
                <w:p>
                  <w:pPr>
                    <w:pStyle w:val="69"/>
                    <w:bidi w:val="0"/>
                    <w:rPr>
                      <w:rFonts w:hint="default"/>
                    </w:rPr>
                  </w:pPr>
                  <w:r>
                    <w:rPr>
                      <w:rFonts w:hint="default"/>
                    </w:rPr>
                    <w:t>mg/L（pH值除外）</w:t>
                  </w:r>
                </w:p>
              </w:tc>
              <w:tc>
                <w:tcPr>
                  <w:tcW w:w="610" w:type="pct"/>
                  <w:tcBorders>
                    <w:tl2br w:val="nil"/>
                    <w:tr2bl w:val="nil"/>
                  </w:tcBorders>
                  <w:noWrap w:val="0"/>
                  <w:vAlign w:val="center"/>
                </w:tcPr>
                <w:p>
                  <w:pPr>
                    <w:pStyle w:val="69"/>
                    <w:bidi w:val="0"/>
                    <w:rPr>
                      <w:rFonts w:hint="default"/>
                    </w:rPr>
                  </w:pPr>
                  <w:r>
                    <w:rPr>
                      <w:rFonts w:hint="default"/>
                    </w:rPr>
                    <w:t>1500~2000</w:t>
                  </w:r>
                </w:p>
              </w:tc>
              <w:tc>
                <w:tcPr>
                  <w:tcW w:w="610" w:type="pct"/>
                  <w:tcBorders>
                    <w:tl2br w:val="nil"/>
                    <w:tr2bl w:val="nil"/>
                  </w:tcBorders>
                  <w:noWrap w:val="0"/>
                  <w:vAlign w:val="center"/>
                </w:tcPr>
                <w:p>
                  <w:pPr>
                    <w:pStyle w:val="69"/>
                    <w:bidi w:val="0"/>
                    <w:rPr>
                      <w:rFonts w:hint="default"/>
                    </w:rPr>
                  </w:pPr>
                  <w:r>
                    <w:rPr>
                      <w:rFonts w:hint="default"/>
                    </w:rPr>
                    <w:t>750~1000</w:t>
                  </w:r>
                </w:p>
              </w:tc>
              <w:tc>
                <w:tcPr>
                  <w:tcW w:w="610" w:type="pct"/>
                  <w:tcBorders>
                    <w:tl2br w:val="nil"/>
                    <w:tr2bl w:val="nil"/>
                  </w:tcBorders>
                  <w:noWrap w:val="0"/>
                  <w:vAlign w:val="center"/>
                </w:tcPr>
                <w:p>
                  <w:pPr>
                    <w:pStyle w:val="69"/>
                    <w:bidi w:val="0"/>
                    <w:rPr>
                      <w:rFonts w:hint="default"/>
                    </w:rPr>
                  </w:pPr>
                  <w:r>
                    <w:rPr>
                      <w:rFonts w:hint="default"/>
                    </w:rPr>
                    <w:t>750~1000</w:t>
                  </w:r>
                </w:p>
              </w:tc>
              <w:tc>
                <w:tcPr>
                  <w:tcW w:w="511" w:type="pct"/>
                  <w:tcBorders>
                    <w:tl2br w:val="nil"/>
                    <w:tr2bl w:val="nil"/>
                  </w:tcBorders>
                  <w:noWrap w:val="0"/>
                  <w:vAlign w:val="center"/>
                </w:tcPr>
                <w:p>
                  <w:pPr>
                    <w:pStyle w:val="69"/>
                    <w:bidi w:val="0"/>
                    <w:rPr>
                      <w:rFonts w:hint="default"/>
                    </w:rPr>
                  </w:pPr>
                  <w:r>
                    <w:rPr>
                      <w:rFonts w:hint="default"/>
                    </w:rPr>
                    <w:t>50~150</w:t>
                  </w:r>
                </w:p>
              </w:tc>
              <w:tc>
                <w:tcPr>
                  <w:tcW w:w="495" w:type="pct"/>
                  <w:tcBorders>
                    <w:tl2br w:val="nil"/>
                    <w:tr2bl w:val="nil"/>
                  </w:tcBorders>
                  <w:noWrap w:val="0"/>
                  <w:vAlign w:val="center"/>
                </w:tcPr>
                <w:p>
                  <w:pPr>
                    <w:pStyle w:val="69"/>
                    <w:bidi w:val="0"/>
                    <w:rPr>
                      <w:rFonts w:hint="default"/>
                    </w:rPr>
                  </w:pPr>
                  <w:r>
                    <w:rPr>
                      <w:rFonts w:hint="default"/>
                    </w:rPr>
                    <w:t>50~200</w:t>
                  </w:r>
                </w:p>
              </w:tc>
              <w:tc>
                <w:tcPr>
                  <w:tcW w:w="443" w:type="pct"/>
                  <w:tcBorders>
                    <w:tl2br w:val="nil"/>
                    <w:tr2bl w:val="nil"/>
                  </w:tcBorders>
                  <w:noWrap w:val="0"/>
                  <w:vAlign w:val="center"/>
                </w:tcPr>
                <w:p>
                  <w:pPr>
                    <w:pStyle w:val="69"/>
                    <w:bidi w:val="0"/>
                    <w:rPr>
                      <w:rFonts w:hint="default"/>
                    </w:rPr>
                  </w:pPr>
                  <w:r>
                    <w:rPr>
                      <w:rFonts w:hint="default"/>
                    </w:rPr>
                    <w:t>6.5~7.5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0" w:type="pct"/>
                  <w:vMerge w:val="continue"/>
                  <w:tcBorders>
                    <w:tl2br w:val="nil"/>
                    <w:tr2bl w:val="nil"/>
                  </w:tcBorders>
                  <w:noWrap w:val="0"/>
                  <w:vAlign w:val="center"/>
                </w:tcPr>
                <w:p>
                  <w:pPr>
                    <w:pStyle w:val="69"/>
                    <w:bidi w:val="0"/>
                    <w:rPr>
                      <w:rFonts w:hint="eastAsia"/>
                      <w:lang w:eastAsia="zh-CN"/>
                    </w:rPr>
                  </w:pPr>
                </w:p>
              </w:tc>
              <w:tc>
                <w:tcPr>
                  <w:tcW w:w="602" w:type="pct"/>
                  <w:tcBorders>
                    <w:tl2br w:val="nil"/>
                    <w:tr2bl w:val="nil"/>
                  </w:tcBorders>
                  <w:noWrap w:val="0"/>
                  <w:vAlign w:val="center"/>
                </w:tcPr>
                <w:p>
                  <w:pPr>
                    <w:pStyle w:val="69"/>
                    <w:bidi w:val="0"/>
                    <w:rPr>
                      <w:rFonts w:hint="default"/>
                    </w:rPr>
                  </w:pPr>
                  <w:r>
                    <w:rPr>
                      <w:rFonts w:hint="default"/>
                    </w:rPr>
                    <w:t>本项目屠宰废水浓度取值</w:t>
                  </w:r>
                </w:p>
              </w:tc>
              <w:tc>
                <w:tcPr>
                  <w:tcW w:w="595" w:type="pct"/>
                  <w:tcBorders>
                    <w:tl2br w:val="nil"/>
                    <w:tr2bl w:val="nil"/>
                  </w:tcBorders>
                  <w:noWrap w:val="0"/>
                  <w:vAlign w:val="center"/>
                </w:tcPr>
                <w:p>
                  <w:pPr>
                    <w:pStyle w:val="69"/>
                    <w:bidi w:val="0"/>
                    <w:rPr>
                      <w:rFonts w:hint="default"/>
                      <w:lang w:val="en-US" w:eastAsia="zh-CN"/>
                    </w:rPr>
                  </w:pPr>
                  <w:r>
                    <w:rPr>
                      <w:rFonts w:hint="default"/>
                      <w:lang w:val="en-US" w:eastAsia="zh-CN"/>
                    </w:rPr>
                    <w:t>mg/L（pH值除外）</w:t>
                  </w:r>
                </w:p>
              </w:tc>
              <w:tc>
                <w:tcPr>
                  <w:tcW w:w="610"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1750</w:t>
                  </w:r>
                </w:p>
              </w:tc>
              <w:tc>
                <w:tcPr>
                  <w:tcW w:w="610" w:type="pct"/>
                  <w:tcBorders>
                    <w:tl2br w:val="nil"/>
                    <w:tr2bl w:val="nil"/>
                  </w:tcBorders>
                  <w:noWrap w:val="0"/>
                  <w:vAlign w:val="center"/>
                </w:tcPr>
                <w:p>
                  <w:pPr>
                    <w:pStyle w:val="69"/>
                    <w:bidi w:val="0"/>
                    <w:rPr>
                      <w:rFonts w:hint="default" w:eastAsia="宋体"/>
                      <w:lang w:val="en-US" w:eastAsia="zh-CN"/>
                    </w:rPr>
                  </w:pPr>
                  <w:r>
                    <w:rPr>
                      <w:rFonts w:hint="default"/>
                    </w:rPr>
                    <w:t>8</w:t>
                  </w:r>
                  <w:r>
                    <w:rPr>
                      <w:rFonts w:hint="eastAsia"/>
                      <w:lang w:val="en-US" w:eastAsia="zh-CN"/>
                    </w:rPr>
                    <w:t>75</w:t>
                  </w:r>
                </w:p>
              </w:tc>
              <w:tc>
                <w:tcPr>
                  <w:tcW w:w="610"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875</w:t>
                  </w:r>
                </w:p>
              </w:tc>
              <w:tc>
                <w:tcPr>
                  <w:tcW w:w="511" w:type="pct"/>
                  <w:tcBorders>
                    <w:tl2br w:val="nil"/>
                    <w:tr2bl w:val="nil"/>
                  </w:tcBorders>
                  <w:noWrap w:val="0"/>
                  <w:vAlign w:val="center"/>
                </w:tcPr>
                <w:p>
                  <w:pPr>
                    <w:pStyle w:val="69"/>
                    <w:bidi w:val="0"/>
                    <w:rPr>
                      <w:rFonts w:hint="default"/>
                    </w:rPr>
                  </w:pPr>
                  <w:r>
                    <w:rPr>
                      <w:rFonts w:hint="default"/>
                    </w:rPr>
                    <w:t>100</w:t>
                  </w:r>
                </w:p>
              </w:tc>
              <w:tc>
                <w:tcPr>
                  <w:tcW w:w="495" w:type="pct"/>
                  <w:tcBorders>
                    <w:tl2br w:val="nil"/>
                    <w:tr2bl w:val="nil"/>
                  </w:tcBorders>
                  <w:noWrap w:val="0"/>
                  <w:vAlign w:val="center"/>
                </w:tcPr>
                <w:p>
                  <w:pPr>
                    <w:pStyle w:val="69"/>
                    <w:bidi w:val="0"/>
                    <w:rPr>
                      <w:rFonts w:hint="default"/>
                    </w:rPr>
                  </w:pPr>
                  <w:r>
                    <w:rPr>
                      <w:rFonts w:hint="default"/>
                    </w:rPr>
                    <w:t>125</w:t>
                  </w:r>
                </w:p>
              </w:tc>
              <w:tc>
                <w:tcPr>
                  <w:tcW w:w="443" w:type="pct"/>
                  <w:tcBorders>
                    <w:tl2br w:val="nil"/>
                    <w:tr2bl w:val="nil"/>
                  </w:tcBorders>
                  <w:noWrap w:val="0"/>
                  <w:vAlign w:val="center"/>
                </w:tcPr>
                <w:p>
                  <w:pPr>
                    <w:pStyle w:val="69"/>
                    <w:bidi w:val="0"/>
                    <w:rPr>
                      <w:rFonts w:hint="default"/>
                    </w:rPr>
                  </w:pPr>
                  <w:r>
                    <w:rPr>
                      <w:rFonts w:hint="default"/>
                    </w:rPr>
                    <w:t>6.5~7.5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43" w:hRule="atLeast"/>
              </w:trPr>
              <w:tc>
                <w:tcPr>
                  <w:tcW w:w="520" w:type="pct"/>
                  <w:vMerge w:val="continue"/>
                  <w:tcBorders>
                    <w:tl2br w:val="nil"/>
                    <w:tr2bl w:val="nil"/>
                  </w:tcBorders>
                  <w:noWrap w:val="0"/>
                  <w:vAlign w:val="center"/>
                </w:tcPr>
                <w:p>
                  <w:pPr>
                    <w:pStyle w:val="69"/>
                    <w:bidi w:val="0"/>
                    <w:rPr>
                      <w:rFonts w:hint="eastAsia"/>
                      <w:lang w:eastAsia="zh-CN"/>
                    </w:rPr>
                  </w:pPr>
                </w:p>
              </w:tc>
              <w:tc>
                <w:tcPr>
                  <w:tcW w:w="602" w:type="pct"/>
                  <w:tcBorders>
                    <w:tl2br w:val="nil"/>
                    <w:tr2bl w:val="nil"/>
                  </w:tcBorders>
                  <w:noWrap w:val="0"/>
                  <w:vAlign w:val="center"/>
                </w:tcPr>
                <w:p>
                  <w:pPr>
                    <w:pStyle w:val="69"/>
                    <w:bidi w:val="0"/>
                    <w:rPr>
                      <w:rFonts w:hint="default"/>
                    </w:rPr>
                  </w:pPr>
                  <w:r>
                    <w:rPr>
                      <w:rFonts w:hint="default"/>
                    </w:rPr>
                    <w:t>污染物产生量</w:t>
                  </w:r>
                </w:p>
              </w:tc>
              <w:tc>
                <w:tcPr>
                  <w:tcW w:w="595" w:type="pct"/>
                  <w:tcBorders>
                    <w:tl2br w:val="nil"/>
                    <w:tr2bl w:val="nil"/>
                  </w:tcBorders>
                  <w:noWrap w:val="0"/>
                  <w:vAlign w:val="center"/>
                </w:tcPr>
                <w:p>
                  <w:pPr>
                    <w:pStyle w:val="69"/>
                    <w:bidi w:val="0"/>
                    <w:rPr>
                      <w:rFonts w:hint="default"/>
                      <w:lang w:val="en-US" w:eastAsia="zh-CN"/>
                    </w:rPr>
                  </w:pPr>
                  <w:r>
                    <w:rPr>
                      <w:rFonts w:hint="default"/>
                      <w:lang w:val="en-US" w:eastAsia="zh-CN"/>
                    </w:rPr>
                    <w:t>t/a（pH值除外）</w:t>
                  </w:r>
                </w:p>
              </w:tc>
              <w:tc>
                <w:tcPr>
                  <w:tcW w:w="610" w:type="pct"/>
                  <w:tcBorders>
                    <w:tl2br w:val="nil"/>
                    <w:tr2bl w:val="nil"/>
                  </w:tcBorders>
                  <w:noWrap w:val="0"/>
                  <w:vAlign w:val="center"/>
                </w:tcPr>
                <w:p>
                  <w:pPr>
                    <w:pStyle w:val="69"/>
                    <w:bidi w:val="0"/>
                    <w:rPr>
                      <w:rFonts w:hint="default"/>
                      <w:lang w:val="en-US" w:eastAsia="zh-CN"/>
                    </w:rPr>
                  </w:pPr>
                  <w:r>
                    <w:rPr>
                      <w:rFonts w:hint="eastAsia"/>
                      <w:lang w:val="en-US" w:eastAsia="zh-CN"/>
                    </w:rPr>
                    <w:t>11.24</w:t>
                  </w:r>
                </w:p>
              </w:tc>
              <w:tc>
                <w:tcPr>
                  <w:tcW w:w="610" w:type="pct"/>
                  <w:tcBorders>
                    <w:tl2br w:val="nil"/>
                    <w:tr2bl w:val="nil"/>
                  </w:tcBorders>
                  <w:noWrap w:val="0"/>
                  <w:vAlign w:val="center"/>
                </w:tcPr>
                <w:p>
                  <w:pPr>
                    <w:pStyle w:val="69"/>
                    <w:bidi w:val="0"/>
                    <w:rPr>
                      <w:rFonts w:hint="default"/>
                      <w:lang w:val="en-US" w:eastAsia="zh-CN"/>
                    </w:rPr>
                  </w:pPr>
                  <w:r>
                    <w:rPr>
                      <w:rFonts w:hint="eastAsia"/>
                      <w:highlight w:val="none"/>
                      <w:lang w:val="en-US" w:eastAsia="zh-CN"/>
                    </w:rPr>
                    <w:t>5.6</w:t>
                  </w:r>
                </w:p>
              </w:tc>
              <w:tc>
                <w:tcPr>
                  <w:tcW w:w="610" w:type="pct"/>
                  <w:tcBorders>
                    <w:tl2br w:val="nil"/>
                    <w:tr2bl w:val="nil"/>
                  </w:tcBorders>
                  <w:noWrap w:val="0"/>
                  <w:vAlign w:val="center"/>
                </w:tcPr>
                <w:p>
                  <w:pPr>
                    <w:pStyle w:val="69"/>
                    <w:bidi w:val="0"/>
                    <w:rPr>
                      <w:rFonts w:hint="default"/>
                      <w:lang w:val="en-US" w:eastAsia="zh-CN"/>
                    </w:rPr>
                  </w:pPr>
                  <w:r>
                    <w:rPr>
                      <w:rFonts w:hint="eastAsia"/>
                      <w:lang w:val="en-US" w:eastAsia="zh-CN"/>
                    </w:rPr>
                    <w:t>5.6</w:t>
                  </w:r>
                </w:p>
              </w:tc>
              <w:tc>
                <w:tcPr>
                  <w:tcW w:w="511" w:type="pct"/>
                  <w:tcBorders>
                    <w:tl2br w:val="nil"/>
                    <w:tr2bl w:val="nil"/>
                  </w:tcBorders>
                  <w:noWrap w:val="0"/>
                  <w:vAlign w:val="center"/>
                </w:tcPr>
                <w:p>
                  <w:pPr>
                    <w:pStyle w:val="69"/>
                    <w:bidi w:val="0"/>
                    <w:rPr>
                      <w:rFonts w:hint="default"/>
                      <w:lang w:val="en-US" w:eastAsia="zh-CN"/>
                    </w:rPr>
                  </w:pPr>
                  <w:r>
                    <w:rPr>
                      <w:rFonts w:hint="eastAsia"/>
                      <w:lang w:val="en-US" w:eastAsia="zh-CN"/>
                    </w:rPr>
                    <w:t>0.64</w:t>
                  </w:r>
                </w:p>
              </w:tc>
              <w:tc>
                <w:tcPr>
                  <w:tcW w:w="495" w:type="pct"/>
                  <w:tcBorders>
                    <w:tl2br w:val="nil"/>
                    <w:tr2bl w:val="nil"/>
                  </w:tcBorders>
                  <w:noWrap w:val="0"/>
                  <w:vAlign w:val="center"/>
                </w:tcPr>
                <w:p>
                  <w:pPr>
                    <w:pStyle w:val="69"/>
                    <w:bidi w:val="0"/>
                    <w:rPr>
                      <w:rFonts w:hint="default"/>
                      <w:lang w:val="en-US" w:eastAsia="zh-CN"/>
                    </w:rPr>
                  </w:pPr>
                  <w:r>
                    <w:rPr>
                      <w:rFonts w:hint="eastAsia"/>
                      <w:lang w:val="en-US" w:eastAsia="zh-CN"/>
                    </w:rPr>
                    <w:t>0.8</w:t>
                  </w:r>
                </w:p>
              </w:tc>
              <w:tc>
                <w:tcPr>
                  <w:tcW w:w="443" w:type="pct"/>
                  <w:tcBorders>
                    <w:tl2br w:val="nil"/>
                    <w:tr2bl w:val="nil"/>
                  </w:tcBorders>
                  <w:noWrap w:val="0"/>
                  <w:vAlign w:val="center"/>
                </w:tcPr>
                <w:p>
                  <w:pPr>
                    <w:pStyle w:val="69"/>
                    <w:bidi w:val="0"/>
                    <w:rPr>
                      <w:rFonts w:hint="eastAsia" w:eastAsia="宋体"/>
                      <w:lang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1" w:hRule="atLeast"/>
              </w:trPr>
              <w:tc>
                <w:tcPr>
                  <w:tcW w:w="520" w:type="pct"/>
                  <w:vMerge w:val="restart"/>
                  <w:tcBorders>
                    <w:tl2br w:val="nil"/>
                    <w:tr2bl w:val="nil"/>
                  </w:tcBorders>
                  <w:noWrap w:val="0"/>
                  <w:vAlign w:val="center"/>
                </w:tcPr>
                <w:p>
                  <w:pPr>
                    <w:pStyle w:val="69"/>
                    <w:bidi w:val="0"/>
                    <w:rPr>
                      <w:rFonts w:hint="default"/>
                      <w:lang w:val="en-US" w:eastAsia="zh-CN"/>
                    </w:rPr>
                  </w:pPr>
                  <w:r>
                    <w:rPr>
                      <w:rFonts w:hint="eastAsia"/>
                      <w:lang w:val="en-US" w:eastAsia="zh-CN"/>
                    </w:rPr>
                    <w:t>生活污水（120m</w:t>
                  </w:r>
                  <w:r>
                    <w:rPr>
                      <w:rFonts w:hint="eastAsia"/>
                      <w:vertAlign w:val="superscript"/>
                      <w:lang w:val="en-US" w:eastAsia="zh-CN"/>
                    </w:rPr>
                    <w:t>3</w:t>
                  </w:r>
                  <w:r>
                    <w:rPr>
                      <w:rFonts w:hint="eastAsia"/>
                      <w:lang w:val="en-US" w:eastAsia="zh-CN"/>
                    </w:rPr>
                    <w:t>/a）</w:t>
                  </w:r>
                </w:p>
              </w:tc>
              <w:tc>
                <w:tcPr>
                  <w:tcW w:w="602" w:type="pct"/>
                  <w:tcBorders>
                    <w:tl2br w:val="nil"/>
                    <w:tr2bl w:val="nil"/>
                  </w:tcBorders>
                  <w:noWrap w:val="0"/>
                  <w:vAlign w:val="center"/>
                </w:tcPr>
                <w:p>
                  <w:pPr>
                    <w:pStyle w:val="69"/>
                    <w:bidi w:val="0"/>
                    <w:rPr>
                      <w:rFonts w:hint="eastAsia" w:eastAsia="宋体"/>
                      <w:lang w:eastAsia="zh-CN"/>
                    </w:rPr>
                  </w:pPr>
                  <w:r>
                    <w:rPr>
                      <w:rFonts w:hint="eastAsia"/>
                      <w:lang w:val="en-US" w:eastAsia="zh-CN"/>
                    </w:rPr>
                    <w:t>产生浓度</w:t>
                  </w:r>
                </w:p>
              </w:tc>
              <w:tc>
                <w:tcPr>
                  <w:tcW w:w="595" w:type="pct"/>
                  <w:tcBorders>
                    <w:tl2br w:val="nil"/>
                    <w:tr2bl w:val="nil"/>
                  </w:tcBorders>
                  <w:noWrap w:val="0"/>
                  <w:vAlign w:val="center"/>
                </w:tcPr>
                <w:p>
                  <w:pPr>
                    <w:pStyle w:val="69"/>
                    <w:bidi w:val="0"/>
                    <w:rPr>
                      <w:rFonts w:hint="default"/>
                    </w:rPr>
                  </w:pPr>
                  <w:r>
                    <w:rPr>
                      <w:rFonts w:hint="default"/>
                    </w:rPr>
                    <w:t>mg/L（pH值除外）</w:t>
                  </w:r>
                </w:p>
              </w:tc>
              <w:tc>
                <w:tcPr>
                  <w:tcW w:w="610"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350</w:t>
                  </w:r>
                </w:p>
              </w:tc>
              <w:tc>
                <w:tcPr>
                  <w:tcW w:w="610"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250</w:t>
                  </w:r>
                </w:p>
              </w:tc>
              <w:tc>
                <w:tcPr>
                  <w:tcW w:w="610"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200</w:t>
                  </w:r>
                </w:p>
              </w:tc>
              <w:tc>
                <w:tcPr>
                  <w:tcW w:w="511"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30</w:t>
                  </w:r>
                </w:p>
              </w:tc>
              <w:tc>
                <w:tcPr>
                  <w:tcW w:w="495"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100</w:t>
                  </w:r>
                </w:p>
              </w:tc>
              <w:tc>
                <w:tcPr>
                  <w:tcW w:w="443" w:type="pct"/>
                  <w:tcBorders>
                    <w:tl2br w:val="nil"/>
                    <w:tr2bl w:val="nil"/>
                  </w:tcBorders>
                  <w:noWrap w:val="0"/>
                  <w:vAlign w:val="center"/>
                </w:tcPr>
                <w:p>
                  <w:pPr>
                    <w:pStyle w:val="69"/>
                    <w:bidi w:val="0"/>
                    <w:rPr>
                      <w:rFonts w:hint="default"/>
                    </w:rPr>
                  </w:pPr>
                  <w:r>
                    <w:rPr>
                      <w:rFonts w:hint="default"/>
                    </w:rPr>
                    <w:t>6.5~7.5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0" w:type="pct"/>
                  <w:vMerge w:val="continue"/>
                  <w:tcBorders>
                    <w:tl2br w:val="nil"/>
                    <w:tr2bl w:val="nil"/>
                  </w:tcBorders>
                  <w:noWrap w:val="0"/>
                  <w:vAlign w:val="center"/>
                </w:tcPr>
                <w:p>
                  <w:pPr>
                    <w:pStyle w:val="69"/>
                    <w:bidi w:val="0"/>
                    <w:rPr>
                      <w:rFonts w:hint="eastAsia"/>
                      <w:lang w:eastAsia="zh-CN"/>
                    </w:rPr>
                  </w:pPr>
                </w:p>
              </w:tc>
              <w:tc>
                <w:tcPr>
                  <w:tcW w:w="602" w:type="pct"/>
                  <w:tcBorders>
                    <w:tl2br w:val="nil"/>
                    <w:tr2bl w:val="nil"/>
                  </w:tcBorders>
                  <w:noWrap w:val="0"/>
                  <w:vAlign w:val="center"/>
                </w:tcPr>
                <w:p>
                  <w:pPr>
                    <w:pStyle w:val="69"/>
                    <w:bidi w:val="0"/>
                    <w:rPr>
                      <w:rFonts w:hint="default"/>
                    </w:rPr>
                  </w:pPr>
                  <w:r>
                    <w:rPr>
                      <w:rFonts w:hint="default"/>
                    </w:rPr>
                    <w:t>污染物产生量</w:t>
                  </w:r>
                </w:p>
              </w:tc>
              <w:tc>
                <w:tcPr>
                  <w:tcW w:w="595" w:type="pct"/>
                  <w:tcBorders>
                    <w:tl2br w:val="nil"/>
                    <w:tr2bl w:val="nil"/>
                  </w:tcBorders>
                  <w:noWrap w:val="0"/>
                  <w:vAlign w:val="center"/>
                </w:tcPr>
                <w:p>
                  <w:pPr>
                    <w:pStyle w:val="69"/>
                    <w:bidi w:val="0"/>
                    <w:rPr>
                      <w:rFonts w:hint="default"/>
                      <w:lang w:val="en-US" w:eastAsia="zh-CN"/>
                    </w:rPr>
                  </w:pPr>
                  <w:r>
                    <w:rPr>
                      <w:rFonts w:hint="default"/>
                    </w:rPr>
                    <w:t>t/a（pH值除外）</w:t>
                  </w:r>
                </w:p>
              </w:tc>
              <w:tc>
                <w:tcPr>
                  <w:tcW w:w="610" w:type="pct"/>
                  <w:tcBorders>
                    <w:tl2br w:val="nil"/>
                    <w:tr2bl w:val="nil"/>
                  </w:tcBorders>
                  <w:noWrap w:val="0"/>
                  <w:vAlign w:val="center"/>
                </w:tcPr>
                <w:p>
                  <w:pPr>
                    <w:pStyle w:val="69"/>
                    <w:bidi w:val="0"/>
                    <w:rPr>
                      <w:rFonts w:hint="default"/>
                      <w:lang w:val="en-US" w:eastAsia="zh-CN"/>
                    </w:rPr>
                  </w:pPr>
                  <w:r>
                    <w:rPr>
                      <w:rFonts w:hint="eastAsia"/>
                      <w:lang w:val="en-US" w:eastAsia="zh-CN"/>
                    </w:rPr>
                    <w:t>0.042</w:t>
                  </w:r>
                </w:p>
              </w:tc>
              <w:tc>
                <w:tcPr>
                  <w:tcW w:w="610" w:type="pct"/>
                  <w:tcBorders>
                    <w:tl2br w:val="nil"/>
                    <w:tr2bl w:val="nil"/>
                  </w:tcBorders>
                  <w:noWrap w:val="0"/>
                  <w:vAlign w:val="center"/>
                </w:tcPr>
                <w:p>
                  <w:pPr>
                    <w:pStyle w:val="69"/>
                    <w:bidi w:val="0"/>
                    <w:rPr>
                      <w:rFonts w:hint="default"/>
                      <w:lang w:val="en-US" w:eastAsia="zh-CN"/>
                    </w:rPr>
                  </w:pPr>
                  <w:r>
                    <w:rPr>
                      <w:rFonts w:hint="eastAsia"/>
                      <w:highlight w:val="none"/>
                      <w:lang w:val="en-US" w:eastAsia="zh-CN"/>
                    </w:rPr>
                    <w:t>0.03</w:t>
                  </w:r>
                </w:p>
              </w:tc>
              <w:tc>
                <w:tcPr>
                  <w:tcW w:w="610" w:type="pct"/>
                  <w:tcBorders>
                    <w:tl2br w:val="nil"/>
                    <w:tr2bl w:val="nil"/>
                  </w:tcBorders>
                  <w:noWrap w:val="0"/>
                  <w:vAlign w:val="center"/>
                </w:tcPr>
                <w:p>
                  <w:pPr>
                    <w:pStyle w:val="69"/>
                    <w:bidi w:val="0"/>
                    <w:rPr>
                      <w:rFonts w:hint="default"/>
                      <w:lang w:val="en-US" w:eastAsia="zh-CN"/>
                    </w:rPr>
                  </w:pPr>
                  <w:r>
                    <w:rPr>
                      <w:rFonts w:hint="eastAsia"/>
                      <w:lang w:val="en-US" w:eastAsia="zh-CN"/>
                    </w:rPr>
                    <w:t>0.024</w:t>
                  </w:r>
                </w:p>
              </w:tc>
              <w:tc>
                <w:tcPr>
                  <w:tcW w:w="511" w:type="pct"/>
                  <w:tcBorders>
                    <w:tl2br w:val="nil"/>
                    <w:tr2bl w:val="nil"/>
                  </w:tcBorders>
                  <w:noWrap w:val="0"/>
                  <w:vAlign w:val="center"/>
                </w:tcPr>
                <w:p>
                  <w:pPr>
                    <w:pStyle w:val="69"/>
                    <w:bidi w:val="0"/>
                    <w:rPr>
                      <w:rFonts w:hint="default"/>
                      <w:lang w:val="en-US" w:eastAsia="zh-CN"/>
                    </w:rPr>
                  </w:pPr>
                  <w:r>
                    <w:rPr>
                      <w:rFonts w:hint="eastAsia"/>
                      <w:lang w:val="en-US" w:eastAsia="zh-CN"/>
                    </w:rPr>
                    <w:t>0.0036</w:t>
                  </w:r>
                </w:p>
              </w:tc>
              <w:tc>
                <w:tcPr>
                  <w:tcW w:w="495" w:type="pct"/>
                  <w:tcBorders>
                    <w:tl2br w:val="nil"/>
                    <w:tr2bl w:val="nil"/>
                  </w:tcBorders>
                  <w:noWrap w:val="0"/>
                  <w:vAlign w:val="center"/>
                </w:tcPr>
                <w:p>
                  <w:pPr>
                    <w:pStyle w:val="69"/>
                    <w:bidi w:val="0"/>
                    <w:rPr>
                      <w:rFonts w:hint="default"/>
                      <w:lang w:val="en-US" w:eastAsia="zh-CN"/>
                    </w:rPr>
                  </w:pPr>
                  <w:r>
                    <w:rPr>
                      <w:rFonts w:hint="eastAsia"/>
                      <w:lang w:val="en-US" w:eastAsia="zh-CN"/>
                    </w:rPr>
                    <w:t>0.012</w:t>
                  </w:r>
                </w:p>
              </w:tc>
              <w:tc>
                <w:tcPr>
                  <w:tcW w:w="443" w:type="pct"/>
                  <w:tcBorders>
                    <w:tl2br w:val="nil"/>
                    <w:tr2bl w:val="nil"/>
                  </w:tcBorders>
                  <w:noWrap w:val="0"/>
                  <w:vAlign w:val="center"/>
                </w:tcPr>
                <w:p>
                  <w:pPr>
                    <w:pStyle w:val="69"/>
                    <w:bidi w:val="0"/>
                    <w:rPr>
                      <w:rFonts w:hint="eastAsia" w:eastAsia="宋体"/>
                      <w:lang w:eastAsia="zh-CN"/>
                    </w:rPr>
                  </w:pPr>
                  <w:r>
                    <w:rPr>
                      <w:rFonts w:hint="eastAsia"/>
                      <w:lang w:val="en-US" w:eastAsia="zh-CN"/>
                    </w:rPr>
                    <w:t>/</w:t>
                  </w:r>
                </w:p>
              </w:tc>
            </w:tr>
          </w:tbl>
          <w:p>
            <w:pPr>
              <w:pStyle w:val="2"/>
              <w:bidi w:val="0"/>
              <w:rPr>
                <w:rFonts w:hint="default"/>
                <w:lang w:val="en-US" w:eastAsia="zh-CN"/>
              </w:rPr>
            </w:pPr>
            <w:r>
              <w:rPr>
                <w:rFonts w:hint="eastAsia"/>
                <w:lang w:val="en-US" w:eastAsia="zh-CN"/>
              </w:rPr>
              <w:t>2.2</w:t>
            </w:r>
            <w:r>
              <w:rPr>
                <w:rFonts w:hint="default"/>
                <w:lang w:val="en-US" w:eastAsia="zh-CN"/>
              </w:rPr>
              <w:t>废水</w:t>
            </w:r>
            <w:r>
              <w:rPr>
                <w:rFonts w:hint="eastAsia"/>
                <w:lang w:val="en-US" w:eastAsia="zh-CN"/>
              </w:rPr>
              <w:t>处理工艺及达标分析</w:t>
            </w:r>
          </w:p>
          <w:p>
            <w:pPr>
              <w:pStyle w:val="71"/>
              <w:bidi w:val="0"/>
              <w:rPr>
                <w:rFonts w:hint="default"/>
                <w:lang w:val="en-US" w:eastAsia="zh-CN"/>
              </w:rPr>
            </w:pPr>
            <w:r>
              <w:rPr>
                <w:rFonts w:hint="eastAsia"/>
                <w:lang w:val="en-US" w:eastAsia="zh-CN"/>
              </w:rPr>
              <w:t>（1）处理工艺</w:t>
            </w:r>
          </w:p>
          <w:p>
            <w:pPr>
              <w:pStyle w:val="71"/>
              <w:bidi w:val="0"/>
              <w:rPr>
                <w:rFonts w:hint="eastAsia"/>
                <w:lang w:val="en-US" w:eastAsia="zh-CN"/>
              </w:rPr>
            </w:pPr>
            <w:r>
              <w:rPr>
                <w:rFonts w:hint="default"/>
                <w:lang w:val="en-US" w:eastAsia="zh-CN"/>
              </w:rPr>
              <w:t>本项目生产废水经厂区污水管网排入自建污水处理站进行处理，污水处理站工艺为：“</w:t>
            </w:r>
            <w:r>
              <w:rPr>
                <w:rFonts w:hint="default"/>
                <w:highlight w:val="none"/>
                <w:lang w:val="en-US" w:eastAsia="zh-CN"/>
              </w:rPr>
              <w:t>格栅+气浮+厌氧+好氧+</w:t>
            </w:r>
            <w:r>
              <w:rPr>
                <w:rFonts w:hint="eastAsia"/>
                <w:highlight w:val="none"/>
                <w:lang w:val="en-US" w:eastAsia="zh-CN"/>
              </w:rPr>
              <w:t>沉淀+消毒</w:t>
            </w:r>
            <w:r>
              <w:rPr>
                <w:rFonts w:hint="default"/>
                <w:lang w:val="en-US" w:eastAsia="zh-CN"/>
              </w:rPr>
              <w:t>”，</w:t>
            </w:r>
            <w:r>
              <w:rPr>
                <w:rFonts w:hint="eastAsia"/>
                <w:lang w:val="en-US" w:eastAsia="zh-CN"/>
              </w:rPr>
              <w:t>污水处理工艺具体如下：</w:t>
            </w:r>
          </w:p>
          <w:p>
            <w:pPr>
              <w:pStyle w:val="71"/>
              <w:bidi w:val="0"/>
              <w:rPr>
                <w:rFonts w:hint="eastAsia"/>
                <w:lang w:val="en-US" w:eastAsia="zh-CN"/>
              </w:rPr>
            </w:pPr>
            <w:r>
              <w:rPr>
                <w:rFonts w:hint="eastAsia"/>
                <w:lang w:val="en-US" w:eastAsia="zh-CN"/>
              </w:rPr>
              <w:t>①格栅：主要去除较大悬浮物，如内脏碎块等其他可见物，防止这部分固体废物造成堵塞，保证后续处理工序的稳定运行及提升泵的正常运转。</w:t>
            </w:r>
          </w:p>
          <w:p>
            <w:pPr>
              <w:pStyle w:val="71"/>
              <w:bidi w:val="0"/>
              <w:rPr>
                <w:rFonts w:hint="default"/>
                <w:lang w:val="en-US" w:eastAsia="zh-CN"/>
              </w:rPr>
            </w:pPr>
            <w:r>
              <w:rPr>
                <w:rFonts w:hint="eastAsia"/>
                <w:lang w:val="en-US" w:eastAsia="zh-CN"/>
              </w:rPr>
              <w:t>②气浮：经格栅过滤的污水自流进入气浮池，气浮池集混凝反应与气浮分离技术于一体，处理对象是水中微小的悬浮物和胶体性杂质，使比重小于1的物质分离上浮而去除。</w:t>
            </w:r>
          </w:p>
          <w:p>
            <w:pPr>
              <w:pStyle w:val="71"/>
              <w:bidi w:val="0"/>
              <w:rPr>
                <w:rFonts w:hint="eastAsia"/>
                <w:lang w:val="en-US" w:eastAsia="zh-CN"/>
              </w:rPr>
            </w:pPr>
            <w:r>
              <w:rPr>
                <w:rFonts w:hint="eastAsia"/>
                <w:lang w:val="en-US" w:eastAsia="zh-CN"/>
              </w:rPr>
              <w:t>③厌氧反应：被处理的污水和回流的含磷污泥同步进入厌氧池，厌氧池的主要功能是聚磷菌释放磷，提高污水中磷的浓度，微生物细胞吸收溶解性有机物从而降低污水中BOD</w:t>
            </w:r>
            <w:r>
              <w:rPr>
                <w:rFonts w:hint="eastAsia"/>
                <w:vertAlign w:val="subscript"/>
                <w:lang w:val="en-US" w:eastAsia="zh-CN"/>
              </w:rPr>
              <w:t>5</w:t>
            </w:r>
            <w:r>
              <w:rPr>
                <w:rFonts w:hint="eastAsia"/>
                <w:lang w:val="en-US" w:eastAsia="zh-CN"/>
              </w:rPr>
              <w:t>浓度；此外，微生物细胞合成可以去除一部分NH</w:t>
            </w:r>
            <w:r>
              <w:rPr>
                <w:rFonts w:hint="eastAsia"/>
                <w:vertAlign w:val="subscript"/>
                <w:lang w:val="en-US" w:eastAsia="zh-CN"/>
              </w:rPr>
              <w:t>3</w:t>
            </w:r>
            <w:r>
              <w:rPr>
                <w:rFonts w:hint="eastAsia"/>
                <w:lang w:val="en-US" w:eastAsia="zh-CN"/>
              </w:rPr>
              <w:t>-N从而降低污水中NH</w:t>
            </w:r>
            <w:r>
              <w:rPr>
                <w:rFonts w:hint="eastAsia"/>
                <w:vertAlign w:val="subscript"/>
                <w:lang w:val="en-US" w:eastAsia="zh-CN"/>
              </w:rPr>
              <w:t>3</w:t>
            </w:r>
            <w:r>
              <w:rPr>
                <w:rFonts w:hint="eastAsia"/>
                <w:lang w:val="en-US" w:eastAsia="zh-CN"/>
              </w:rPr>
              <w:t>-N浓度，NO</w:t>
            </w:r>
            <w:r>
              <w:rPr>
                <w:rFonts w:hint="eastAsia"/>
                <w:vertAlign w:val="subscript"/>
                <w:lang w:val="en-US" w:eastAsia="zh-CN"/>
              </w:rPr>
              <w:t>3</w:t>
            </w:r>
            <w:r>
              <w:rPr>
                <w:rFonts w:hint="eastAsia"/>
                <w:lang w:val="en-US" w:eastAsia="zh-CN"/>
              </w:rPr>
              <w:t>-N浓度在厌氧池不发生变化。</w:t>
            </w:r>
          </w:p>
          <w:p>
            <w:pPr>
              <w:pStyle w:val="71"/>
              <w:bidi w:val="0"/>
              <w:rPr>
                <w:rFonts w:hint="eastAsia"/>
                <w:lang w:val="en-US" w:eastAsia="zh-CN"/>
              </w:rPr>
            </w:pPr>
            <w:r>
              <w:rPr>
                <w:rFonts w:hint="eastAsia"/>
                <w:lang w:val="en-US" w:eastAsia="zh-CN"/>
              </w:rPr>
              <w:t>④好氧反应：污水中的有机物被微生物降解利用，因而有机物浓度继续下降；有机氮首先被氨化继而被硝化，NH</w:t>
            </w:r>
            <w:r>
              <w:rPr>
                <w:rFonts w:hint="eastAsia"/>
                <w:vertAlign w:val="subscript"/>
                <w:lang w:val="en-US" w:eastAsia="zh-CN"/>
              </w:rPr>
              <w:t>3</w:t>
            </w:r>
            <w:r>
              <w:rPr>
                <w:rFonts w:hint="eastAsia"/>
                <w:lang w:val="en-US" w:eastAsia="zh-CN"/>
              </w:rPr>
              <w:t>-N浓度显著下降，但随着硝化过程的进行NO</w:t>
            </w:r>
            <w:r>
              <w:rPr>
                <w:rFonts w:hint="eastAsia"/>
                <w:vertAlign w:val="subscript"/>
                <w:lang w:val="en-US" w:eastAsia="zh-CN"/>
              </w:rPr>
              <w:t>3</w:t>
            </w:r>
            <w:r>
              <w:rPr>
                <w:rFonts w:hint="eastAsia"/>
                <w:lang w:val="en-US" w:eastAsia="zh-CN"/>
              </w:rPr>
              <w:t>-N的浓度升高，磷随着聚磷菌的过量摄取，也以较快的速度下降。</w:t>
            </w:r>
          </w:p>
          <w:p>
            <w:pPr>
              <w:pStyle w:val="71"/>
              <w:bidi w:val="0"/>
              <w:rPr>
                <w:rFonts w:hint="eastAsia"/>
                <w:lang w:val="en-US" w:eastAsia="zh-CN"/>
              </w:rPr>
            </w:pPr>
            <w:r>
              <w:rPr>
                <w:rFonts w:hint="eastAsia"/>
                <w:lang w:val="en-US" w:eastAsia="zh-CN"/>
              </w:rPr>
              <w:t>⑤沉淀：在水进入反应沉淀池之前要向水中加入絮凝剂。絮凝沉淀是颗粒物在水中作絮凝沉淀的过程。在水中投加混凝剂后，其中悬浮物的胶体及分散颗粒在分子力的相互作用下生成絮状体且在沉降过程中它们互相碰撞凝聚，其尺寸和质量不断变大，沉速不断增加。悬浮物的去除率不但取决于沉淀速度，而且与沉淀深度有关。地面水中投加混凝剂后形成的矾花。</w:t>
            </w:r>
          </w:p>
          <w:p>
            <w:pPr>
              <w:pStyle w:val="71"/>
              <w:bidi w:val="0"/>
              <w:rPr>
                <w:rFonts w:hint="eastAsia"/>
                <w:lang w:val="en-US" w:eastAsia="zh-CN"/>
              </w:rPr>
            </w:pPr>
            <w:r>
              <w:rPr>
                <w:rFonts w:hint="eastAsia"/>
                <w:lang w:val="en-US" w:eastAsia="zh-CN"/>
              </w:rPr>
              <w:t>⑥消毒：沉淀池出水进入消毒池，利用次氯酸钠消毒，一种广谱型的消毒剂，它对水中的病原微生物，包括病毒、细菌芽孢等均有较高的杀死作用，使废水达标排放。</w:t>
            </w:r>
          </w:p>
          <w:p>
            <w:pPr>
              <w:spacing w:line="520" w:lineRule="exact"/>
              <w:ind w:firstLine="480" w:firstLineChars="200"/>
              <w:rPr>
                <w:rFonts w:hint="default" w:ascii="Times New Roman" w:hAnsi="Times New Roman" w:cs="Times New Roman"/>
                <w:b w:val="0"/>
                <w:bCs w:val="0"/>
                <w:sz w:val="24"/>
                <w:szCs w:val="24"/>
                <w:highlight w:val="none"/>
                <w:lang w:val="en-US" w:eastAsia="zh-CN"/>
              </w:rPr>
            </w:pPr>
            <w:r>
              <w:rPr>
                <w:rFonts w:hint="eastAsia" w:ascii="Times New Roman" w:hAnsi="Times New Roman" w:cs="Times New Roman"/>
                <w:b w:val="0"/>
                <w:bCs w:val="0"/>
                <w:sz w:val="24"/>
                <w:szCs w:val="24"/>
                <w:lang w:val="en-US" w:eastAsia="zh-CN"/>
              </w:rPr>
              <w:t>根据</w:t>
            </w:r>
            <w:r>
              <w:rPr>
                <w:rFonts w:hint="default" w:ascii="Times New Roman" w:hAnsi="Times New Roman" w:eastAsia="宋体" w:cs="Times New Roman"/>
                <w:sz w:val="24"/>
                <w:szCs w:val="24"/>
                <w:lang w:val="en-US" w:eastAsia="zh-CN"/>
              </w:rPr>
              <w:t>《排放源统计调查产排污核算方法和系数手册》中“135屠宰及肉类加工行业系数手册”有关废水排放系数</w:t>
            </w:r>
            <w:r>
              <w:rPr>
                <w:rFonts w:hint="eastAsia" w:ascii="Times New Roman" w:hAnsi="Times New Roman" w:eastAsia="宋体" w:cs="Times New Roman"/>
                <w:sz w:val="24"/>
                <w:szCs w:val="24"/>
                <w:lang w:val="en-US" w:eastAsia="zh-CN"/>
              </w:rPr>
              <w:t>以及类比同类型项目验收监测数据（本次评价类比2023年8月《鄯善县生猪定点屠宰加工项目验收监测报告》，该项目年屠宰生猪3.3万头且污水处理站工艺与本项目一致），</w:t>
            </w:r>
            <w:r>
              <w:rPr>
                <w:rFonts w:hint="default" w:ascii="Times New Roman" w:hAnsi="Times New Roman" w:cs="Times New Roman"/>
                <w:b w:val="0"/>
                <w:bCs w:val="0"/>
                <w:sz w:val="24"/>
                <w:szCs w:val="24"/>
                <w:lang w:val="en-US" w:eastAsia="zh-CN"/>
              </w:rPr>
              <w:t>本项目污水源强核算一览表，详见</w:t>
            </w:r>
            <w:r>
              <w:rPr>
                <w:rFonts w:hint="default" w:ascii="Times New Roman" w:hAnsi="Times New Roman" w:cs="Times New Roman"/>
                <w:b w:val="0"/>
                <w:bCs w:val="0"/>
                <w:sz w:val="24"/>
                <w:szCs w:val="24"/>
                <w:highlight w:val="none"/>
                <w:lang w:val="en-US" w:eastAsia="zh-CN"/>
              </w:rPr>
              <w:t>下表4-</w:t>
            </w:r>
            <w:r>
              <w:rPr>
                <w:rFonts w:hint="eastAsia" w:cs="Times New Roman"/>
                <w:b w:val="0"/>
                <w:bCs w:val="0"/>
                <w:sz w:val="24"/>
                <w:szCs w:val="24"/>
                <w:highlight w:val="none"/>
                <w:lang w:val="en-US" w:eastAsia="zh-CN"/>
              </w:rPr>
              <w:t>5</w:t>
            </w:r>
            <w:r>
              <w:rPr>
                <w:rFonts w:hint="default" w:ascii="Times New Roman" w:hAnsi="Times New Roman" w:cs="Times New Roman"/>
                <w:b w:val="0"/>
                <w:bCs w:val="0"/>
                <w:sz w:val="24"/>
                <w:szCs w:val="24"/>
                <w:highlight w:val="none"/>
                <w:lang w:val="en-US" w:eastAsia="zh-CN"/>
              </w:rPr>
              <w:t>。</w:t>
            </w:r>
          </w:p>
          <w:p>
            <w:pPr>
              <w:pStyle w:val="72"/>
              <w:bidi w:val="0"/>
              <w:rPr>
                <w:rFonts w:hint="default"/>
                <w:lang w:val="en-US"/>
              </w:rPr>
            </w:pPr>
            <w:r>
              <w:rPr>
                <w:rFonts w:hint="default"/>
                <w:highlight w:val="none"/>
                <w:lang w:val="en-US" w:eastAsia="zh-CN"/>
              </w:rPr>
              <w:t>表4-</w:t>
            </w:r>
            <w:r>
              <w:rPr>
                <w:rFonts w:hint="eastAsia"/>
                <w:highlight w:val="none"/>
                <w:lang w:val="en-US" w:eastAsia="zh-CN"/>
              </w:rPr>
              <w:t xml:space="preserve">5  </w:t>
            </w:r>
            <w:r>
              <w:rPr>
                <w:rFonts w:hint="eastAsia"/>
                <w:lang w:val="en-US" w:eastAsia="zh-CN"/>
              </w:rPr>
              <w:t xml:space="preserve"> </w:t>
            </w:r>
            <w:r>
              <w:rPr>
                <w:rFonts w:hint="default"/>
                <w:lang w:val="en-US" w:eastAsia="zh-CN"/>
              </w:rPr>
              <w:t>废水产生、排放情况</w:t>
            </w:r>
          </w:p>
          <w:tbl>
            <w:tblPr>
              <w:tblStyle w:val="25"/>
              <w:tblW w:w="4996"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4"/>
              <w:gridCol w:w="733"/>
              <w:gridCol w:w="1061"/>
              <w:gridCol w:w="808"/>
              <w:gridCol w:w="738"/>
              <w:gridCol w:w="554"/>
              <w:gridCol w:w="589"/>
              <w:gridCol w:w="704"/>
              <w:gridCol w:w="738"/>
              <w:gridCol w:w="12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73"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废水源</w:t>
                  </w:r>
                </w:p>
              </w:tc>
              <w:tc>
                <w:tcPr>
                  <w:tcW w:w="484"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废水量（</w:t>
                  </w:r>
                  <w:r>
                    <w:rPr>
                      <w:rFonts w:hint="default" w:ascii="Times New Roman" w:hAnsi="Times New Roman" w:cs="Times New Roman"/>
                      <w:kern w:val="0"/>
                      <w:szCs w:val="21"/>
                      <w:lang w:val="en-US" w:eastAsia="zh-CN"/>
                    </w:rPr>
                    <w:t>m</w:t>
                  </w:r>
                  <w:r>
                    <w:rPr>
                      <w:rFonts w:hint="default" w:ascii="Times New Roman" w:hAnsi="Times New Roman" w:cs="Times New Roman"/>
                      <w:kern w:val="0"/>
                      <w:szCs w:val="21"/>
                      <w:vertAlign w:val="superscript"/>
                      <w:lang w:val="en-US" w:eastAsia="zh-CN"/>
                    </w:rPr>
                    <w:t>3</w:t>
                  </w:r>
                  <w:r>
                    <w:rPr>
                      <w:rFonts w:hint="default" w:ascii="Times New Roman" w:hAnsi="Times New Roman" w:cs="Times New Roman"/>
                      <w:kern w:val="0"/>
                      <w:szCs w:val="21"/>
                    </w:rPr>
                    <w:t>/a）</w:t>
                  </w: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污染因子</w:t>
                  </w:r>
                </w:p>
              </w:tc>
              <w:tc>
                <w:tcPr>
                  <w:tcW w:w="534"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COD</w:t>
                  </w:r>
                  <w:r>
                    <w:rPr>
                      <w:rFonts w:hint="default" w:ascii="Times New Roman" w:hAnsi="Times New Roman" w:cs="Times New Roman"/>
                      <w:kern w:val="0"/>
                      <w:szCs w:val="21"/>
                      <w:vertAlign w:val="subscript"/>
                    </w:rPr>
                    <w:t>cr</w:t>
                  </w:r>
                </w:p>
              </w:tc>
              <w:tc>
                <w:tcPr>
                  <w:tcW w:w="488"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BOD</w:t>
                  </w:r>
                  <w:r>
                    <w:rPr>
                      <w:rFonts w:hint="default" w:ascii="Times New Roman" w:hAnsi="Times New Roman" w:cs="Times New Roman"/>
                      <w:kern w:val="0"/>
                      <w:szCs w:val="21"/>
                      <w:vertAlign w:val="subscript"/>
                    </w:rPr>
                    <w:t>5</w:t>
                  </w:r>
                </w:p>
              </w:tc>
              <w:tc>
                <w:tcPr>
                  <w:tcW w:w="366"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SS</w:t>
                  </w:r>
                </w:p>
              </w:tc>
              <w:tc>
                <w:tcPr>
                  <w:tcW w:w="389"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氨氮</w:t>
                  </w:r>
                </w:p>
              </w:tc>
              <w:tc>
                <w:tcPr>
                  <w:tcW w:w="465"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动植物油</w:t>
                  </w:r>
                </w:p>
              </w:tc>
              <w:tc>
                <w:tcPr>
                  <w:tcW w:w="488"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pH</w:t>
                  </w:r>
                </w:p>
              </w:tc>
              <w:tc>
                <w:tcPr>
                  <w:tcW w:w="805"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排放方式及去向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73" w:type="pct"/>
                  <w:vMerge w:val="restar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屠宰废水</w:t>
                  </w:r>
                </w:p>
              </w:tc>
              <w:tc>
                <w:tcPr>
                  <w:tcW w:w="484" w:type="pct"/>
                  <w:vMerge w:val="restar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6426</w:t>
                  </w: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产生浓度（mg/L）</w:t>
                  </w:r>
                </w:p>
              </w:tc>
              <w:tc>
                <w:tcPr>
                  <w:tcW w:w="534"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eastAsia"/>
                      <w:lang w:val="en-US" w:eastAsia="zh-CN"/>
                    </w:rPr>
                    <w:t>1750</w:t>
                  </w:r>
                </w:p>
              </w:tc>
              <w:tc>
                <w:tcPr>
                  <w:tcW w:w="488"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default"/>
                    </w:rPr>
                    <w:t>8</w:t>
                  </w:r>
                  <w:r>
                    <w:rPr>
                      <w:rFonts w:hint="eastAsia"/>
                      <w:lang w:val="en-US" w:eastAsia="zh-CN"/>
                    </w:rPr>
                    <w:t>75</w:t>
                  </w:r>
                </w:p>
              </w:tc>
              <w:tc>
                <w:tcPr>
                  <w:tcW w:w="366"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eastAsia"/>
                      <w:lang w:val="en-US" w:eastAsia="zh-CN"/>
                    </w:rPr>
                    <w:t>875</w:t>
                  </w:r>
                </w:p>
              </w:tc>
              <w:tc>
                <w:tcPr>
                  <w:tcW w:w="389"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default"/>
                    </w:rPr>
                    <w:t>100</w:t>
                  </w:r>
                </w:p>
              </w:tc>
              <w:tc>
                <w:tcPr>
                  <w:tcW w:w="465"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default"/>
                    </w:rPr>
                    <w:t>125</w:t>
                  </w:r>
                </w:p>
              </w:tc>
              <w:tc>
                <w:tcPr>
                  <w:tcW w:w="488"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default"/>
                    </w:rPr>
                    <w:t>6.5~7.5</w:t>
                  </w:r>
                </w:p>
              </w:tc>
              <w:tc>
                <w:tcPr>
                  <w:tcW w:w="805" w:type="pct"/>
                  <w:vMerge w:val="restar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进入污水处理站处理后由吸污车拉运至若羌县污水处理厂进行处理</w:t>
                  </w:r>
                  <w:r>
                    <w:rPr>
                      <w:rFonts w:hint="eastAsia" w:cs="Times New Roman"/>
                      <w:kern w:val="0"/>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73"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484"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产生量（</w:t>
                  </w:r>
                  <w:r>
                    <w:rPr>
                      <w:rFonts w:hint="eastAsia" w:cs="Times New Roman"/>
                      <w:kern w:val="0"/>
                      <w:szCs w:val="21"/>
                      <w:lang w:val="en-US" w:eastAsia="zh-CN"/>
                    </w:rPr>
                    <w:t>m</w:t>
                  </w:r>
                  <w:r>
                    <w:rPr>
                      <w:rFonts w:hint="eastAsia" w:cs="Times New Roman"/>
                      <w:kern w:val="0"/>
                      <w:szCs w:val="21"/>
                      <w:vertAlign w:val="superscript"/>
                      <w:lang w:val="en-US" w:eastAsia="zh-CN"/>
                    </w:rPr>
                    <w:t>3</w:t>
                  </w:r>
                  <w:r>
                    <w:rPr>
                      <w:rFonts w:hint="default" w:ascii="Times New Roman" w:hAnsi="Times New Roman" w:cs="Times New Roman"/>
                      <w:kern w:val="0"/>
                      <w:szCs w:val="21"/>
                    </w:rPr>
                    <w:t>/a）</w:t>
                  </w:r>
                </w:p>
              </w:tc>
              <w:tc>
                <w:tcPr>
                  <w:tcW w:w="534"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eastAsia"/>
                      <w:lang w:val="en-US" w:eastAsia="zh-CN"/>
                    </w:rPr>
                    <w:t>11.24</w:t>
                  </w:r>
                </w:p>
              </w:tc>
              <w:tc>
                <w:tcPr>
                  <w:tcW w:w="488"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eastAsia"/>
                      <w:highlight w:val="none"/>
                      <w:lang w:val="en-US" w:eastAsia="zh-CN"/>
                    </w:rPr>
                    <w:t>5.6</w:t>
                  </w:r>
                </w:p>
              </w:tc>
              <w:tc>
                <w:tcPr>
                  <w:tcW w:w="366"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eastAsia"/>
                      <w:lang w:val="en-US" w:eastAsia="zh-CN"/>
                    </w:rPr>
                    <w:t>5.6</w:t>
                  </w:r>
                </w:p>
              </w:tc>
              <w:tc>
                <w:tcPr>
                  <w:tcW w:w="389"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eastAsia"/>
                      <w:lang w:val="en-US" w:eastAsia="zh-CN"/>
                    </w:rPr>
                    <w:t>0.64</w:t>
                  </w:r>
                </w:p>
              </w:tc>
              <w:tc>
                <w:tcPr>
                  <w:tcW w:w="465" w:type="pct"/>
                  <w:tcBorders>
                    <w:tl2br w:val="nil"/>
                    <w:tr2bl w:val="nil"/>
                  </w:tcBorders>
                  <w:noWrap w:val="0"/>
                  <w:vAlign w:val="center"/>
                </w:tcPr>
                <w:p>
                  <w:pPr>
                    <w:pStyle w:val="69"/>
                    <w:bidi w:val="0"/>
                    <w:rPr>
                      <w:rFonts w:hint="default" w:ascii="Times New Roman" w:hAnsi="Times New Roman" w:cs="Times New Roman"/>
                      <w:kern w:val="0"/>
                      <w:szCs w:val="21"/>
                    </w:rPr>
                  </w:pPr>
                  <w:r>
                    <w:rPr>
                      <w:rFonts w:hint="eastAsia"/>
                      <w:lang w:val="en-US" w:eastAsia="zh-CN"/>
                    </w:rPr>
                    <w:t>0.8</w:t>
                  </w:r>
                </w:p>
              </w:tc>
              <w:tc>
                <w:tcPr>
                  <w:tcW w:w="488" w:type="pct"/>
                  <w:tcBorders>
                    <w:tl2br w:val="nil"/>
                    <w:tr2bl w:val="nil"/>
                  </w:tcBorders>
                  <w:noWrap w:val="0"/>
                  <w:vAlign w:val="center"/>
                </w:tcPr>
                <w:p>
                  <w:pPr>
                    <w:pStyle w:val="69"/>
                    <w:bidi w:val="0"/>
                    <w:rPr>
                      <w:rFonts w:hint="eastAsia" w:ascii="Times New Roman" w:hAnsi="Times New Roman" w:eastAsia="宋体" w:cs="Times New Roman"/>
                      <w:kern w:val="0"/>
                      <w:szCs w:val="21"/>
                      <w:lang w:eastAsia="zh-CN"/>
                    </w:rPr>
                  </w:pPr>
                  <w:r>
                    <w:rPr>
                      <w:rFonts w:hint="eastAsia"/>
                      <w:lang w:val="en-US" w:eastAsia="zh-CN"/>
                    </w:rPr>
                    <w:t>/</w:t>
                  </w:r>
                </w:p>
              </w:tc>
              <w:tc>
                <w:tcPr>
                  <w:tcW w:w="805"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73" w:type="pct"/>
                  <w:vMerge w:val="restar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kern w:val="0"/>
                      <w:szCs w:val="21"/>
                      <w:lang w:val="en-US" w:eastAsia="zh-CN"/>
                    </w:rPr>
                  </w:pPr>
                  <w:r>
                    <w:rPr>
                      <w:rFonts w:hint="eastAsia" w:cs="Times New Roman"/>
                      <w:kern w:val="0"/>
                      <w:szCs w:val="21"/>
                      <w:lang w:val="en-US" w:eastAsia="zh-CN"/>
                    </w:rPr>
                    <w:t>生活污水</w:t>
                  </w:r>
                </w:p>
              </w:tc>
              <w:tc>
                <w:tcPr>
                  <w:tcW w:w="484" w:type="pct"/>
                  <w:vMerge w:val="restar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120</w:t>
                  </w: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产生浓度（mg/L）</w:t>
                  </w:r>
                </w:p>
              </w:tc>
              <w:tc>
                <w:tcPr>
                  <w:tcW w:w="534" w:type="pct"/>
                  <w:tcBorders>
                    <w:tl2br w:val="nil"/>
                    <w:tr2bl w:val="nil"/>
                  </w:tcBorders>
                  <w:noWrap w:val="0"/>
                  <w:vAlign w:val="center"/>
                </w:tcPr>
                <w:p>
                  <w:pPr>
                    <w:pStyle w:val="69"/>
                    <w:bidi w:val="0"/>
                    <w:rPr>
                      <w:rFonts w:hint="default" w:ascii="Times New Roman" w:hAnsi="Times New Roman" w:cs="Times New Roman"/>
                      <w:kern w:val="0"/>
                      <w:szCs w:val="21"/>
                      <w:lang w:val="en-US" w:eastAsia="zh-CN"/>
                    </w:rPr>
                  </w:pPr>
                  <w:r>
                    <w:rPr>
                      <w:rFonts w:hint="eastAsia"/>
                      <w:lang w:val="en-US" w:eastAsia="zh-CN"/>
                    </w:rPr>
                    <w:t>350</w:t>
                  </w:r>
                </w:p>
              </w:tc>
              <w:tc>
                <w:tcPr>
                  <w:tcW w:w="488" w:type="pct"/>
                  <w:tcBorders>
                    <w:tl2br w:val="nil"/>
                    <w:tr2bl w:val="nil"/>
                  </w:tcBorders>
                  <w:noWrap w:val="0"/>
                  <w:vAlign w:val="center"/>
                </w:tcPr>
                <w:p>
                  <w:pPr>
                    <w:pStyle w:val="69"/>
                    <w:bidi w:val="0"/>
                    <w:rPr>
                      <w:rFonts w:hint="default" w:ascii="Times New Roman" w:hAnsi="Times New Roman" w:eastAsia="宋体" w:cs="Times New Roman"/>
                      <w:i w:val="0"/>
                      <w:iCs w:val="0"/>
                      <w:color w:val="000000"/>
                      <w:kern w:val="0"/>
                      <w:sz w:val="21"/>
                      <w:szCs w:val="21"/>
                      <w:u w:val="none"/>
                      <w:lang w:val="en-US" w:eastAsia="zh-CN" w:bidi="ar"/>
                    </w:rPr>
                  </w:pPr>
                  <w:r>
                    <w:rPr>
                      <w:rFonts w:hint="eastAsia"/>
                      <w:lang w:val="en-US" w:eastAsia="zh-CN"/>
                    </w:rPr>
                    <w:t>250</w:t>
                  </w:r>
                </w:p>
              </w:tc>
              <w:tc>
                <w:tcPr>
                  <w:tcW w:w="366" w:type="pct"/>
                  <w:tcBorders>
                    <w:tl2br w:val="nil"/>
                    <w:tr2bl w:val="nil"/>
                  </w:tcBorders>
                  <w:noWrap w:val="0"/>
                  <w:vAlign w:val="center"/>
                </w:tcPr>
                <w:p>
                  <w:pPr>
                    <w:pStyle w:val="69"/>
                    <w:bidi w:val="0"/>
                    <w:rPr>
                      <w:rFonts w:hint="eastAsia" w:ascii="Times New Roman" w:hAnsi="Times New Roman" w:cs="Times New Roman"/>
                      <w:kern w:val="0"/>
                      <w:szCs w:val="21"/>
                      <w:lang w:val="en-US" w:eastAsia="zh-CN"/>
                    </w:rPr>
                  </w:pPr>
                  <w:r>
                    <w:rPr>
                      <w:rFonts w:hint="eastAsia"/>
                      <w:lang w:val="en-US" w:eastAsia="zh-CN"/>
                    </w:rPr>
                    <w:t>200</w:t>
                  </w:r>
                </w:p>
              </w:tc>
              <w:tc>
                <w:tcPr>
                  <w:tcW w:w="389" w:type="pct"/>
                  <w:tcBorders>
                    <w:tl2br w:val="nil"/>
                    <w:tr2bl w:val="nil"/>
                  </w:tcBorders>
                  <w:noWrap w:val="0"/>
                  <w:vAlign w:val="center"/>
                </w:tcPr>
                <w:p>
                  <w:pPr>
                    <w:pStyle w:val="69"/>
                    <w:bidi w:val="0"/>
                    <w:rPr>
                      <w:rFonts w:hint="default" w:ascii="Times New Roman" w:hAnsi="Times New Roman" w:eastAsia="宋体" w:cs="Times New Roman"/>
                      <w:i w:val="0"/>
                      <w:iCs w:val="0"/>
                      <w:color w:val="000000"/>
                      <w:kern w:val="0"/>
                      <w:sz w:val="21"/>
                      <w:szCs w:val="21"/>
                      <w:u w:val="none"/>
                      <w:lang w:val="en-US" w:eastAsia="zh-CN" w:bidi="ar"/>
                    </w:rPr>
                  </w:pPr>
                  <w:r>
                    <w:rPr>
                      <w:rFonts w:hint="eastAsia"/>
                      <w:lang w:val="en-US" w:eastAsia="zh-CN"/>
                    </w:rPr>
                    <w:t>30</w:t>
                  </w:r>
                </w:p>
              </w:tc>
              <w:tc>
                <w:tcPr>
                  <w:tcW w:w="465" w:type="pct"/>
                  <w:tcBorders>
                    <w:tl2br w:val="nil"/>
                    <w:tr2bl w:val="nil"/>
                  </w:tcBorders>
                  <w:noWrap w:val="0"/>
                  <w:vAlign w:val="center"/>
                </w:tcPr>
                <w:p>
                  <w:pPr>
                    <w:pStyle w:val="69"/>
                    <w:bidi w:val="0"/>
                    <w:rPr>
                      <w:rFonts w:hint="default" w:ascii="Times New Roman" w:hAnsi="Times New Roman" w:eastAsia="宋体" w:cs="Times New Roman"/>
                      <w:i w:val="0"/>
                      <w:iCs w:val="0"/>
                      <w:color w:val="000000"/>
                      <w:kern w:val="0"/>
                      <w:sz w:val="21"/>
                      <w:szCs w:val="21"/>
                      <w:u w:val="none"/>
                      <w:lang w:val="en-US" w:eastAsia="zh-CN" w:bidi="ar"/>
                    </w:rPr>
                  </w:pPr>
                  <w:r>
                    <w:rPr>
                      <w:rFonts w:hint="eastAsia"/>
                      <w:lang w:val="en-US" w:eastAsia="zh-CN"/>
                    </w:rPr>
                    <w:t>100</w:t>
                  </w:r>
                </w:p>
              </w:tc>
              <w:tc>
                <w:tcPr>
                  <w:tcW w:w="488" w:type="pct"/>
                  <w:tcBorders>
                    <w:tl2br w:val="nil"/>
                    <w:tr2bl w:val="nil"/>
                  </w:tcBorders>
                  <w:noWrap w:val="0"/>
                  <w:vAlign w:val="center"/>
                </w:tcPr>
                <w:p>
                  <w:pPr>
                    <w:pStyle w:val="69"/>
                    <w:bidi w:val="0"/>
                    <w:rPr>
                      <w:rFonts w:hint="eastAsia" w:cs="Times New Roman"/>
                      <w:kern w:val="0"/>
                      <w:szCs w:val="21"/>
                      <w:lang w:val="en-US" w:eastAsia="zh-CN"/>
                    </w:rPr>
                  </w:pPr>
                  <w:r>
                    <w:rPr>
                      <w:rFonts w:hint="default"/>
                    </w:rPr>
                    <w:t>6.5~7.5</w:t>
                  </w:r>
                </w:p>
              </w:tc>
              <w:tc>
                <w:tcPr>
                  <w:tcW w:w="805"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73"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484"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产生量（</w:t>
                  </w:r>
                  <w:r>
                    <w:rPr>
                      <w:rFonts w:hint="eastAsia" w:cs="Times New Roman"/>
                      <w:kern w:val="0"/>
                      <w:szCs w:val="21"/>
                      <w:lang w:val="en-US" w:eastAsia="zh-CN"/>
                    </w:rPr>
                    <w:t>m</w:t>
                  </w:r>
                  <w:r>
                    <w:rPr>
                      <w:rFonts w:hint="eastAsia" w:cs="Times New Roman"/>
                      <w:kern w:val="0"/>
                      <w:szCs w:val="21"/>
                      <w:vertAlign w:val="superscript"/>
                      <w:lang w:val="en-US" w:eastAsia="zh-CN"/>
                    </w:rPr>
                    <w:t>3</w:t>
                  </w:r>
                  <w:r>
                    <w:rPr>
                      <w:rFonts w:hint="default" w:ascii="Times New Roman" w:hAnsi="Times New Roman" w:cs="Times New Roman"/>
                      <w:kern w:val="0"/>
                      <w:szCs w:val="21"/>
                    </w:rPr>
                    <w:t>/a）</w:t>
                  </w:r>
                </w:p>
              </w:tc>
              <w:tc>
                <w:tcPr>
                  <w:tcW w:w="534" w:type="pct"/>
                  <w:tcBorders>
                    <w:tl2br w:val="nil"/>
                    <w:tr2bl w:val="nil"/>
                  </w:tcBorders>
                  <w:noWrap w:val="0"/>
                  <w:vAlign w:val="center"/>
                </w:tcPr>
                <w:p>
                  <w:pPr>
                    <w:pStyle w:val="69"/>
                    <w:bidi w:val="0"/>
                    <w:rPr>
                      <w:rFonts w:hint="default" w:ascii="Times New Roman" w:hAnsi="Times New Roman" w:cs="Times New Roman"/>
                      <w:kern w:val="0"/>
                      <w:szCs w:val="21"/>
                      <w:lang w:val="en-US" w:eastAsia="zh-CN"/>
                    </w:rPr>
                  </w:pPr>
                  <w:r>
                    <w:rPr>
                      <w:rFonts w:hint="eastAsia"/>
                      <w:lang w:val="en-US" w:eastAsia="zh-CN"/>
                    </w:rPr>
                    <w:t>0.042</w:t>
                  </w:r>
                </w:p>
              </w:tc>
              <w:tc>
                <w:tcPr>
                  <w:tcW w:w="488" w:type="pct"/>
                  <w:tcBorders>
                    <w:tl2br w:val="nil"/>
                    <w:tr2bl w:val="nil"/>
                  </w:tcBorders>
                  <w:noWrap w:val="0"/>
                  <w:vAlign w:val="center"/>
                </w:tcPr>
                <w:p>
                  <w:pPr>
                    <w:pStyle w:val="69"/>
                    <w:bidi w:val="0"/>
                    <w:rPr>
                      <w:rFonts w:hint="default" w:ascii="Times New Roman" w:hAnsi="Times New Roman" w:eastAsia="宋体" w:cs="Times New Roman"/>
                      <w:i w:val="0"/>
                      <w:iCs w:val="0"/>
                      <w:color w:val="000000"/>
                      <w:kern w:val="0"/>
                      <w:sz w:val="21"/>
                      <w:szCs w:val="21"/>
                      <w:u w:val="none"/>
                      <w:lang w:val="en-US" w:eastAsia="zh-CN" w:bidi="ar"/>
                    </w:rPr>
                  </w:pPr>
                  <w:r>
                    <w:rPr>
                      <w:rFonts w:hint="eastAsia"/>
                      <w:highlight w:val="none"/>
                      <w:lang w:val="en-US" w:eastAsia="zh-CN"/>
                    </w:rPr>
                    <w:t>0.03</w:t>
                  </w:r>
                </w:p>
              </w:tc>
              <w:tc>
                <w:tcPr>
                  <w:tcW w:w="366" w:type="pct"/>
                  <w:tcBorders>
                    <w:tl2br w:val="nil"/>
                    <w:tr2bl w:val="nil"/>
                  </w:tcBorders>
                  <w:noWrap w:val="0"/>
                  <w:vAlign w:val="center"/>
                </w:tcPr>
                <w:p>
                  <w:pPr>
                    <w:pStyle w:val="69"/>
                    <w:bidi w:val="0"/>
                    <w:rPr>
                      <w:rFonts w:hint="eastAsia" w:ascii="Times New Roman" w:hAnsi="Times New Roman" w:cs="Times New Roman"/>
                      <w:kern w:val="0"/>
                      <w:szCs w:val="21"/>
                      <w:lang w:val="en-US" w:eastAsia="zh-CN"/>
                    </w:rPr>
                  </w:pPr>
                  <w:r>
                    <w:rPr>
                      <w:rFonts w:hint="eastAsia"/>
                      <w:lang w:val="en-US" w:eastAsia="zh-CN"/>
                    </w:rPr>
                    <w:t>0.024</w:t>
                  </w:r>
                </w:p>
              </w:tc>
              <w:tc>
                <w:tcPr>
                  <w:tcW w:w="389" w:type="pct"/>
                  <w:tcBorders>
                    <w:tl2br w:val="nil"/>
                    <w:tr2bl w:val="nil"/>
                  </w:tcBorders>
                  <w:noWrap w:val="0"/>
                  <w:vAlign w:val="center"/>
                </w:tcPr>
                <w:p>
                  <w:pPr>
                    <w:pStyle w:val="69"/>
                    <w:bidi w:val="0"/>
                    <w:rPr>
                      <w:rFonts w:hint="default" w:ascii="Times New Roman" w:hAnsi="Times New Roman" w:eastAsia="宋体" w:cs="Times New Roman"/>
                      <w:i w:val="0"/>
                      <w:iCs w:val="0"/>
                      <w:color w:val="000000"/>
                      <w:kern w:val="0"/>
                      <w:sz w:val="21"/>
                      <w:szCs w:val="21"/>
                      <w:u w:val="none"/>
                      <w:lang w:val="en-US" w:eastAsia="zh-CN" w:bidi="ar"/>
                    </w:rPr>
                  </w:pPr>
                  <w:r>
                    <w:rPr>
                      <w:rFonts w:hint="eastAsia"/>
                      <w:lang w:val="en-US" w:eastAsia="zh-CN"/>
                    </w:rPr>
                    <w:t>0.0036</w:t>
                  </w:r>
                </w:p>
              </w:tc>
              <w:tc>
                <w:tcPr>
                  <w:tcW w:w="465" w:type="pct"/>
                  <w:tcBorders>
                    <w:tl2br w:val="nil"/>
                    <w:tr2bl w:val="nil"/>
                  </w:tcBorders>
                  <w:noWrap w:val="0"/>
                  <w:vAlign w:val="center"/>
                </w:tcPr>
                <w:p>
                  <w:pPr>
                    <w:pStyle w:val="69"/>
                    <w:bidi w:val="0"/>
                    <w:rPr>
                      <w:rFonts w:hint="default" w:ascii="Times New Roman" w:hAnsi="Times New Roman" w:eastAsia="宋体" w:cs="Times New Roman"/>
                      <w:i w:val="0"/>
                      <w:iCs w:val="0"/>
                      <w:color w:val="000000"/>
                      <w:kern w:val="0"/>
                      <w:sz w:val="21"/>
                      <w:szCs w:val="21"/>
                      <w:u w:val="none"/>
                      <w:lang w:val="en-US" w:eastAsia="zh-CN" w:bidi="ar"/>
                    </w:rPr>
                  </w:pPr>
                  <w:r>
                    <w:rPr>
                      <w:rFonts w:hint="eastAsia"/>
                      <w:lang w:val="en-US" w:eastAsia="zh-CN"/>
                    </w:rPr>
                    <w:t>0.012</w:t>
                  </w:r>
                </w:p>
              </w:tc>
              <w:tc>
                <w:tcPr>
                  <w:tcW w:w="488" w:type="pct"/>
                  <w:tcBorders>
                    <w:tl2br w:val="nil"/>
                    <w:tr2bl w:val="nil"/>
                  </w:tcBorders>
                  <w:noWrap w:val="0"/>
                  <w:vAlign w:val="center"/>
                </w:tcPr>
                <w:p>
                  <w:pPr>
                    <w:pStyle w:val="69"/>
                    <w:bidi w:val="0"/>
                    <w:rPr>
                      <w:rFonts w:hint="default" w:cs="Times New Roman"/>
                      <w:kern w:val="0"/>
                      <w:szCs w:val="21"/>
                      <w:lang w:val="en-US" w:eastAsia="zh-CN"/>
                    </w:rPr>
                  </w:pPr>
                  <w:r>
                    <w:rPr>
                      <w:rFonts w:hint="eastAsia" w:cs="Times New Roman"/>
                      <w:kern w:val="0"/>
                      <w:szCs w:val="21"/>
                      <w:lang w:val="en-US" w:eastAsia="zh-CN"/>
                    </w:rPr>
                    <w:t>/</w:t>
                  </w:r>
                </w:p>
              </w:tc>
              <w:tc>
                <w:tcPr>
                  <w:tcW w:w="805"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73" w:type="pct"/>
                  <w:vMerge w:val="restar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kern w:val="0"/>
                      <w:szCs w:val="21"/>
                      <w:lang w:val="en-US" w:eastAsia="zh-CN"/>
                    </w:rPr>
                  </w:pPr>
                  <w:r>
                    <w:rPr>
                      <w:rFonts w:hint="eastAsia" w:cs="Times New Roman"/>
                      <w:kern w:val="0"/>
                      <w:szCs w:val="21"/>
                      <w:lang w:val="en-US" w:eastAsia="zh-CN"/>
                    </w:rPr>
                    <w:t>综合废水</w:t>
                  </w:r>
                </w:p>
              </w:tc>
              <w:tc>
                <w:tcPr>
                  <w:tcW w:w="484" w:type="pct"/>
                  <w:vMerge w:val="restar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6546</w:t>
                  </w: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混合浓度（mg/L）</w:t>
                  </w:r>
                </w:p>
              </w:tc>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1723</w:t>
                  </w:r>
                </w:p>
              </w:tc>
              <w:tc>
                <w:tcPr>
                  <w:tcW w:w="4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860</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859</w:t>
                  </w:r>
                </w:p>
              </w:tc>
              <w:tc>
                <w:tcPr>
                  <w:tcW w:w="3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98</w:t>
                  </w:r>
                </w:p>
              </w:tc>
              <w:tc>
                <w:tcPr>
                  <w:tcW w:w="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124</w:t>
                  </w:r>
                </w:p>
              </w:tc>
              <w:tc>
                <w:tcPr>
                  <w:tcW w:w="488"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eastAsia" w:cs="Times New Roman"/>
                      <w:kern w:val="0"/>
                      <w:szCs w:val="21"/>
                      <w:lang w:val="en-US" w:eastAsia="zh-CN"/>
                    </w:rPr>
                  </w:pPr>
                  <w:r>
                    <w:rPr>
                      <w:rFonts w:hint="eastAsia" w:cs="Times New Roman"/>
                      <w:kern w:val="0"/>
                      <w:szCs w:val="21"/>
                      <w:lang w:val="en-US" w:eastAsia="zh-CN"/>
                    </w:rPr>
                    <w:t>6.5~7.5</w:t>
                  </w:r>
                </w:p>
              </w:tc>
              <w:tc>
                <w:tcPr>
                  <w:tcW w:w="805" w:type="pct"/>
                  <w:vMerge w:val="restar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r>
                    <w:rPr>
                      <w:rFonts w:hint="eastAsia" w:cs="Times New Roman"/>
                      <w:kern w:val="0"/>
                      <w:szCs w:val="21"/>
                      <w:lang w:val="en-US" w:eastAsia="zh-CN"/>
                    </w:rPr>
                    <w:t>经厂区</w:t>
                  </w:r>
                  <w:r>
                    <w:rPr>
                      <w:rFonts w:hint="default" w:ascii="Times New Roman" w:hAnsi="Times New Roman" w:cs="Times New Roman"/>
                      <w:kern w:val="0"/>
                      <w:szCs w:val="21"/>
                      <w:lang w:val="en-US" w:eastAsia="zh-CN"/>
                    </w:rPr>
                    <w:t>污水处理站处理后由吸污车拉运至若羌县污水处理厂进行处理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73"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484"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default" w:ascii="Times New Roman" w:hAnsi="Times New Roman" w:cs="Times New Roman"/>
                      <w:kern w:val="0"/>
                      <w:szCs w:val="21"/>
                    </w:rPr>
                  </w:pPr>
                  <w:r>
                    <w:rPr>
                      <w:rFonts w:hint="default" w:ascii="Times New Roman" w:hAnsi="Times New Roman" w:cs="Times New Roman"/>
                      <w:kern w:val="0"/>
                      <w:szCs w:val="21"/>
                    </w:rPr>
                    <w:t>产生量（</w:t>
                  </w:r>
                  <w:r>
                    <w:rPr>
                      <w:rFonts w:hint="default" w:ascii="Times New Roman" w:hAnsi="Times New Roman" w:cs="Times New Roman"/>
                      <w:kern w:val="0"/>
                      <w:szCs w:val="21"/>
                      <w:lang w:val="en-US" w:eastAsia="zh-CN"/>
                    </w:rPr>
                    <w:t>m</w:t>
                  </w:r>
                  <w:r>
                    <w:rPr>
                      <w:rFonts w:hint="default" w:ascii="Times New Roman" w:hAnsi="Times New Roman" w:cs="Times New Roman"/>
                      <w:kern w:val="0"/>
                      <w:szCs w:val="21"/>
                      <w:vertAlign w:val="superscript"/>
                      <w:lang w:val="en-US" w:eastAsia="zh-CN"/>
                    </w:rPr>
                    <w:t>3</w:t>
                  </w:r>
                  <w:r>
                    <w:rPr>
                      <w:rFonts w:hint="default" w:ascii="Times New Roman" w:hAnsi="Times New Roman" w:cs="Times New Roman"/>
                      <w:kern w:val="0"/>
                      <w:szCs w:val="21"/>
                    </w:rPr>
                    <w:t>/a）</w:t>
                  </w:r>
                </w:p>
              </w:tc>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11.282</w:t>
                  </w:r>
                </w:p>
              </w:tc>
              <w:tc>
                <w:tcPr>
                  <w:tcW w:w="4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5.63</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5.624</w:t>
                  </w:r>
                </w:p>
              </w:tc>
              <w:tc>
                <w:tcPr>
                  <w:tcW w:w="3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0.6436</w:t>
                  </w:r>
                </w:p>
              </w:tc>
              <w:tc>
                <w:tcPr>
                  <w:tcW w:w="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0.812</w:t>
                  </w:r>
                </w:p>
              </w:tc>
              <w:tc>
                <w:tcPr>
                  <w:tcW w:w="488"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cs="Times New Roman"/>
                      <w:kern w:val="0"/>
                      <w:szCs w:val="21"/>
                      <w:lang w:val="en-US" w:eastAsia="zh-CN"/>
                    </w:rPr>
                  </w:pPr>
                  <w:r>
                    <w:rPr>
                      <w:rFonts w:hint="eastAsia" w:cs="Times New Roman"/>
                      <w:kern w:val="0"/>
                      <w:szCs w:val="21"/>
                      <w:lang w:val="en-US" w:eastAsia="zh-CN"/>
                    </w:rPr>
                    <w:t>/</w:t>
                  </w:r>
                </w:p>
              </w:tc>
              <w:tc>
                <w:tcPr>
                  <w:tcW w:w="805"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73"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484"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eastAsia" w:ascii="Times New Roman" w:hAnsi="Times New Roman" w:cs="Times New Roman"/>
                      <w:kern w:val="0"/>
                      <w:szCs w:val="21"/>
                      <w:lang w:val="en-US" w:eastAsia="zh-CN"/>
                    </w:rPr>
                  </w:pPr>
                  <w:r>
                    <w:rPr>
                      <w:rFonts w:hint="default" w:ascii="Times New Roman" w:hAnsi="Times New Roman" w:cs="Times New Roman"/>
                      <w:kern w:val="0"/>
                      <w:szCs w:val="21"/>
                    </w:rPr>
                    <w:t>处理效率（%）</w:t>
                  </w:r>
                </w:p>
              </w:tc>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96.23</w:t>
                  </w:r>
                </w:p>
              </w:tc>
              <w:tc>
                <w:tcPr>
                  <w:tcW w:w="4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97.44</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95.69</w:t>
                  </w:r>
                </w:p>
              </w:tc>
              <w:tc>
                <w:tcPr>
                  <w:tcW w:w="3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87.76</w:t>
                  </w:r>
                </w:p>
              </w:tc>
              <w:tc>
                <w:tcPr>
                  <w:tcW w:w="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91.92</w:t>
                  </w:r>
                </w:p>
              </w:tc>
              <w:tc>
                <w:tcPr>
                  <w:tcW w:w="488"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eastAsia" w:cs="Times New Roman"/>
                      <w:kern w:val="0"/>
                      <w:szCs w:val="21"/>
                      <w:lang w:val="en-US" w:eastAsia="zh-CN"/>
                    </w:rPr>
                  </w:pPr>
                  <w:r>
                    <w:rPr>
                      <w:rFonts w:hint="eastAsia" w:cs="Times New Roman"/>
                      <w:kern w:val="0"/>
                      <w:szCs w:val="21"/>
                      <w:lang w:val="en-US" w:eastAsia="zh-CN"/>
                    </w:rPr>
                    <w:t>/</w:t>
                  </w:r>
                </w:p>
              </w:tc>
              <w:tc>
                <w:tcPr>
                  <w:tcW w:w="805"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273"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484"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排放浓度（mg/L）</w:t>
                  </w:r>
                </w:p>
              </w:tc>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65</w:t>
                  </w:r>
                </w:p>
              </w:tc>
              <w:tc>
                <w:tcPr>
                  <w:tcW w:w="4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22</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37</w:t>
                  </w:r>
                </w:p>
              </w:tc>
              <w:tc>
                <w:tcPr>
                  <w:tcW w:w="3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w:t>
                  </w:r>
                </w:p>
              </w:tc>
              <w:tc>
                <w:tcPr>
                  <w:tcW w:w="488"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eastAsia" w:cs="Times New Roman"/>
                      <w:kern w:val="0"/>
                      <w:szCs w:val="21"/>
                      <w:lang w:val="en-US" w:eastAsia="zh-CN"/>
                    </w:rPr>
                  </w:pPr>
                  <w:r>
                    <w:rPr>
                      <w:rFonts w:hint="eastAsia" w:cs="Times New Roman"/>
                      <w:kern w:val="0"/>
                      <w:szCs w:val="21"/>
                      <w:lang w:val="en-US" w:eastAsia="zh-CN"/>
                    </w:rPr>
                    <w:t>6.5~7.5</w:t>
                  </w:r>
                </w:p>
              </w:tc>
              <w:tc>
                <w:tcPr>
                  <w:tcW w:w="805"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73"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484"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c>
                <w:tcPr>
                  <w:tcW w:w="701"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排放量（m</w:t>
                  </w:r>
                  <w:r>
                    <w:rPr>
                      <w:rFonts w:hint="eastAsia" w:ascii="Times New Roman" w:hAnsi="Times New Roman" w:cs="Times New Roman"/>
                      <w:kern w:val="0"/>
                      <w:szCs w:val="21"/>
                      <w:vertAlign w:val="superscript"/>
                      <w:lang w:val="en-US" w:eastAsia="zh-CN"/>
                    </w:rPr>
                    <w:t>3</w:t>
                  </w:r>
                  <w:r>
                    <w:rPr>
                      <w:rFonts w:hint="eastAsia" w:ascii="Times New Roman" w:hAnsi="Times New Roman" w:cs="Times New Roman"/>
                      <w:kern w:val="0"/>
                      <w:szCs w:val="21"/>
                      <w:lang w:val="en-US" w:eastAsia="zh-CN"/>
                    </w:rPr>
                    <w:t>/a）</w:t>
                  </w:r>
                </w:p>
              </w:tc>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0.425</w:t>
                  </w:r>
                </w:p>
              </w:tc>
              <w:tc>
                <w:tcPr>
                  <w:tcW w:w="4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0.144</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kern w:val="0"/>
                      <w:szCs w:val="21"/>
                      <w:lang w:val="en-US" w:eastAsia="zh-CN"/>
                    </w:rPr>
                  </w:pPr>
                  <w:r>
                    <w:rPr>
                      <w:rFonts w:hint="eastAsia" w:cs="Times New Roman"/>
                      <w:kern w:val="0"/>
                      <w:szCs w:val="21"/>
                      <w:lang w:val="en-US" w:eastAsia="zh-CN"/>
                    </w:rPr>
                    <w:t>0.242</w:t>
                  </w:r>
                </w:p>
              </w:tc>
              <w:tc>
                <w:tcPr>
                  <w:tcW w:w="3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0.788</w:t>
                  </w:r>
                </w:p>
              </w:tc>
              <w:tc>
                <w:tcPr>
                  <w:tcW w:w="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0.065</w:t>
                  </w:r>
                </w:p>
              </w:tc>
              <w:tc>
                <w:tcPr>
                  <w:tcW w:w="488" w:type="pct"/>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cs="Times New Roman"/>
                      <w:kern w:val="0"/>
                      <w:szCs w:val="21"/>
                      <w:lang w:val="en-US" w:eastAsia="zh-CN"/>
                    </w:rPr>
                  </w:pPr>
                  <w:r>
                    <w:rPr>
                      <w:rFonts w:hint="eastAsia" w:cs="Times New Roman"/>
                      <w:kern w:val="0"/>
                      <w:szCs w:val="21"/>
                      <w:lang w:val="en-US" w:eastAsia="zh-CN"/>
                    </w:rPr>
                    <w:t>/</w:t>
                  </w:r>
                </w:p>
              </w:tc>
              <w:tc>
                <w:tcPr>
                  <w:tcW w:w="805" w:type="pct"/>
                  <w:vMerge w:val="continue"/>
                  <w:tcBorders>
                    <w:tl2br w:val="nil"/>
                    <w:tr2bl w:val="nil"/>
                  </w:tcBorders>
                  <w:noWrap w:val="0"/>
                  <w:vAlign w:val="center"/>
                </w:tcPr>
                <w:p>
                  <w:pPr>
                    <w:pStyle w:val="63"/>
                    <w:keepNext w:val="0"/>
                    <w:keepLines w:val="0"/>
                    <w:pageBreakBefore w:val="0"/>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cs="Times New Roman"/>
                      <w:kern w:val="0"/>
                      <w:szCs w:val="21"/>
                    </w:rPr>
                  </w:pPr>
                </w:p>
              </w:tc>
            </w:tr>
          </w:tbl>
          <w:p>
            <w:pPr>
              <w:pStyle w:val="71"/>
              <w:numPr>
                <w:ilvl w:val="0"/>
                <w:numId w:val="1"/>
              </w:numPr>
              <w:bidi w:val="0"/>
              <w:ind w:left="0" w:leftChars="0" w:firstLine="480" w:firstLineChars="200"/>
              <w:rPr>
                <w:rFonts w:hint="eastAsia"/>
                <w:lang w:val="en-US" w:eastAsia="zh-CN"/>
              </w:rPr>
            </w:pPr>
            <w:r>
              <w:rPr>
                <w:rFonts w:hint="eastAsia"/>
                <w:lang w:val="en-US" w:eastAsia="zh-CN"/>
              </w:rPr>
              <w:t>达标分析</w:t>
            </w:r>
          </w:p>
          <w:p>
            <w:pPr>
              <w:pStyle w:val="72"/>
              <w:bidi w:val="0"/>
              <w:rPr>
                <w:rFonts w:hint="default"/>
                <w:lang w:val="en-US" w:eastAsia="zh-CN"/>
              </w:rPr>
            </w:pPr>
            <w:r>
              <w:rPr>
                <w:rFonts w:hint="eastAsia"/>
                <w:lang w:val="en-US" w:eastAsia="zh-CN"/>
              </w:rPr>
              <w:t xml:space="preserve">表4-6   </w:t>
            </w:r>
            <w:r>
              <w:rPr>
                <w:rFonts w:hint="default"/>
                <w:lang w:val="en-US" w:eastAsia="zh-CN"/>
              </w:rPr>
              <w:t>废水处理效率及</w:t>
            </w:r>
            <w:r>
              <w:rPr>
                <w:rFonts w:hint="eastAsia"/>
                <w:lang w:val="en-US" w:eastAsia="zh-CN"/>
              </w:rPr>
              <w:t>达标</w:t>
            </w:r>
            <w:r>
              <w:rPr>
                <w:rFonts w:hint="default"/>
                <w:lang w:val="en-US" w:eastAsia="zh-CN"/>
              </w:rPr>
              <w:t>情况一览表</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225"/>
              <w:gridCol w:w="841"/>
              <w:gridCol w:w="841"/>
              <w:gridCol w:w="841"/>
              <w:gridCol w:w="841"/>
              <w:gridCol w:w="841"/>
              <w:gridCol w:w="84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gridSpan w:val="2"/>
                  <w:vAlign w:val="center"/>
                </w:tcPr>
                <w:p>
                  <w:pPr>
                    <w:pStyle w:val="69"/>
                    <w:bidi w:val="0"/>
                    <w:jc w:val="center"/>
                    <w:rPr>
                      <w:rFonts w:hint="default"/>
                      <w:lang w:val="en-US" w:eastAsia="zh-CN"/>
                    </w:rPr>
                  </w:pPr>
                  <w:r>
                    <w:rPr>
                      <w:rFonts w:hint="eastAsia"/>
                      <w:lang w:val="en-US" w:eastAsia="zh-CN"/>
                    </w:rPr>
                    <w:t>废水</w:t>
                  </w:r>
                </w:p>
              </w:tc>
              <w:tc>
                <w:tcPr>
                  <w:tcW w:w="555" w:type="pct"/>
                  <w:vAlign w:val="center"/>
                </w:tcPr>
                <w:p>
                  <w:pPr>
                    <w:pStyle w:val="69"/>
                    <w:bidi w:val="0"/>
                    <w:jc w:val="center"/>
                    <w:rPr>
                      <w:rFonts w:hint="default"/>
                      <w:lang w:val="en-US" w:eastAsia="zh-CN"/>
                    </w:rPr>
                  </w:pPr>
                  <w:r>
                    <w:rPr>
                      <w:rFonts w:hint="eastAsia"/>
                      <w:lang w:val="en-US" w:eastAsia="zh-CN"/>
                    </w:rPr>
                    <w:t>废水量</w:t>
                  </w:r>
                </w:p>
              </w:tc>
              <w:tc>
                <w:tcPr>
                  <w:tcW w:w="555" w:type="pct"/>
                  <w:vAlign w:val="center"/>
                </w:tcPr>
                <w:p>
                  <w:pPr>
                    <w:pStyle w:val="69"/>
                    <w:bidi w:val="0"/>
                    <w:jc w:val="center"/>
                    <w:rPr>
                      <w:rFonts w:hint="default"/>
                      <w:lang w:val="en-US" w:eastAsia="zh-CN"/>
                    </w:rPr>
                  </w:pPr>
                  <w:r>
                    <w:rPr>
                      <w:rFonts w:hint="default"/>
                    </w:rPr>
                    <w:t>CODcr</w:t>
                  </w:r>
                </w:p>
              </w:tc>
              <w:tc>
                <w:tcPr>
                  <w:tcW w:w="555" w:type="pct"/>
                  <w:vAlign w:val="center"/>
                </w:tcPr>
                <w:p>
                  <w:pPr>
                    <w:pStyle w:val="69"/>
                    <w:bidi w:val="0"/>
                    <w:jc w:val="center"/>
                    <w:rPr>
                      <w:rFonts w:hint="default"/>
                      <w:lang w:val="en-US" w:eastAsia="zh-CN"/>
                    </w:rPr>
                  </w:pPr>
                  <w:r>
                    <w:rPr>
                      <w:rFonts w:hint="default"/>
                    </w:rPr>
                    <w:t>BOD5</w:t>
                  </w:r>
                </w:p>
              </w:tc>
              <w:tc>
                <w:tcPr>
                  <w:tcW w:w="555" w:type="pct"/>
                  <w:vAlign w:val="center"/>
                </w:tcPr>
                <w:p>
                  <w:pPr>
                    <w:pStyle w:val="69"/>
                    <w:bidi w:val="0"/>
                    <w:jc w:val="center"/>
                    <w:rPr>
                      <w:rFonts w:hint="default"/>
                      <w:lang w:val="en-US" w:eastAsia="zh-CN"/>
                    </w:rPr>
                  </w:pPr>
                  <w:r>
                    <w:rPr>
                      <w:rFonts w:hint="default"/>
                    </w:rPr>
                    <w:t>SS</w:t>
                  </w:r>
                </w:p>
              </w:tc>
              <w:tc>
                <w:tcPr>
                  <w:tcW w:w="555" w:type="pct"/>
                  <w:vAlign w:val="center"/>
                </w:tcPr>
                <w:p>
                  <w:pPr>
                    <w:pStyle w:val="69"/>
                    <w:bidi w:val="0"/>
                    <w:jc w:val="center"/>
                    <w:rPr>
                      <w:rFonts w:hint="default"/>
                      <w:lang w:val="en-US" w:eastAsia="zh-CN"/>
                    </w:rPr>
                  </w:pPr>
                  <w:r>
                    <w:rPr>
                      <w:rFonts w:hint="default"/>
                    </w:rPr>
                    <w:t>氨氮</w:t>
                  </w:r>
                </w:p>
              </w:tc>
              <w:tc>
                <w:tcPr>
                  <w:tcW w:w="555" w:type="pct"/>
                  <w:vAlign w:val="center"/>
                </w:tcPr>
                <w:p>
                  <w:pPr>
                    <w:pStyle w:val="69"/>
                    <w:bidi w:val="0"/>
                    <w:jc w:val="center"/>
                    <w:rPr>
                      <w:rFonts w:hint="default"/>
                      <w:lang w:val="en-US" w:eastAsia="zh-CN"/>
                    </w:rPr>
                  </w:pPr>
                  <w:r>
                    <w:rPr>
                      <w:rFonts w:hint="default"/>
                    </w:rPr>
                    <w:t>动植物油</w:t>
                  </w:r>
                </w:p>
              </w:tc>
              <w:tc>
                <w:tcPr>
                  <w:tcW w:w="555" w:type="pct"/>
                  <w:vAlign w:val="center"/>
                </w:tcPr>
                <w:p>
                  <w:pPr>
                    <w:pStyle w:val="69"/>
                    <w:bidi w:val="0"/>
                    <w:jc w:val="center"/>
                    <w:rPr>
                      <w:rFonts w:hint="default"/>
                      <w:lang w:val="en-US" w:eastAsia="zh-CN"/>
                    </w:rPr>
                  </w:pPr>
                  <w:r>
                    <w:rPr>
                      <w:rFonts w:hint="default"/>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vMerge w:val="restart"/>
                  <w:vAlign w:val="center"/>
                </w:tcPr>
                <w:p>
                  <w:pPr>
                    <w:pStyle w:val="69"/>
                    <w:bidi w:val="0"/>
                    <w:jc w:val="center"/>
                    <w:rPr>
                      <w:rFonts w:hint="default"/>
                      <w:lang w:val="en-US" w:eastAsia="zh-CN"/>
                    </w:rPr>
                  </w:pPr>
                  <w:r>
                    <w:rPr>
                      <w:rFonts w:hint="eastAsia"/>
                      <w:lang w:val="en-US" w:eastAsia="zh-CN"/>
                    </w:rPr>
                    <w:t>综合废水</w:t>
                  </w:r>
                </w:p>
              </w:tc>
              <w:tc>
                <w:tcPr>
                  <w:tcW w:w="809" w:type="pct"/>
                  <w:vAlign w:val="center"/>
                </w:tcPr>
                <w:p>
                  <w:pPr>
                    <w:pStyle w:val="69"/>
                    <w:bidi w:val="0"/>
                    <w:jc w:val="center"/>
                    <w:rPr>
                      <w:rFonts w:hint="default"/>
                      <w:lang w:val="en-US" w:eastAsia="zh-CN"/>
                    </w:rPr>
                  </w:pPr>
                  <w:r>
                    <w:rPr>
                      <w:rFonts w:hint="eastAsia"/>
                      <w:lang w:val="en-US" w:eastAsia="zh-CN"/>
                    </w:rPr>
                    <w:t>混合浓度（mg/L）</w:t>
                  </w:r>
                </w:p>
              </w:tc>
              <w:tc>
                <w:tcPr>
                  <w:tcW w:w="555" w:type="pct"/>
                  <w:vMerge w:val="restart"/>
                  <w:vAlign w:val="center"/>
                </w:tcPr>
                <w:p>
                  <w:pPr>
                    <w:pStyle w:val="69"/>
                    <w:bidi w:val="0"/>
                    <w:jc w:val="center"/>
                    <w:rPr>
                      <w:rFonts w:hint="default"/>
                      <w:lang w:val="en-US" w:eastAsia="zh-CN"/>
                    </w:rPr>
                  </w:pPr>
                  <w:r>
                    <w:rPr>
                      <w:rFonts w:hint="default"/>
                      <w:lang w:val="en-US" w:eastAsia="zh-CN"/>
                    </w:rPr>
                    <w:t>6546</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kern w:val="0"/>
                      <w:szCs w:val="21"/>
                      <w:lang w:val="en-US" w:eastAsia="zh-CN"/>
                    </w:rPr>
                    <w:t>1723</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860</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kern w:val="0"/>
                      <w:szCs w:val="21"/>
                      <w:lang w:val="en-US" w:eastAsia="zh-CN"/>
                    </w:rPr>
                    <w:t>859</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98</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124</w:t>
                  </w:r>
                </w:p>
              </w:tc>
              <w:tc>
                <w:tcPr>
                  <w:tcW w:w="555" w:type="pct"/>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default"/>
                      <w:lang w:val="en-US" w:eastAsia="zh-CN"/>
                    </w:rPr>
                  </w:pPr>
                  <w:r>
                    <w:rPr>
                      <w:rFonts w:hint="eastAsia" w:cs="Times New Roman"/>
                      <w:kern w:val="0"/>
                      <w:szCs w:val="21"/>
                      <w:lang w:val="en-US" w:eastAsia="zh-CN"/>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vMerge w:val="continue"/>
                  <w:vAlign w:val="center"/>
                </w:tcPr>
                <w:p>
                  <w:pPr>
                    <w:pStyle w:val="69"/>
                    <w:bidi w:val="0"/>
                    <w:jc w:val="center"/>
                    <w:rPr>
                      <w:rFonts w:hint="default"/>
                      <w:lang w:val="en-US" w:eastAsia="zh-CN"/>
                    </w:rPr>
                  </w:pPr>
                </w:p>
              </w:tc>
              <w:tc>
                <w:tcPr>
                  <w:tcW w:w="809" w:type="pct"/>
                  <w:vAlign w:val="center"/>
                </w:tcPr>
                <w:p>
                  <w:pPr>
                    <w:pStyle w:val="69"/>
                    <w:bidi w:val="0"/>
                    <w:jc w:val="center"/>
                    <w:rPr>
                      <w:rFonts w:hint="default"/>
                      <w:lang w:val="en-US" w:eastAsia="zh-CN"/>
                    </w:rPr>
                  </w:pPr>
                  <w:r>
                    <w:rPr>
                      <w:rFonts w:hint="eastAsia"/>
                      <w:lang w:val="en-US" w:eastAsia="zh-CN"/>
                    </w:rPr>
                    <w:t>排放浓度（mg/L）</w:t>
                  </w:r>
                </w:p>
              </w:tc>
              <w:tc>
                <w:tcPr>
                  <w:tcW w:w="555" w:type="pct"/>
                  <w:vMerge w:val="continue"/>
                  <w:vAlign w:val="center"/>
                </w:tcPr>
                <w:p>
                  <w:pPr>
                    <w:pStyle w:val="69"/>
                    <w:bidi w:val="0"/>
                    <w:jc w:val="center"/>
                    <w:rPr>
                      <w:rFonts w:hint="default"/>
                      <w:lang w:val="en-US" w:eastAsia="zh-CN"/>
                    </w:rPr>
                  </w:pP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kern w:val="0"/>
                      <w:szCs w:val="21"/>
                      <w:lang w:val="en-US" w:eastAsia="zh-CN"/>
                    </w:rPr>
                    <w:t>65</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22</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kern w:val="0"/>
                      <w:szCs w:val="21"/>
                      <w:lang w:val="en-US" w:eastAsia="zh-CN"/>
                    </w:rPr>
                    <w:t>37</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12</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10</w:t>
                  </w:r>
                </w:p>
              </w:tc>
              <w:tc>
                <w:tcPr>
                  <w:tcW w:w="555" w:type="pct"/>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default"/>
                      <w:lang w:val="en-US" w:eastAsia="zh-CN"/>
                    </w:rPr>
                  </w:pPr>
                  <w:r>
                    <w:rPr>
                      <w:rFonts w:hint="eastAsia" w:cs="Times New Roman"/>
                      <w:kern w:val="0"/>
                      <w:szCs w:val="21"/>
                      <w:lang w:val="en-US" w:eastAsia="zh-CN"/>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vMerge w:val="continue"/>
                  <w:vAlign w:val="center"/>
                </w:tcPr>
                <w:p>
                  <w:pPr>
                    <w:pStyle w:val="69"/>
                    <w:bidi w:val="0"/>
                    <w:jc w:val="center"/>
                    <w:rPr>
                      <w:rFonts w:hint="default"/>
                      <w:lang w:val="en-US" w:eastAsia="zh-CN"/>
                    </w:rPr>
                  </w:pPr>
                </w:p>
              </w:tc>
              <w:tc>
                <w:tcPr>
                  <w:tcW w:w="809" w:type="pct"/>
                  <w:vAlign w:val="center"/>
                </w:tcPr>
                <w:p>
                  <w:pPr>
                    <w:pStyle w:val="69"/>
                    <w:bidi w:val="0"/>
                    <w:jc w:val="center"/>
                    <w:rPr>
                      <w:rFonts w:hint="default"/>
                      <w:lang w:val="en-US" w:eastAsia="zh-CN"/>
                    </w:rPr>
                  </w:pPr>
                  <w:r>
                    <w:rPr>
                      <w:rFonts w:hint="eastAsia"/>
                      <w:lang w:val="en-US" w:eastAsia="zh-CN"/>
                    </w:rPr>
                    <w:t>处理效率（%）</w:t>
                  </w:r>
                </w:p>
              </w:tc>
              <w:tc>
                <w:tcPr>
                  <w:tcW w:w="555" w:type="pct"/>
                  <w:vMerge w:val="continue"/>
                  <w:vAlign w:val="center"/>
                </w:tcPr>
                <w:p>
                  <w:pPr>
                    <w:pStyle w:val="69"/>
                    <w:bidi w:val="0"/>
                    <w:jc w:val="center"/>
                    <w:rPr>
                      <w:rFonts w:hint="default"/>
                      <w:lang w:val="en-US" w:eastAsia="zh-CN"/>
                    </w:rPr>
                  </w:pP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kern w:val="0"/>
                      <w:szCs w:val="21"/>
                      <w:lang w:val="en-US" w:eastAsia="zh-CN"/>
                    </w:rPr>
                    <w:t>96.23</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97.44</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kern w:val="0"/>
                      <w:szCs w:val="21"/>
                      <w:lang w:val="en-US" w:eastAsia="zh-CN"/>
                    </w:rPr>
                    <w:t>95.69</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87.76</w:t>
                  </w:r>
                </w:p>
              </w:tc>
              <w:tc>
                <w:tcPr>
                  <w:tcW w:w="55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91.92</w:t>
                  </w:r>
                </w:p>
              </w:tc>
              <w:tc>
                <w:tcPr>
                  <w:tcW w:w="555" w:type="pct"/>
                  <w:vAlign w:val="center"/>
                </w:tcPr>
                <w:p>
                  <w:pPr>
                    <w:pStyle w:val="63"/>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center"/>
                    <w:rPr>
                      <w:rFonts w:hint="default"/>
                      <w:lang w:val="en-US" w:eastAsia="zh-CN"/>
                    </w:rPr>
                  </w:pPr>
                  <w:r>
                    <w:rPr>
                      <w:rFonts w:hint="eastAsia" w:cs="Times New Roman"/>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gridSpan w:val="3"/>
                  <w:vAlign w:val="center"/>
                </w:tcPr>
                <w:p>
                  <w:pPr>
                    <w:pStyle w:val="69"/>
                    <w:bidi w:val="0"/>
                    <w:jc w:val="center"/>
                    <w:rPr>
                      <w:rFonts w:hint="default"/>
                      <w:lang w:val="en-US" w:eastAsia="zh-CN"/>
                    </w:rPr>
                  </w:pPr>
                  <w:r>
                    <w:rPr>
                      <w:rFonts w:hint="default"/>
                      <w:lang w:val="en-US" w:eastAsia="zh-CN"/>
                    </w:rPr>
                    <w:t>《肉类加工工业水污染物排放标准》（GB13457-92）表3的三级标准</w:t>
                  </w:r>
                </w:p>
              </w:tc>
              <w:tc>
                <w:tcPr>
                  <w:tcW w:w="555" w:type="pct"/>
                  <w:vAlign w:val="center"/>
                </w:tcPr>
                <w:p>
                  <w:pPr>
                    <w:pStyle w:val="69"/>
                    <w:bidi w:val="0"/>
                    <w:jc w:val="center"/>
                    <w:rPr>
                      <w:rFonts w:hint="default"/>
                      <w:lang w:val="en-US" w:eastAsia="zh-CN"/>
                    </w:rPr>
                  </w:pPr>
                  <w:r>
                    <w:rPr>
                      <w:rFonts w:hint="eastAsia"/>
                      <w:lang w:val="en-US" w:eastAsia="zh-CN"/>
                    </w:rPr>
                    <w:t>500</w:t>
                  </w:r>
                </w:p>
              </w:tc>
              <w:tc>
                <w:tcPr>
                  <w:tcW w:w="555" w:type="pct"/>
                  <w:vAlign w:val="center"/>
                </w:tcPr>
                <w:p>
                  <w:pPr>
                    <w:pStyle w:val="69"/>
                    <w:bidi w:val="0"/>
                    <w:jc w:val="center"/>
                    <w:rPr>
                      <w:rFonts w:hint="default"/>
                      <w:lang w:val="en-US" w:eastAsia="zh-CN"/>
                    </w:rPr>
                  </w:pPr>
                  <w:r>
                    <w:rPr>
                      <w:rFonts w:hint="eastAsia"/>
                      <w:lang w:val="en-US" w:eastAsia="zh-CN"/>
                    </w:rPr>
                    <w:t>300</w:t>
                  </w:r>
                </w:p>
              </w:tc>
              <w:tc>
                <w:tcPr>
                  <w:tcW w:w="555" w:type="pct"/>
                  <w:vAlign w:val="center"/>
                </w:tcPr>
                <w:p>
                  <w:pPr>
                    <w:pStyle w:val="69"/>
                    <w:bidi w:val="0"/>
                    <w:jc w:val="center"/>
                    <w:rPr>
                      <w:rFonts w:hint="default"/>
                      <w:lang w:val="en-US" w:eastAsia="zh-CN"/>
                    </w:rPr>
                  </w:pPr>
                  <w:r>
                    <w:rPr>
                      <w:rFonts w:hint="eastAsia"/>
                      <w:lang w:val="en-US" w:eastAsia="zh-CN"/>
                    </w:rPr>
                    <w:t>400</w:t>
                  </w:r>
                </w:p>
              </w:tc>
              <w:tc>
                <w:tcPr>
                  <w:tcW w:w="555" w:type="pct"/>
                  <w:vAlign w:val="center"/>
                </w:tcPr>
                <w:p>
                  <w:pPr>
                    <w:pStyle w:val="69"/>
                    <w:bidi w:val="0"/>
                    <w:jc w:val="center"/>
                    <w:rPr>
                      <w:rFonts w:hint="default"/>
                      <w:lang w:val="en-US" w:eastAsia="zh-CN"/>
                    </w:rPr>
                  </w:pPr>
                  <w:r>
                    <w:rPr>
                      <w:rFonts w:hint="eastAsia"/>
                      <w:lang w:val="en-US" w:eastAsia="zh-CN"/>
                    </w:rPr>
                    <w:t>/</w:t>
                  </w:r>
                </w:p>
              </w:tc>
              <w:tc>
                <w:tcPr>
                  <w:tcW w:w="555" w:type="pct"/>
                  <w:vAlign w:val="center"/>
                </w:tcPr>
                <w:p>
                  <w:pPr>
                    <w:pStyle w:val="69"/>
                    <w:bidi w:val="0"/>
                    <w:jc w:val="center"/>
                    <w:rPr>
                      <w:rFonts w:hint="default"/>
                      <w:lang w:val="en-US" w:eastAsia="zh-CN"/>
                    </w:rPr>
                  </w:pPr>
                  <w:r>
                    <w:rPr>
                      <w:rFonts w:hint="eastAsia"/>
                      <w:lang w:val="en-US" w:eastAsia="zh-CN"/>
                    </w:rPr>
                    <w:t>60</w:t>
                  </w:r>
                </w:p>
              </w:tc>
              <w:tc>
                <w:tcPr>
                  <w:tcW w:w="555" w:type="pct"/>
                  <w:vAlign w:val="center"/>
                </w:tcPr>
                <w:p>
                  <w:pPr>
                    <w:pStyle w:val="69"/>
                    <w:bidi w:val="0"/>
                    <w:jc w:val="center"/>
                    <w:rPr>
                      <w:rFonts w:hint="default"/>
                      <w:lang w:val="en-US" w:eastAsia="zh-CN"/>
                    </w:rPr>
                  </w:pPr>
                  <w:r>
                    <w:rPr>
                      <w:rFonts w:hint="eastAsia"/>
                      <w:lang w:val="en-US" w:eastAsia="zh-CN"/>
                    </w:rPr>
                    <w:t>/</w:t>
                  </w:r>
                </w:p>
              </w:tc>
            </w:tr>
          </w:tbl>
          <w:p>
            <w:pPr>
              <w:pStyle w:val="71"/>
              <w:bidi w:val="0"/>
              <w:rPr>
                <w:rFonts w:hint="default"/>
                <w:lang w:val="en-US" w:eastAsia="zh-CN"/>
              </w:rPr>
            </w:pPr>
            <w:r>
              <w:rPr>
                <w:rFonts w:hint="default"/>
                <w:lang w:val="en-US" w:eastAsia="zh-CN"/>
              </w:rPr>
              <w:t>本项目废水主要为屠宰加工污水和生活污水，由上表可知，处理后的屠宰废水、生活污水达到《肉类加工工业水污染物排放标准》（GB13457-92）表3的</w:t>
            </w:r>
            <w:r>
              <w:rPr>
                <w:rFonts w:hint="eastAsia"/>
                <w:lang w:val="en-US" w:eastAsia="zh-CN"/>
              </w:rPr>
              <w:t>三</w:t>
            </w:r>
            <w:r>
              <w:rPr>
                <w:rFonts w:hint="default"/>
                <w:lang w:val="en-US" w:eastAsia="zh-CN"/>
              </w:rPr>
              <w:t>级标准值</w:t>
            </w:r>
            <w:r>
              <w:rPr>
                <w:rFonts w:hint="eastAsia"/>
                <w:lang w:val="en-US" w:eastAsia="zh-CN"/>
              </w:rPr>
              <w:t>后拉运至若羌县污水处理厂进行处理。</w:t>
            </w:r>
          </w:p>
          <w:p>
            <w:pPr>
              <w:pStyle w:val="2"/>
              <w:bidi w:val="0"/>
              <w:rPr>
                <w:rFonts w:hint="default"/>
              </w:rPr>
            </w:pPr>
            <w:r>
              <w:rPr>
                <w:rFonts w:hint="eastAsia"/>
                <w:lang w:val="en-US" w:eastAsia="zh-CN"/>
              </w:rPr>
              <w:t>2.3</w:t>
            </w:r>
            <w:r>
              <w:rPr>
                <w:rFonts w:hint="default"/>
              </w:rPr>
              <w:t>废</w:t>
            </w:r>
            <w:r>
              <w:rPr>
                <w:rFonts w:hint="default"/>
                <w:lang w:eastAsia="zh-CN"/>
              </w:rPr>
              <w:t>水</w:t>
            </w:r>
            <w:r>
              <w:rPr>
                <w:rFonts w:hint="default"/>
              </w:rPr>
              <w:t>污染防治措施可行性分析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color w:val="000000"/>
                <w:kern w:val="0"/>
                <w:sz w:val="24"/>
                <w:szCs w:val="24"/>
                <w:highlight w:val="none"/>
                <w:lang w:eastAsia="zh-CN"/>
              </w:rPr>
            </w:pPr>
            <w:r>
              <w:rPr>
                <w:rFonts w:hint="default" w:ascii="Times New Roman" w:hAnsi="Times New Roman" w:cs="Times New Roman"/>
                <w:sz w:val="24"/>
                <w:szCs w:val="24"/>
                <w:highlight w:val="none"/>
                <w:lang w:val="en-US" w:eastAsia="zh-CN"/>
              </w:rPr>
              <w:t>本项目生产废水排入</w:t>
            </w:r>
            <w:r>
              <w:rPr>
                <w:rFonts w:hint="default" w:ascii="Times New Roman" w:hAnsi="Times New Roman" w:cs="Times New Roman"/>
                <w:b w:val="0"/>
                <w:bCs w:val="0"/>
                <w:sz w:val="24"/>
                <w:szCs w:val="24"/>
                <w:lang w:val="en-US" w:eastAsia="zh-CN"/>
              </w:rPr>
              <w:t>厂区污水处理站进行处理</w:t>
            </w:r>
            <w:r>
              <w:rPr>
                <w:rFonts w:hint="eastAsia" w:cs="Times New Roman"/>
                <w:b w:val="0"/>
                <w:bCs w:val="0"/>
                <w:sz w:val="24"/>
                <w:szCs w:val="24"/>
                <w:lang w:val="en-US" w:eastAsia="zh-CN"/>
              </w:rPr>
              <w:t>后拉运到若羌县污水处理厂处理</w:t>
            </w:r>
            <w:r>
              <w:rPr>
                <w:rFonts w:hint="default" w:ascii="Times New Roman" w:hAnsi="Times New Roman" w:cs="Times New Roman"/>
                <w:b w:val="0"/>
                <w:bCs w:val="0"/>
                <w:sz w:val="24"/>
                <w:szCs w:val="24"/>
                <w:lang w:val="en-US" w:eastAsia="zh-CN"/>
              </w:rPr>
              <w:t>，污水处理站工艺为：“</w:t>
            </w:r>
            <w:r>
              <w:rPr>
                <w:rFonts w:hint="default" w:ascii="Times New Roman" w:hAnsi="Times New Roman" w:cs="Times New Roman"/>
                <w:sz w:val="24"/>
                <w:lang w:val="en-US" w:eastAsia="zh-CN"/>
              </w:rPr>
              <w:t>格栅+气浮+厌氧+好氧+沉淀+消毒</w:t>
            </w:r>
            <w:r>
              <w:rPr>
                <w:rFonts w:hint="default" w:ascii="Times New Roman" w:hAnsi="Times New Roman" w:cs="Times New Roman"/>
                <w:b w:val="0"/>
                <w:bCs w:val="0"/>
                <w:sz w:val="24"/>
                <w:szCs w:val="24"/>
                <w:lang w:val="en-US" w:eastAsia="zh-CN"/>
              </w:rPr>
              <w:t>”，根据</w:t>
            </w:r>
            <w:r>
              <w:rPr>
                <w:rFonts w:hint="default" w:ascii="Times New Roman" w:hAnsi="Times New Roman" w:eastAsia="宋体" w:cs="Times New Roman"/>
                <w:sz w:val="24"/>
                <w:szCs w:val="24"/>
                <w:highlight w:val="none"/>
                <w:lang w:val="en-US" w:eastAsia="zh-CN"/>
              </w:rPr>
              <w:t>《排污许可证申请与核发技术规范农副食品加工工业-屠宰及肉类加工业》（HJ 860.3-2018），该污水处理工艺可行。厂内自建污水处理站</w:t>
            </w:r>
            <w:r>
              <w:rPr>
                <w:rFonts w:hint="default" w:ascii="Times New Roman" w:hAnsi="Times New Roman" w:cs="Times New Roman"/>
                <w:b w:val="0"/>
                <w:bCs w:val="0"/>
                <w:sz w:val="24"/>
                <w:szCs w:val="24"/>
                <w:lang w:val="en-US" w:eastAsia="zh-CN"/>
              </w:rPr>
              <w:t>处理规模为</w:t>
            </w:r>
            <w:r>
              <w:rPr>
                <w:rFonts w:hint="eastAsia" w:cs="Times New Roman"/>
                <w:b w:val="0"/>
                <w:bCs w:val="0"/>
                <w:sz w:val="24"/>
                <w:szCs w:val="24"/>
                <w:lang w:val="en-US" w:eastAsia="zh-CN"/>
              </w:rPr>
              <w:t>50</w:t>
            </w:r>
            <w:r>
              <w:rPr>
                <w:rFonts w:hint="default" w:ascii="Times New Roman" w:hAnsi="Times New Roman" w:cs="Times New Roman"/>
                <w:b w:val="0"/>
                <w:bCs w:val="0"/>
                <w:sz w:val="24"/>
                <w:szCs w:val="24"/>
                <w:lang w:val="en-US" w:eastAsia="zh-CN"/>
              </w:rPr>
              <w:t>m³/d，本项目废水产生量为21.</w:t>
            </w:r>
            <w:r>
              <w:rPr>
                <w:rFonts w:hint="eastAsia" w:cs="Times New Roman"/>
                <w:b w:val="0"/>
                <w:bCs w:val="0"/>
                <w:sz w:val="24"/>
                <w:szCs w:val="24"/>
                <w:lang w:val="en-US" w:eastAsia="zh-CN"/>
              </w:rPr>
              <w:t>8</w:t>
            </w:r>
            <w:r>
              <w:rPr>
                <w:rFonts w:hint="default" w:ascii="Times New Roman" w:hAnsi="Times New Roman" w:cs="Times New Roman"/>
                <w:b w:val="0"/>
                <w:bCs w:val="0"/>
                <w:sz w:val="24"/>
                <w:szCs w:val="24"/>
                <w:lang w:val="en-US" w:eastAsia="zh-CN"/>
              </w:rPr>
              <w:t>2m³/d，处理能力满足需求</w:t>
            </w:r>
            <w:r>
              <w:rPr>
                <w:rFonts w:hint="default" w:ascii="Times New Roman" w:hAnsi="Times New Roman" w:cs="Times New Roman"/>
                <w:color w:val="000000"/>
                <w:kern w:val="0"/>
                <w:sz w:val="24"/>
                <w:szCs w:val="24"/>
                <w:highlight w:val="none"/>
                <w:lang w:eastAsia="zh-CN"/>
              </w:rPr>
              <w:t>。</w:t>
            </w:r>
          </w:p>
          <w:p>
            <w:pPr>
              <w:pStyle w:val="71"/>
              <w:bidi w:val="0"/>
              <w:rPr>
                <w:rFonts w:hint="default"/>
                <w:lang w:val="en-US" w:eastAsia="zh-CN"/>
              </w:rPr>
            </w:pPr>
            <w:r>
              <w:rPr>
                <w:rFonts w:hint="eastAsia"/>
                <w:lang w:val="en-US" w:eastAsia="zh-CN"/>
              </w:rPr>
              <w:t>若羌县</w:t>
            </w:r>
            <w:r>
              <w:rPr>
                <w:rFonts w:hint="default"/>
                <w:lang w:val="en-US" w:eastAsia="zh-CN"/>
              </w:rPr>
              <w:t>污水处理厂位于</w:t>
            </w:r>
            <w:r>
              <w:rPr>
                <w:rFonts w:hint="eastAsia"/>
                <w:lang w:val="en-US" w:eastAsia="zh-CN"/>
              </w:rPr>
              <w:t>若羌县城</w:t>
            </w:r>
            <w:r>
              <w:rPr>
                <w:rFonts w:hint="default"/>
                <w:lang w:val="en-US" w:eastAsia="zh-CN"/>
              </w:rPr>
              <w:t>以</w:t>
            </w:r>
            <w:r>
              <w:rPr>
                <w:rFonts w:hint="eastAsia"/>
                <w:lang w:val="en-US" w:eastAsia="zh-CN"/>
              </w:rPr>
              <w:t>北7.7</w:t>
            </w:r>
            <w:r>
              <w:rPr>
                <w:rFonts w:hint="default"/>
                <w:lang w:val="en-US" w:eastAsia="zh-CN"/>
              </w:rPr>
              <w:t>km处，位于项目区</w:t>
            </w:r>
            <w:r>
              <w:rPr>
                <w:rFonts w:hint="eastAsia"/>
                <w:lang w:val="en-US" w:eastAsia="zh-CN"/>
              </w:rPr>
              <w:t>东</w:t>
            </w:r>
            <w:r>
              <w:rPr>
                <w:rFonts w:hint="default"/>
                <w:lang w:val="en-US" w:eastAsia="zh-CN"/>
              </w:rPr>
              <w:t>偏北</w:t>
            </w:r>
            <w:r>
              <w:rPr>
                <w:rFonts w:hint="eastAsia"/>
                <w:lang w:val="en-US" w:eastAsia="zh-CN"/>
              </w:rPr>
              <w:t>85</w:t>
            </w:r>
            <w:r>
              <w:rPr>
                <w:rFonts w:hint="default"/>
                <w:lang w:val="en-US" w:eastAsia="zh-CN"/>
              </w:rPr>
              <w:t>km处。污水处理厂处理工艺采用A</w:t>
            </w:r>
            <w:r>
              <w:rPr>
                <w:rFonts w:hint="default"/>
                <w:vertAlign w:val="superscript"/>
                <w:lang w:val="en-US" w:eastAsia="zh-CN"/>
              </w:rPr>
              <w:t>2</w:t>
            </w:r>
            <w:r>
              <w:rPr>
                <w:rFonts w:hint="default"/>
                <w:lang w:val="en-US" w:eastAsia="zh-CN"/>
              </w:rPr>
              <w:t>/O</w:t>
            </w:r>
            <w:r>
              <w:rPr>
                <w:rFonts w:hint="eastAsia"/>
                <w:lang w:val="en-US" w:eastAsia="zh-CN"/>
              </w:rPr>
              <w:t>+深度处理</w:t>
            </w:r>
            <w:r>
              <w:rPr>
                <w:rFonts w:hint="default"/>
                <w:lang w:val="en-US" w:eastAsia="zh-CN"/>
              </w:rPr>
              <w:t>工艺，处理后的尾水水质</w:t>
            </w:r>
            <w:r>
              <w:rPr>
                <w:rFonts w:hint="eastAsia"/>
                <w:lang w:val="en-US" w:eastAsia="zh-CN"/>
              </w:rPr>
              <w:t>达到</w:t>
            </w:r>
            <w:r>
              <w:rPr>
                <w:rFonts w:hint="default"/>
                <w:lang w:val="en-US" w:eastAsia="zh-CN"/>
              </w:rPr>
              <w:t>《城镇污水处理厂污染物排放标准》（GB18918-2002）</w:t>
            </w:r>
            <w:r>
              <w:rPr>
                <w:rFonts w:hint="eastAsia"/>
                <w:lang w:val="en-US" w:eastAsia="zh-CN"/>
              </w:rPr>
              <w:t>及修改单表1中</w:t>
            </w:r>
            <w:r>
              <w:rPr>
                <w:rFonts w:hint="default"/>
                <w:lang w:val="en-US" w:eastAsia="zh-CN"/>
              </w:rPr>
              <w:t>一级</w:t>
            </w:r>
            <w:r>
              <w:rPr>
                <w:rFonts w:hint="eastAsia"/>
                <w:lang w:val="en-US" w:eastAsia="zh-CN"/>
              </w:rPr>
              <w:t>A</w:t>
            </w:r>
            <w:r>
              <w:rPr>
                <w:rFonts w:hint="default"/>
                <w:lang w:val="en-US" w:eastAsia="zh-CN"/>
              </w:rPr>
              <w:t>标准</w:t>
            </w:r>
            <w:r>
              <w:rPr>
                <w:rFonts w:hint="eastAsia"/>
                <w:lang w:val="en-US" w:eastAsia="zh-CN"/>
              </w:rPr>
              <w:t>和表2中的标准值，同时满足《城市污水再生利用 城市杂用水水质》（GB/T18920-2020）中绿化用水标准要求，用于218国道两侧生态林绿化灌溉。</w:t>
            </w:r>
            <w:r>
              <w:rPr>
                <w:rFonts w:hint="default"/>
                <w:lang w:val="en-US" w:eastAsia="zh-CN"/>
              </w:rPr>
              <w:t>于</w:t>
            </w:r>
            <w:r>
              <w:rPr>
                <w:rFonts w:hint="eastAsia"/>
                <w:lang w:val="en-US" w:eastAsia="zh-CN"/>
              </w:rPr>
              <w:t>2024年5月</w:t>
            </w:r>
            <w:r>
              <w:rPr>
                <w:rFonts w:hint="default"/>
                <w:lang w:val="en-US" w:eastAsia="zh-CN"/>
              </w:rPr>
              <w:t>取得环评批复，</w:t>
            </w:r>
            <w:r>
              <w:rPr>
                <w:rFonts w:hint="default"/>
                <w:highlight w:val="none"/>
                <w:lang w:val="en-US" w:eastAsia="zh-CN"/>
              </w:rPr>
              <w:t>详见附件。</w:t>
            </w:r>
            <w:r>
              <w:rPr>
                <w:rFonts w:hint="eastAsia"/>
                <w:highlight w:val="none"/>
                <w:lang w:val="en-US" w:eastAsia="zh-CN"/>
              </w:rPr>
              <w:t>2024年10</w:t>
            </w:r>
            <w:r>
              <w:rPr>
                <w:rFonts w:hint="default"/>
                <w:highlight w:val="none"/>
                <w:lang w:val="en-US" w:eastAsia="zh-CN"/>
              </w:rPr>
              <w:t>月</w:t>
            </w:r>
            <w:r>
              <w:rPr>
                <w:rFonts w:hint="eastAsia"/>
                <w:highlight w:val="none"/>
                <w:lang w:val="en-US" w:eastAsia="zh-CN"/>
              </w:rPr>
              <w:t>进行调试</w:t>
            </w:r>
            <w:r>
              <w:rPr>
                <w:rFonts w:hint="default"/>
                <w:highlight w:val="none"/>
                <w:lang w:val="en-US" w:eastAsia="zh-CN"/>
              </w:rPr>
              <w:t>，</w:t>
            </w:r>
            <w:r>
              <w:rPr>
                <w:rFonts w:hint="eastAsia"/>
                <w:highlight w:val="none"/>
                <w:lang w:val="en-US" w:eastAsia="zh-CN"/>
              </w:rPr>
              <w:t>2025年3月</w:t>
            </w:r>
            <w:r>
              <w:rPr>
                <w:rFonts w:hint="default"/>
                <w:highlight w:val="none"/>
                <w:lang w:val="en-US" w:eastAsia="zh-CN"/>
              </w:rPr>
              <w:t>通过了环保“三同时”验收，取得验收意见，详见附件</w:t>
            </w:r>
            <w:r>
              <w:rPr>
                <w:rFonts w:hint="default"/>
                <w:lang w:val="en-US" w:eastAsia="zh-CN"/>
              </w:rPr>
              <w:t>。污水处理厂设计处理能力为</w:t>
            </w:r>
            <w:r>
              <w:rPr>
                <w:rFonts w:hint="eastAsia"/>
                <w:lang w:val="en-US" w:eastAsia="zh-CN"/>
              </w:rPr>
              <w:t>1万</w:t>
            </w:r>
            <w:r>
              <w:rPr>
                <w:rFonts w:hint="default"/>
                <w:lang w:val="en-US" w:eastAsia="zh-CN"/>
              </w:rPr>
              <w:t>m</w:t>
            </w:r>
            <w:r>
              <w:rPr>
                <w:rFonts w:hint="default"/>
                <w:vertAlign w:val="superscript"/>
                <w:lang w:val="en-US" w:eastAsia="zh-CN"/>
              </w:rPr>
              <w:t>3</w:t>
            </w:r>
            <w:r>
              <w:rPr>
                <w:rFonts w:hint="default"/>
                <w:lang w:val="en-US" w:eastAsia="zh-CN"/>
              </w:rPr>
              <w:t>/d，污水处理厂余量充足，污水处理厂运行正常，出水水质稳定可做到达标排放。</w:t>
            </w:r>
          </w:p>
          <w:p>
            <w:pPr>
              <w:pStyle w:val="71"/>
              <w:bidi w:val="0"/>
              <w:rPr>
                <w:rFonts w:hint="default"/>
                <w:lang w:val="en-US" w:eastAsia="zh-CN"/>
              </w:rPr>
            </w:pPr>
            <w:r>
              <w:rPr>
                <w:rFonts w:hint="default"/>
                <w:lang w:val="en-US" w:eastAsia="zh-CN"/>
              </w:rPr>
              <w:t>本项目</w:t>
            </w:r>
            <w:r>
              <w:rPr>
                <w:rFonts w:hint="eastAsia"/>
                <w:lang w:val="en-US" w:eastAsia="zh-CN"/>
              </w:rPr>
              <w:t>生产废水</w:t>
            </w:r>
            <w:r>
              <w:rPr>
                <w:rFonts w:hint="default"/>
                <w:lang w:val="en-US" w:eastAsia="zh-CN"/>
              </w:rPr>
              <w:t>排放总量为21.</w:t>
            </w:r>
            <w:r>
              <w:rPr>
                <w:rFonts w:hint="eastAsia"/>
                <w:lang w:val="en-US" w:eastAsia="zh-CN"/>
              </w:rPr>
              <w:t>8</w:t>
            </w:r>
            <w:r>
              <w:rPr>
                <w:rFonts w:hint="default"/>
                <w:lang w:val="en-US" w:eastAsia="zh-CN"/>
              </w:rPr>
              <w:t>2m</w:t>
            </w:r>
            <w:r>
              <w:rPr>
                <w:rFonts w:hint="default"/>
                <w:vertAlign w:val="superscript"/>
                <w:lang w:val="en-US" w:eastAsia="zh-CN"/>
              </w:rPr>
              <w:t>3</w:t>
            </w:r>
            <w:r>
              <w:rPr>
                <w:rFonts w:hint="default"/>
                <w:lang w:val="en-US" w:eastAsia="zh-CN"/>
              </w:rPr>
              <w:t>/d，符合污水处理厂接收</w:t>
            </w:r>
            <w:r>
              <w:rPr>
                <w:rFonts w:hint="eastAsia"/>
                <w:lang w:val="en-US" w:eastAsia="zh-CN"/>
              </w:rPr>
              <w:t>生产废水</w:t>
            </w:r>
            <w:r>
              <w:rPr>
                <w:rFonts w:hint="default"/>
                <w:lang w:val="en-US" w:eastAsia="zh-CN"/>
              </w:rPr>
              <w:t>水质要求，水量也远小于设计规模，因此本项目废水由若羌县污水处理厂处理可行。</w:t>
            </w:r>
          </w:p>
          <w:p>
            <w:pPr>
              <w:pStyle w:val="70"/>
              <w:bidi w:val="0"/>
              <w:rPr>
                <w:rFonts w:hint="default"/>
                <w:lang w:val="en-US" w:eastAsia="zh-CN"/>
              </w:rPr>
            </w:pPr>
            <w:r>
              <w:rPr>
                <w:rFonts w:hint="eastAsia"/>
                <w:lang w:val="en-US" w:eastAsia="zh-CN"/>
              </w:rPr>
              <w:t>2.4</w:t>
            </w:r>
            <w:r>
              <w:rPr>
                <w:rFonts w:hint="default"/>
                <w:lang w:val="en-US" w:eastAsia="zh-CN"/>
              </w:rPr>
              <w:t>废水排放口基本信息</w:t>
            </w:r>
          </w:p>
          <w:p>
            <w:pPr>
              <w:pStyle w:val="71"/>
              <w:bidi w:val="0"/>
              <w:rPr>
                <w:rFonts w:hint="default"/>
                <w:lang w:val="en-US" w:eastAsia="zh-CN"/>
              </w:rPr>
            </w:pPr>
            <w:r>
              <w:rPr>
                <w:rFonts w:hint="default"/>
                <w:lang w:val="en-US" w:eastAsia="zh-CN"/>
              </w:rPr>
              <w:t>本项目废水排放口基本信息详见下表。</w:t>
            </w:r>
          </w:p>
          <w:p>
            <w:pPr>
              <w:pStyle w:val="72"/>
              <w:bidi w:val="0"/>
              <w:rPr>
                <w:rFonts w:hint="default"/>
                <w:lang w:val="en-US" w:eastAsia="zh-CN"/>
              </w:rPr>
            </w:pPr>
            <w:r>
              <w:rPr>
                <w:rFonts w:hint="default"/>
                <w:lang w:val="en-US" w:eastAsia="zh-CN"/>
              </w:rPr>
              <w:t>表4-</w:t>
            </w:r>
            <w:r>
              <w:rPr>
                <w:rFonts w:hint="eastAsia"/>
                <w:lang w:val="en-US" w:eastAsia="zh-CN"/>
              </w:rPr>
              <w:t>7</w:t>
            </w:r>
            <w:r>
              <w:rPr>
                <w:rFonts w:hint="default"/>
                <w:lang w:val="en-US" w:eastAsia="zh-CN"/>
              </w:rPr>
              <w:t xml:space="preserve">   废水排放口基本信息一览表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900"/>
              <w:gridCol w:w="1581"/>
              <w:gridCol w:w="1303"/>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pct"/>
                  <w:vMerge w:val="restart"/>
                  <w:vAlign w:val="center"/>
                </w:tcPr>
                <w:p>
                  <w:pPr>
                    <w:pStyle w:val="69"/>
                    <w:bidi w:val="0"/>
                    <w:rPr>
                      <w:rFonts w:hint="default"/>
                      <w:lang w:val="en-US" w:eastAsia="zh-CN"/>
                    </w:rPr>
                  </w:pPr>
                  <w:r>
                    <w:rPr>
                      <w:rFonts w:hint="default"/>
                      <w:lang w:val="en-US" w:eastAsia="zh-CN"/>
                    </w:rPr>
                    <w:t>废水类别</w:t>
                  </w:r>
                </w:p>
              </w:tc>
              <w:tc>
                <w:tcPr>
                  <w:tcW w:w="594" w:type="pct"/>
                  <w:vMerge w:val="restart"/>
                  <w:vAlign w:val="center"/>
                </w:tcPr>
                <w:p>
                  <w:pPr>
                    <w:pStyle w:val="69"/>
                    <w:bidi w:val="0"/>
                    <w:rPr>
                      <w:rFonts w:hint="default"/>
                      <w:lang w:val="en-US" w:eastAsia="zh-CN"/>
                    </w:rPr>
                  </w:pPr>
                  <w:r>
                    <w:rPr>
                      <w:rFonts w:hint="default"/>
                      <w:lang w:val="en-US" w:eastAsia="zh-CN"/>
                    </w:rPr>
                    <w:t>排放口编号</w:t>
                  </w:r>
                </w:p>
              </w:tc>
              <w:tc>
                <w:tcPr>
                  <w:tcW w:w="1904" w:type="pct"/>
                  <w:gridSpan w:val="2"/>
                  <w:vAlign w:val="center"/>
                </w:tcPr>
                <w:p>
                  <w:pPr>
                    <w:pStyle w:val="69"/>
                    <w:bidi w:val="0"/>
                    <w:rPr>
                      <w:rFonts w:hint="default"/>
                      <w:lang w:val="en-US" w:eastAsia="zh-CN"/>
                    </w:rPr>
                  </w:pPr>
                  <w:r>
                    <w:rPr>
                      <w:rFonts w:hint="default"/>
                      <w:lang w:val="en-US" w:eastAsia="zh-CN"/>
                    </w:rPr>
                    <w:t>排放口基本信息</w:t>
                  </w:r>
                </w:p>
              </w:tc>
              <w:tc>
                <w:tcPr>
                  <w:tcW w:w="1511" w:type="pct"/>
                  <w:vAlign w:val="center"/>
                </w:tcPr>
                <w:p>
                  <w:pPr>
                    <w:pStyle w:val="69"/>
                    <w:bidi w:val="0"/>
                    <w:rPr>
                      <w:rFonts w:hint="default"/>
                      <w:lang w:val="en-US" w:eastAsia="zh-CN"/>
                    </w:rPr>
                  </w:pPr>
                  <w:r>
                    <w:rPr>
                      <w:rFonts w:hint="default"/>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88" w:type="pct"/>
                  <w:vMerge w:val="continue"/>
                  <w:vAlign w:val="center"/>
                </w:tcPr>
                <w:p>
                  <w:pPr>
                    <w:pStyle w:val="69"/>
                    <w:bidi w:val="0"/>
                    <w:rPr>
                      <w:rFonts w:hint="default"/>
                      <w:lang w:val="en-US" w:eastAsia="zh-CN"/>
                    </w:rPr>
                  </w:pPr>
                </w:p>
              </w:tc>
              <w:tc>
                <w:tcPr>
                  <w:tcW w:w="594" w:type="pct"/>
                  <w:vMerge w:val="continue"/>
                  <w:vAlign w:val="center"/>
                </w:tcPr>
                <w:p>
                  <w:pPr>
                    <w:pStyle w:val="69"/>
                    <w:bidi w:val="0"/>
                    <w:rPr>
                      <w:rFonts w:hint="default"/>
                      <w:lang w:val="en-US" w:eastAsia="zh-CN"/>
                    </w:rPr>
                  </w:pPr>
                </w:p>
              </w:tc>
              <w:tc>
                <w:tcPr>
                  <w:tcW w:w="1044" w:type="pct"/>
                  <w:vAlign w:val="center"/>
                </w:tcPr>
                <w:p>
                  <w:pPr>
                    <w:pStyle w:val="69"/>
                    <w:bidi w:val="0"/>
                    <w:rPr>
                      <w:rFonts w:hint="default"/>
                      <w:lang w:val="en-US" w:eastAsia="zh-CN"/>
                    </w:rPr>
                  </w:pPr>
                  <w:r>
                    <w:rPr>
                      <w:rFonts w:hint="default"/>
                      <w:lang w:val="en-US" w:eastAsia="zh-CN"/>
                    </w:rPr>
                    <w:t>坐标</w:t>
                  </w:r>
                </w:p>
              </w:tc>
              <w:tc>
                <w:tcPr>
                  <w:tcW w:w="860" w:type="pct"/>
                  <w:vAlign w:val="center"/>
                </w:tcPr>
                <w:p>
                  <w:pPr>
                    <w:pStyle w:val="69"/>
                    <w:bidi w:val="0"/>
                    <w:rPr>
                      <w:rFonts w:hint="default"/>
                      <w:lang w:val="en-US" w:eastAsia="zh-CN"/>
                    </w:rPr>
                  </w:pPr>
                  <w:r>
                    <w:rPr>
                      <w:rFonts w:hint="default"/>
                      <w:lang w:val="en-US" w:eastAsia="zh-CN"/>
                    </w:rPr>
                    <w:t>类型</w:t>
                  </w:r>
                </w:p>
              </w:tc>
              <w:tc>
                <w:tcPr>
                  <w:tcW w:w="1511" w:type="pct"/>
                  <w:vMerge w:val="restart"/>
                  <w:vAlign w:val="center"/>
                </w:tcPr>
                <w:p>
                  <w:pPr>
                    <w:pStyle w:val="69"/>
                    <w:bidi w:val="0"/>
                    <w:rPr>
                      <w:rFonts w:hint="default"/>
                      <w:lang w:val="en-US" w:eastAsia="zh-CN"/>
                    </w:rPr>
                  </w:pPr>
                  <w:r>
                    <w:rPr>
                      <w:rFonts w:hint="default"/>
                      <w:lang w:val="en-US" w:eastAsia="zh-CN"/>
                    </w:rPr>
                    <w:t>生产废水</w:t>
                  </w:r>
                  <w:r>
                    <w:rPr>
                      <w:rFonts w:hint="eastAsia"/>
                      <w:lang w:val="en-US" w:eastAsia="zh-CN"/>
                    </w:rPr>
                    <w:t>、生活污水</w:t>
                  </w:r>
                  <w:r>
                    <w:rPr>
                      <w:rFonts w:hint="default"/>
                      <w:lang w:val="en-US" w:eastAsia="zh-CN"/>
                    </w:rPr>
                    <w:t>排入厂区污水处理站进行处理后拉运到若羌县污水处理厂处理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vAlign w:val="center"/>
                </w:tcPr>
                <w:p>
                  <w:pPr>
                    <w:pStyle w:val="69"/>
                    <w:bidi w:val="0"/>
                    <w:rPr>
                      <w:rFonts w:hint="default"/>
                      <w:lang w:val="en-US" w:eastAsia="zh-CN"/>
                    </w:rPr>
                  </w:pPr>
                  <w:r>
                    <w:rPr>
                      <w:rFonts w:hint="default"/>
                      <w:lang w:val="en-US" w:eastAsia="zh-CN"/>
                    </w:rPr>
                    <w:t>厂内综合污水处理站的综合</w:t>
                  </w:r>
                </w:p>
                <w:p>
                  <w:pPr>
                    <w:pStyle w:val="69"/>
                    <w:bidi w:val="0"/>
                    <w:rPr>
                      <w:rFonts w:hint="default"/>
                      <w:lang w:val="en-US" w:eastAsia="zh-CN"/>
                    </w:rPr>
                  </w:pPr>
                  <w:r>
                    <w:rPr>
                      <w:rFonts w:hint="default"/>
                      <w:lang w:val="en-US" w:eastAsia="zh-CN"/>
                    </w:rPr>
                    <w:t>污水</w:t>
                  </w:r>
                </w:p>
              </w:tc>
              <w:tc>
                <w:tcPr>
                  <w:tcW w:w="594" w:type="pct"/>
                  <w:vAlign w:val="center"/>
                </w:tcPr>
                <w:p>
                  <w:pPr>
                    <w:pStyle w:val="69"/>
                    <w:bidi w:val="0"/>
                    <w:rPr>
                      <w:rFonts w:hint="default"/>
                      <w:lang w:val="en-US" w:eastAsia="zh-CN"/>
                    </w:rPr>
                  </w:pPr>
                  <w:r>
                    <w:rPr>
                      <w:rFonts w:hint="default"/>
                      <w:lang w:val="en-US" w:eastAsia="zh-CN"/>
                    </w:rPr>
                    <w:t>DW001</w:t>
                  </w:r>
                </w:p>
              </w:tc>
              <w:tc>
                <w:tcPr>
                  <w:tcW w:w="1044" w:type="pct"/>
                  <w:vAlign w:val="center"/>
                </w:tcPr>
                <w:p>
                  <w:pPr>
                    <w:pStyle w:val="69"/>
                    <w:bidi w:val="0"/>
                    <w:rPr>
                      <w:rFonts w:hint="eastAsia"/>
                      <w:highlight w:val="none"/>
                      <w:lang w:val="en-US" w:eastAsia="zh-CN"/>
                    </w:rPr>
                  </w:pPr>
                  <w:r>
                    <w:rPr>
                      <w:rFonts w:hint="default"/>
                      <w:highlight w:val="none"/>
                      <w:lang w:val="en-US" w:eastAsia="zh-CN"/>
                    </w:rPr>
                    <w:t>E87°21′12.85</w:t>
                  </w:r>
                  <w:r>
                    <w:rPr>
                      <w:rFonts w:hint="eastAsia"/>
                      <w:highlight w:val="none"/>
                      <w:lang w:val="en-US" w:eastAsia="zh-CN"/>
                    </w:rPr>
                    <w:t>6</w:t>
                  </w:r>
                  <w:r>
                    <w:rPr>
                      <w:rFonts w:hint="default"/>
                      <w:highlight w:val="none"/>
                      <w:lang w:val="en-US" w:eastAsia="zh-CN"/>
                    </w:rPr>
                    <w:t>″</w:t>
                  </w:r>
                  <w:r>
                    <w:rPr>
                      <w:rFonts w:hint="eastAsia"/>
                      <w:highlight w:val="none"/>
                      <w:lang w:val="en-US" w:eastAsia="zh-CN"/>
                    </w:rPr>
                    <w:t>，</w:t>
                  </w:r>
                </w:p>
                <w:p>
                  <w:pPr>
                    <w:pStyle w:val="69"/>
                    <w:bidi w:val="0"/>
                    <w:rPr>
                      <w:rFonts w:hint="default"/>
                      <w:lang w:val="en-US" w:eastAsia="zh-CN"/>
                    </w:rPr>
                  </w:pPr>
                  <w:r>
                    <w:rPr>
                      <w:rFonts w:hint="default"/>
                      <w:highlight w:val="none"/>
                      <w:lang w:val="en-US" w:eastAsia="zh-CN"/>
                    </w:rPr>
                    <w:t>N38°40′0.</w:t>
                  </w:r>
                  <w:r>
                    <w:rPr>
                      <w:rFonts w:hint="eastAsia"/>
                      <w:highlight w:val="none"/>
                      <w:lang w:val="en-US" w:eastAsia="zh-CN"/>
                    </w:rPr>
                    <w:t>200</w:t>
                  </w:r>
                  <w:r>
                    <w:rPr>
                      <w:rFonts w:hint="default"/>
                      <w:highlight w:val="none"/>
                      <w:lang w:val="en-US" w:eastAsia="zh-CN"/>
                    </w:rPr>
                    <w:t>″</w:t>
                  </w:r>
                </w:p>
              </w:tc>
              <w:tc>
                <w:tcPr>
                  <w:tcW w:w="860" w:type="pct"/>
                  <w:vAlign w:val="center"/>
                </w:tcPr>
                <w:p>
                  <w:pPr>
                    <w:pStyle w:val="69"/>
                    <w:bidi w:val="0"/>
                    <w:rPr>
                      <w:rFonts w:hint="default"/>
                      <w:lang w:val="en-US" w:eastAsia="zh-CN"/>
                    </w:rPr>
                  </w:pPr>
                  <w:r>
                    <w:rPr>
                      <w:rFonts w:hint="eastAsia"/>
                      <w:lang w:val="en-US" w:eastAsia="zh-CN"/>
                    </w:rPr>
                    <w:t>企业总排口</w:t>
                  </w:r>
                </w:p>
              </w:tc>
              <w:tc>
                <w:tcPr>
                  <w:tcW w:w="1511" w:type="pct"/>
                  <w:vMerge w:val="continue"/>
                  <w:vAlign w:val="center"/>
                </w:tcPr>
                <w:p>
                  <w:pPr>
                    <w:pStyle w:val="69"/>
                    <w:bidi w:val="0"/>
                    <w:rPr>
                      <w:rFonts w:hint="default"/>
                      <w:lang w:val="en-US" w:eastAsia="zh-CN"/>
                    </w:rPr>
                  </w:pPr>
                </w:p>
              </w:tc>
            </w:tr>
          </w:tbl>
          <w:p>
            <w:pPr>
              <w:pStyle w:val="70"/>
              <w:bidi w:val="0"/>
              <w:rPr>
                <w:rFonts w:hint="default"/>
                <w:lang w:val="en-US" w:eastAsia="zh-CN"/>
              </w:rPr>
            </w:pPr>
            <w:r>
              <w:rPr>
                <w:rFonts w:hint="eastAsia"/>
                <w:lang w:val="en-US" w:eastAsia="zh-CN"/>
              </w:rPr>
              <w:t>2.5废水监测计划</w:t>
            </w:r>
          </w:p>
          <w:p>
            <w:pPr>
              <w:pStyle w:val="71"/>
              <w:bidi w:val="0"/>
              <w:rPr>
                <w:rFonts w:hint="default" w:ascii="Times New Roman" w:hAnsi="Times New Roman" w:eastAsia="宋体" w:cs="Times New Roman"/>
                <w:szCs w:val="24"/>
                <w:lang w:val="en-US" w:eastAsia="zh-CN"/>
              </w:rPr>
            </w:pPr>
            <w:r>
              <w:rPr>
                <w:rFonts w:hint="default"/>
                <w:lang w:eastAsia="zh-CN"/>
              </w:rPr>
              <w:t>根据《排污许可证申请与核发技术规范</w:t>
            </w:r>
            <w:r>
              <w:rPr>
                <w:rFonts w:hint="default"/>
                <w:lang w:val="en-US" w:eastAsia="zh-CN"/>
              </w:rPr>
              <w:t>农副食品加工工业-屠宰及肉类加工</w:t>
            </w:r>
            <w:r>
              <w:rPr>
                <w:rFonts w:hint="default"/>
                <w:lang w:eastAsia="zh-CN"/>
              </w:rPr>
              <w:t>》（</w:t>
            </w:r>
            <w:r>
              <w:rPr>
                <w:rFonts w:hint="default"/>
                <w:lang w:val="en-US" w:eastAsia="zh-CN"/>
              </w:rPr>
              <w:t>HJ860.3-2018</w:t>
            </w:r>
            <w:r>
              <w:rPr>
                <w:rFonts w:hint="default"/>
                <w:lang w:eastAsia="zh-CN"/>
              </w:rPr>
              <w:t>）、《</w:t>
            </w:r>
            <w:r>
              <w:rPr>
                <w:rFonts w:hint="default"/>
              </w:rPr>
              <w:t>排污单位自行监测技术指南</w:t>
            </w:r>
            <w:r>
              <w:rPr>
                <w:rFonts w:hint="default"/>
                <w:lang w:val="en-US" w:eastAsia="zh-CN"/>
              </w:rPr>
              <w:t>农副食品加工业</w:t>
            </w:r>
            <w:r>
              <w:rPr>
                <w:rFonts w:hint="default"/>
                <w:lang w:eastAsia="zh-CN"/>
              </w:rPr>
              <w:t>》（</w:t>
            </w:r>
            <w:r>
              <w:rPr>
                <w:rFonts w:hint="default"/>
                <w:lang w:val="en-US" w:eastAsia="zh-CN"/>
              </w:rPr>
              <w:t>HJ986-2018</w:t>
            </w:r>
            <w:r>
              <w:rPr>
                <w:rFonts w:hint="default"/>
                <w:lang w:eastAsia="zh-CN"/>
              </w:rPr>
              <w:t>），</w:t>
            </w:r>
            <w:r>
              <w:rPr>
                <w:rFonts w:hint="default"/>
                <w:lang w:val="en-US" w:eastAsia="zh-CN"/>
              </w:rPr>
              <w:t>本项目废水监测计划详见下表</w:t>
            </w:r>
            <w:r>
              <w:rPr>
                <w:rFonts w:hint="default"/>
                <w:lang w:eastAsia="zh-CN"/>
              </w:rPr>
              <w:t>。</w:t>
            </w:r>
          </w:p>
          <w:p>
            <w:pPr>
              <w:pStyle w:val="72"/>
              <w:bidi w:val="0"/>
              <w:rPr>
                <w:rFonts w:hint="default"/>
              </w:rPr>
            </w:pPr>
            <w:r>
              <w:rPr>
                <w:rFonts w:hint="default"/>
              </w:rPr>
              <w:t>表</w:t>
            </w:r>
            <w:r>
              <w:rPr>
                <w:rFonts w:hint="default"/>
                <w:lang w:val="en-US" w:eastAsia="zh-CN"/>
              </w:rPr>
              <w:t>4-</w:t>
            </w:r>
            <w:r>
              <w:rPr>
                <w:rFonts w:hint="eastAsia"/>
                <w:lang w:val="en-US" w:eastAsia="zh-CN"/>
              </w:rPr>
              <w:t xml:space="preserve">8   </w:t>
            </w:r>
            <w:r>
              <w:rPr>
                <w:rFonts w:hint="default"/>
              </w:rPr>
              <w:t>废水环境监测计划</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472"/>
              <w:gridCol w:w="894"/>
              <w:gridCol w:w="750"/>
              <w:gridCol w:w="885"/>
              <w:gridCol w:w="877"/>
              <w:gridCol w:w="600"/>
              <w:gridCol w:w="1186"/>
              <w:gridCol w:w="4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排放口编号</w:t>
                  </w:r>
                </w:p>
              </w:tc>
              <w:tc>
                <w:tcPr>
                  <w:tcW w:w="31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排放方式</w:t>
                  </w:r>
                </w:p>
              </w:tc>
              <w:tc>
                <w:tcPr>
                  <w:tcW w:w="59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排放去向</w:t>
                  </w:r>
                </w:p>
              </w:tc>
              <w:tc>
                <w:tcPr>
                  <w:tcW w:w="49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排放规律</w:t>
                  </w:r>
                </w:p>
              </w:tc>
              <w:tc>
                <w:tcPr>
                  <w:tcW w:w="116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排放口</w:t>
                  </w:r>
                  <w:r>
                    <w:rPr>
                      <w:rFonts w:hint="default" w:ascii="Times New Roman" w:hAnsi="Times New Roman" w:cs="Times New Roman"/>
                      <w:szCs w:val="21"/>
                      <w:lang w:eastAsia="zh-CN"/>
                    </w:rPr>
                    <w:t>基本</w:t>
                  </w:r>
                  <w:r>
                    <w:rPr>
                      <w:rFonts w:hint="default" w:ascii="Times New Roman" w:hAnsi="Times New Roman" w:cs="Times New Roman"/>
                      <w:szCs w:val="21"/>
                    </w:rPr>
                    <w:t>情况</w:t>
                  </w:r>
                </w:p>
              </w:tc>
              <w:tc>
                <w:tcPr>
                  <w:tcW w:w="1499"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监测要求</w:t>
                  </w:r>
                </w:p>
              </w:tc>
              <w:tc>
                <w:tcPr>
                  <w:tcW w:w="6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lang w:eastAsia="zh-CN"/>
                    </w:rPr>
                    <w:t>排放</w:t>
                  </w:r>
                  <w:r>
                    <w:rPr>
                      <w:rFonts w:hint="default" w:ascii="Times New Roman" w:hAnsi="Times New Roman" w:cs="Times New Roman"/>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rPr>
                  </w:pPr>
                </w:p>
              </w:tc>
              <w:tc>
                <w:tcPr>
                  <w:tcW w:w="3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rPr>
                  </w:pPr>
                </w:p>
              </w:tc>
              <w:tc>
                <w:tcPr>
                  <w:tcW w:w="59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rPr>
                  </w:pPr>
                </w:p>
              </w:tc>
              <w:tc>
                <w:tcPr>
                  <w:tcW w:w="49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rPr>
                  </w:pPr>
                </w:p>
              </w:tc>
              <w:tc>
                <w:tcPr>
                  <w:tcW w:w="58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坐标</w:t>
                  </w:r>
                </w:p>
              </w:tc>
              <w:tc>
                <w:tcPr>
                  <w:tcW w:w="5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类型</w:t>
                  </w:r>
                </w:p>
              </w:tc>
              <w:tc>
                <w:tcPr>
                  <w:tcW w:w="3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监测点位</w:t>
                  </w:r>
                </w:p>
              </w:tc>
              <w:tc>
                <w:tcPr>
                  <w:tcW w:w="7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监测因子</w:t>
                  </w:r>
                </w:p>
              </w:tc>
              <w:tc>
                <w:tcPr>
                  <w:tcW w:w="3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监测频次</w:t>
                  </w:r>
                </w:p>
              </w:tc>
              <w:tc>
                <w:tcPr>
                  <w:tcW w:w="6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DW001</w:t>
                  </w:r>
                </w:p>
              </w:tc>
              <w:tc>
                <w:tcPr>
                  <w:tcW w:w="3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间接排放</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cs="Times New Roman"/>
                      <w:szCs w:val="21"/>
                      <w:lang w:val="en-US"/>
                    </w:rPr>
                  </w:pPr>
                  <w:r>
                    <w:rPr>
                      <w:rFonts w:hint="default" w:ascii="Times New Roman" w:hAnsi="Times New Roman" w:cs="Times New Roman"/>
                      <w:szCs w:val="21"/>
                      <w:lang w:val="en-US" w:eastAsia="zh-CN"/>
                    </w:rPr>
                    <w:t>厂区污水处理站进行处理后拉运到若羌县污水处理厂处理</w:t>
                  </w:r>
                </w:p>
              </w:tc>
              <w:tc>
                <w:tcPr>
                  <w:tcW w:w="49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lang w:eastAsia="zh-CN"/>
                    </w:rPr>
                    <w:t>持续</w:t>
                  </w:r>
                  <w:r>
                    <w:rPr>
                      <w:rFonts w:hint="default" w:ascii="Times New Roman" w:hAnsi="Times New Roman" w:cs="Times New Roman"/>
                      <w:szCs w:val="21"/>
                    </w:rPr>
                    <w:t>排放，排放期间流量不稳定且无规律</w:t>
                  </w:r>
                </w:p>
              </w:tc>
              <w:tc>
                <w:tcPr>
                  <w:tcW w:w="58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highlight w:val="none"/>
                      <w:lang w:val="en-US" w:eastAsia="zh-CN"/>
                    </w:rPr>
                    <w:t>E87°21′12.856″，N38°40′0.200″</w:t>
                  </w:r>
                </w:p>
              </w:tc>
              <w:tc>
                <w:tcPr>
                  <w:tcW w:w="5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主要排放口</w:t>
                  </w:r>
                </w:p>
              </w:tc>
              <w:tc>
                <w:tcPr>
                  <w:tcW w:w="3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污水处理站出水口</w:t>
                  </w:r>
                </w:p>
              </w:tc>
              <w:tc>
                <w:tcPr>
                  <w:tcW w:w="7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lang w:val="en-US" w:eastAsia="zh-CN"/>
                    </w:rPr>
                  </w:pPr>
                  <w:r>
                    <w:rPr>
                      <w:rFonts w:hint="eastAsia" w:cs="Times New Roman"/>
                      <w:lang w:val="en-US" w:eastAsia="zh-CN"/>
                    </w:rPr>
                    <w:t>流量、</w:t>
                  </w:r>
                  <w:r>
                    <w:rPr>
                      <w:rFonts w:hint="default" w:ascii="Times New Roman" w:hAnsi="Times New Roman" w:eastAsia="宋体" w:cs="Times New Roman"/>
                      <w:lang w:eastAsia="zh-CN"/>
                    </w:rPr>
                    <w:t>pH值、化学需氧量、氨氮、悬浮物、五日生化需氧量、</w:t>
                  </w:r>
                  <w:r>
                    <w:rPr>
                      <w:rFonts w:hint="eastAsia" w:cs="Times New Roman"/>
                      <w:lang w:val="en-US" w:eastAsia="zh-CN"/>
                    </w:rPr>
                    <w:t>动植物油、大肠菌群数</w:t>
                  </w:r>
                </w:p>
              </w:tc>
              <w:tc>
                <w:tcPr>
                  <w:tcW w:w="3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1</w:t>
                  </w:r>
                  <w:r>
                    <w:rPr>
                      <w:rFonts w:hint="default" w:ascii="Times New Roman" w:hAnsi="Times New Roman" w:eastAsia="宋体" w:cs="Times New Roman"/>
                      <w:szCs w:val="21"/>
                      <w:lang w:val="en-US" w:eastAsia="zh-CN"/>
                    </w:rPr>
                    <w:t>次/</w:t>
                  </w:r>
                  <w:r>
                    <w:rPr>
                      <w:rFonts w:hint="eastAsia" w:cs="Times New Roman"/>
                      <w:szCs w:val="21"/>
                      <w:lang w:val="en-US" w:eastAsia="zh-CN"/>
                    </w:rPr>
                    <w:t>半年</w:t>
                  </w:r>
                </w:p>
              </w:tc>
              <w:tc>
                <w:tcPr>
                  <w:tcW w:w="6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《肉类加工工业水污染物排放标准》（GB13457-92）表3的</w:t>
                  </w:r>
                  <w:r>
                    <w:rPr>
                      <w:rFonts w:hint="eastAsia" w:cs="Times New Roman"/>
                      <w:szCs w:val="21"/>
                      <w:lang w:val="en-US" w:eastAsia="zh-CN"/>
                    </w:rPr>
                    <w:t>三</w:t>
                  </w:r>
                  <w:r>
                    <w:rPr>
                      <w:rFonts w:hint="default" w:ascii="Times New Roman" w:hAnsi="Times New Roman" w:eastAsia="宋体" w:cs="Times New Roman"/>
                      <w:szCs w:val="21"/>
                      <w:lang w:val="en-US" w:eastAsia="zh-CN"/>
                    </w:rPr>
                    <w:t>级标准</w:t>
                  </w:r>
                </w:p>
              </w:tc>
            </w:tr>
          </w:tbl>
          <w:p>
            <w:pPr>
              <w:pStyle w:val="2"/>
              <w:bidi w:val="0"/>
              <w:rPr>
                <w:rFonts w:hint="default"/>
                <w:lang w:val="en-US" w:eastAsia="zh-CN"/>
              </w:rPr>
            </w:pPr>
            <w:r>
              <w:rPr>
                <w:rFonts w:hint="default"/>
                <w:lang w:val="en-US" w:eastAsia="zh-CN"/>
              </w:rPr>
              <w:t>3.声环境影响和保护措施</w:t>
            </w:r>
          </w:p>
          <w:p>
            <w:pPr>
              <w:pStyle w:val="2"/>
              <w:bidi w:val="0"/>
              <w:rPr>
                <w:rFonts w:hint="default"/>
                <w:lang w:val="en-US" w:eastAsia="zh-CN"/>
              </w:rPr>
            </w:pPr>
            <w:r>
              <w:rPr>
                <w:rFonts w:hint="default"/>
                <w:lang w:val="en-US" w:eastAsia="zh-CN"/>
              </w:rPr>
              <w:t>3.1预测模型</w:t>
            </w:r>
          </w:p>
          <w:p>
            <w:pPr>
              <w:pStyle w:val="71"/>
              <w:bidi w:val="0"/>
              <w:rPr>
                <w:rFonts w:hint="default" w:ascii="Times New Roman" w:hAnsi="Times New Roman" w:cs="Times New Roman"/>
                <w:szCs w:val="24"/>
                <w:lang w:val="en-US" w:eastAsia="zh-CN"/>
              </w:rPr>
            </w:pPr>
            <w:r>
              <w:rPr>
                <w:rFonts w:hint="default"/>
                <w:lang w:val="en-US" w:eastAsia="zh-CN"/>
              </w:rPr>
              <w:t>根据项目建设内容及《环境影响评价技术导则 声环境》（HJ2.4-2021）的要求，项目环评采用的模型为《环境影响评价技术导则 声环境》（HJ2.4</w:t>
            </w:r>
            <w:r>
              <w:rPr>
                <w:rFonts w:hint="eastAsia"/>
                <w:lang w:val="en-US" w:eastAsia="zh-CN"/>
              </w:rPr>
              <w:t>-</w:t>
            </w:r>
            <w:r>
              <w:rPr>
                <w:rFonts w:hint="default"/>
                <w:lang w:val="en-US" w:eastAsia="zh-CN"/>
              </w:rPr>
              <w:t>2021）附录A（规范性附录）户外声传播的衰减和附录B（规范性附录）中“B.1工业噪声预测计算模型”。</w:t>
            </w:r>
          </w:p>
          <w:p>
            <w:pPr>
              <w:pStyle w:val="2"/>
              <w:bidi w:val="0"/>
              <w:rPr>
                <w:rFonts w:hint="default"/>
                <w:lang w:val="en-US" w:eastAsia="zh-CN"/>
              </w:rPr>
            </w:pPr>
            <w:r>
              <w:rPr>
                <w:rFonts w:hint="eastAsia"/>
                <w:lang w:val="en-US" w:eastAsia="zh-CN"/>
              </w:rPr>
              <w:t>3.2预测参数</w:t>
            </w:r>
          </w:p>
          <w:p>
            <w:pPr>
              <w:pStyle w:val="71"/>
              <w:bidi w:val="0"/>
              <w:rPr>
                <w:rFonts w:hint="default"/>
                <w:lang w:val="en-US" w:eastAsia="zh-CN"/>
              </w:rPr>
            </w:pPr>
            <w:r>
              <w:rPr>
                <w:rFonts w:hint="default"/>
              </w:rPr>
              <w:t>本项目噪声源主要来自屠宰生产线</w:t>
            </w:r>
            <w:r>
              <w:rPr>
                <w:rFonts w:hint="default"/>
                <w:lang w:eastAsia="zh-CN"/>
              </w:rPr>
              <w:t>、</w:t>
            </w:r>
            <w:r>
              <w:rPr>
                <w:rFonts w:hint="default"/>
              </w:rPr>
              <w:t>污水处理站、各种泵类运行噪声，待宰圈动物鸣叫声</w:t>
            </w:r>
            <w:r>
              <w:rPr>
                <w:rFonts w:hint="eastAsia"/>
                <w:lang w:eastAsia="zh-CN"/>
              </w:rPr>
              <w:t>、</w:t>
            </w:r>
            <w:r>
              <w:rPr>
                <w:rFonts w:hint="eastAsia"/>
                <w:lang w:val="en-US" w:eastAsia="zh-CN"/>
              </w:rPr>
              <w:t>提升机、牛扯皮机</w:t>
            </w:r>
            <w:r>
              <w:rPr>
                <w:rFonts w:hint="default"/>
              </w:rPr>
              <w:t>运行噪声，其噪声</w:t>
            </w:r>
            <w:r>
              <w:rPr>
                <w:rFonts w:hint="default"/>
                <w:lang w:val="en-US" w:eastAsia="zh-CN"/>
              </w:rPr>
              <w:t>值</w:t>
            </w:r>
            <w:r>
              <w:rPr>
                <w:rFonts w:hint="default"/>
              </w:rPr>
              <w:t>为</w:t>
            </w:r>
            <w:r>
              <w:rPr>
                <w:rFonts w:hint="eastAsia"/>
                <w:lang w:val="en-US" w:eastAsia="zh-CN"/>
              </w:rPr>
              <w:t>70~85</w:t>
            </w:r>
            <w:r>
              <w:rPr>
                <w:rFonts w:hint="default"/>
                <w:highlight w:val="none"/>
              </w:rPr>
              <w:t>dB(A)，</w:t>
            </w:r>
            <w:r>
              <w:rPr>
                <w:rFonts w:hint="default"/>
                <w:lang w:val="en-US" w:eastAsia="zh-CN"/>
              </w:rPr>
              <w:t>设备正常运行过程中产生的噪声污染是各机械设备单台噪声值的叠加值，具体污染工序中生产设备直接噪声影响值分析及单台噪声值见下表。各生产设备噪声值详见下表。</w:t>
            </w: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tc>
      </w:tr>
    </w:tbl>
    <w:p>
      <w:pPr>
        <w:adjustRightInd w:val="0"/>
        <w:snapToGrid w:val="0"/>
        <w:jc w:val="center"/>
        <w:rPr>
          <w:rFonts w:hint="default" w:ascii="Times New Roman" w:hAnsi="Times New Roman" w:cs="Times New Roman"/>
          <w:bCs/>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3" w:hRule="atLeast"/>
        </w:trPr>
        <w:tc>
          <w:tcPr>
            <w:tcW w:w="14174" w:type="dxa"/>
          </w:tcPr>
          <w:p>
            <w:pPr>
              <w:pStyle w:val="74"/>
              <w:bidi w:val="0"/>
              <w:rPr>
                <w:rFonts w:hint="default"/>
                <w:lang w:val="en-US" w:eastAsia="zh-CN"/>
              </w:rPr>
            </w:pPr>
            <w:r>
              <w:rPr>
                <w:rFonts w:hint="default"/>
                <w:lang w:val="en-US" w:eastAsia="zh-CN"/>
              </w:rPr>
              <w:t>表4-</w:t>
            </w:r>
            <w:r>
              <w:rPr>
                <w:rFonts w:hint="eastAsia"/>
                <w:lang w:val="en-US" w:eastAsia="zh-CN"/>
              </w:rPr>
              <w:t>9</w:t>
            </w:r>
            <w:r>
              <w:rPr>
                <w:rFonts w:hint="default"/>
                <w:lang w:val="en-US" w:eastAsia="zh-CN"/>
              </w:rPr>
              <w:t xml:space="preserve">   项目主要设备噪声源强</w:t>
            </w:r>
          </w:p>
          <w:tbl>
            <w:tblPr>
              <w:tblStyle w:val="24"/>
              <w:tblpPr w:leftFromText="180" w:rightFromText="180" w:vertAnchor="text" w:horzAnchor="page" w:tblpX="193"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701"/>
              <w:gridCol w:w="912"/>
              <w:gridCol w:w="900"/>
              <w:gridCol w:w="935"/>
              <w:gridCol w:w="553"/>
              <w:gridCol w:w="404"/>
              <w:gridCol w:w="346"/>
              <w:gridCol w:w="462"/>
              <w:gridCol w:w="473"/>
              <w:gridCol w:w="462"/>
              <w:gridCol w:w="519"/>
              <w:gridCol w:w="461"/>
              <w:gridCol w:w="416"/>
              <w:gridCol w:w="427"/>
              <w:gridCol w:w="519"/>
              <w:gridCol w:w="415"/>
              <w:gridCol w:w="450"/>
              <w:gridCol w:w="473"/>
              <w:gridCol w:w="473"/>
              <w:gridCol w:w="520"/>
              <w:gridCol w:w="542"/>
              <w:gridCol w:w="565"/>
              <w:gridCol w:w="497"/>
              <w:gridCol w:w="553"/>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exact"/>
              </w:trPr>
              <w:tc>
                <w:tcPr>
                  <w:tcW w:w="426" w:type="dxa"/>
                  <w:vMerge w:val="restart"/>
                  <w:shd w:val="clear" w:color="auto" w:fill="auto"/>
                  <w:vAlign w:val="center"/>
                </w:tcPr>
                <w:p>
                  <w:pPr>
                    <w:pStyle w:val="73"/>
                    <w:bidi w:val="0"/>
                  </w:pPr>
                  <w:bookmarkStart w:id="33" w:name="PT_6"/>
                  <w:r>
                    <w:t>序号</w:t>
                  </w:r>
                </w:p>
              </w:tc>
              <w:tc>
                <w:tcPr>
                  <w:tcW w:w="701" w:type="dxa"/>
                  <w:vMerge w:val="restart"/>
                  <w:shd w:val="clear" w:color="auto" w:fill="auto"/>
                  <w:vAlign w:val="center"/>
                </w:tcPr>
                <w:p>
                  <w:pPr>
                    <w:pStyle w:val="73"/>
                    <w:bidi w:val="0"/>
                  </w:pPr>
                  <w:r>
                    <w:t>建筑物名称</w:t>
                  </w:r>
                </w:p>
              </w:tc>
              <w:tc>
                <w:tcPr>
                  <w:tcW w:w="912" w:type="dxa"/>
                  <w:vMerge w:val="restart"/>
                  <w:shd w:val="clear" w:color="auto" w:fill="auto"/>
                  <w:vAlign w:val="center"/>
                </w:tcPr>
                <w:p>
                  <w:pPr>
                    <w:pStyle w:val="73"/>
                    <w:bidi w:val="0"/>
                  </w:pPr>
                  <w:r>
                    <w:t>声源名称</w:t>
                  </w:r>
                </w:p>
              </w:tc>
              <w:tc>
                <w:tcPr>
                  <w:tcW w:w="900" w:type="dxa"/>
                  <w:shd w:val="clear" w:color="auto" w:fill="auto"/>
                  <w:vAlign w:val="center"/>
                </w:tcPr>
                <w:p>
                  <w:pPr>
                    <w:pStyle w:val="73"/>
                    <w:bidi w:val="0"/>
                    <w:rPr>
                      <w:lang w:eastAsia="zh-CN"/>
                    </w:rPr>
                  </w:pPr>
                  <w:r>
                    <w:rPr>
                      <w:lang w:eastAsia="zh-CN"/>
                    </w:rPr>
                    <w:t>声源源强</w:t>
                  </w:r>
                </w:p>
              </w:tc>
              <w:tc>
                <w:tcPr>
                  <w:tcW w:w="935" w:type="dxa"/>
                  <w:vMerge w:val="restart"/>
                  <w:shd w:val="clear" w:color="auto" w:fill="auto"/>
                  <w:vAlign w:val="center"/>
                </w:tcPr>
                <w:p>
                  <w:pPr>
                    <w:pStyle w:val="73"/>
                    <w:bidi w:val="0"/>
                  </w:pPr>
                  <w:r>
                    <w:t>声源控制措施</w:t>
                  </w:r>
                </w:p>
              </w:tc>
              <w:tc>
                <w:tcPr>
                  <w:tcW w:w="1303" w:type="dxa"/>
                  <w:gridSpan w:val="3"/>
                  <w:shd w:val="clear" w:color="auto" w:fill="auto"/>
                  <w:vAlign w:val="center"/>
                </w:tcPr>
                <w:p>
                  <w:pPr>
                    <w:pStyle w:val="73"/>
                    <w:bidi w:val="0"/>
                  </w:pPr>
                  <w:r>
                    <w:t>空间相对位置/m</w:t>
                  </w:r>
                </w:p>
              </w:tc>
              <w:tc>
                <w:tcPr>
                  <w:tcW w:w="1916" w:type="dxa"/>
                  <w:gridSpan w:val="4"/>
                  <w:shd w:val="clear" w:color="auto" w:fill="auto"/>
                  <w:vAlign w:val="center"/>
                </w:tcPr>
                <w:p>
                  <w:pPr>
                    <w:pStyle w:val="73"/>
                    <w:bidi w:val="0"/>
                  </w:pPr>
                  <w:r>
                    <w:t>距室内边界距离/m</w:t>
                  </w:r>
                </w:p>
              </w:tc>
              <w:tc>
                <w:tcPr>
                  <w:tcW w:w="1823" w:type="dxa"/>
                  <w:gridSpan w:val="4"/>
                  <w:shd w:val="clear" w:color="auto" w:fill="auto"/>
                  <w:vAlign w:val="center"/>
                </w:tcPr>
                <w:p>
                  <w:pPr>
                    <w:pStyle w:val="73"/>
                    <w:bidi w:val="0"/>
                  </w:pPr>
                  <w:r>
                    <w:t>室内边界声级/dB(A)</w:t>
                  </w:r>
                </w:p>
              </w:tc>
              <w:tc>
                <w:tcPr>
                  <w:tcW w:w="415" w:type="dxa"/>
                  <w:vMerge w:val="restart"/>
                  <w:shd w:val="clear" w:color="auto" w:fill="auto"/>
                  <w:vAlign w:val="center"/>
                </w:tcPr>
                <w:p>
                  <w:pPr>
                    <w:pStyle w:val="73"/>
                    <w:bidi w:val="0"/>
                  </w:pPr>
                  <w:r>
                    <w:t>运行时段</w:t>
                  </w:r>
                </w:p>
              </w:tc>
              <w:tc>
                <w:tcPr>
                  <w:tcW w:w="1916" w:type="dxa"/>
                  <w:gridSpan w:val="4"/>
                  <w:shd w:val="clear" w:color="auto" w:fill="auto"/>
                  <w:vAlign w:val="center"/>
                </w:tcPr>
                <w:p>
                  <w:pPr>
                    <w:pStyle w:val="73"/>
                    <w:bidi w:val="0"/>
                  </w:pPr>
                  <w:r>
                    <w:t>建筑物插入损失/dB(A)</w:t>
                  </w:r>
                  <w:bookmarkStart w:id="34" w:name="PT_10"/>
                  <w:bookmarkEnd w:id="34"/>
                </w:p>
              </w:tc>
              <w:tc>
                <w:tcPr>
                  <w:tcW w:w="2701" w:type="dxa"/>
                  <w:gridSpan w:val="5"/>
                  <w:shd w:val="clear" w:color="auto" w:fill="auto"/>
                  <w:vAlign w:val="center"/>
                </w:tcPr>
                <w:p>
                  <w:pPr>
                    <w:pStyle w:val="73"/>
                    <w:bidi w:val="0"/>
                  </w:pPr>
                  <w: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6" w:type="dxa"/>
                  <w:vMerge w:val="continue"/>
                  <w:shd w:val="clear" w:color="auto" w:fill="auto"/>
                  <w:tcMar>
                    <w:top w:w="0" w:type="dxa"/>
                    <w:left w:w="0" w:type="dxa"/>
                    <w:bottom w:w="0" w:type="dxa"/>
                    <w:right w:w="0" w:type="dxa"/>
                  </w:tcMar>
                  <w:vAlign w:val="center"/>
                </w:tcPr>
                <w:p>
                  <w:pPr>
                    <w:pStyle w:val="73"/>
                    <w:bidi w:val="0"/>
                    <w:rPr>
                      <w:rFonts w:hint="default"/>
                      <w:lang w:val="en-US" w:eastAsia="zh-CN"/>
                    </w:rPr>
                  </w:pPr>
                </w:p>
              </w:tc>
              <w:tc>
                <w:tcPr>
                  <w:tcW w:w="701" w:type="dxa"/>
                  <w:vMerge w:val="continue"/>
                  <w:shd w:val="clear" w:color="auto" w:fill="auto"/>
                  <w:tcMar>
                    <w:top w:w="0" w:type="dxa"/>
                    <w:left w:w="0" w:type="dxa"/>
                    <w:bottom w:w="0" w:type="dxa"/>
                    <w:right w:w="0" w:type="dxa"/>
                  </w:tcMar>
                  <w:vAlign w:val="center"/>
                </w:tcPr>
                <w:p>
                  <w:pPr>
                    <w:pStyle w:val="73"/>
                    <w:bidi w:val="0"/>
                  </w:pPr>
                </w:p>
              </w:tc>
              <w:tc>
                <w:tcPr>
                  <w:tcW w:w="912" w:type="dxa"/>
                  <w:vMerge w:val="continue"/>
                  <w:shd w:val="clear" w:color="auto" w:fill="auto"/>
                  <w:tcMar>
                    <w:top w:w="0" w:type="dxa"/>
                    <w:left w:w="0" w:type="dxa"/>
                    <w:bottom w:w="0" w:type="dxa"/>
                    <w:right w:w="0" w:type="dxa"/>
                  </w:tcMar>
                  <w:vAlign w:val="center"/>
                </w:tcPr>
                <w:p>
                  <w:pPr>
                    <w:pStyle w:val="73"/>
                    <w:bidi w:val="0"/>
                  </w:pPr>
                </w:p>
              </w:tc>
              <w:tc>
                <w:tcPr>
                  <w:tcW w:w="900" w:type="dxa"/>
                  <w:shd w:val="clear" w:color="auto" w:fill="auto"/>
                  <w:tcMar>
                    <w:top w:w="0" w:type="dxa"/>
                    <w:left w:w="0" w:type="dxa"/>
                    <w:bottom w:w="0" w:type="dxa"/>
                    <w:right w:w="0" w:type="dxa"/>
                  </w:tcMar>
                  <w:vAlign w:val="center"/>
                </w:tcPr>
                <w:p>
                  <w:pPr>
                    <w:pStyle w:val="73"/>
                    <w:bidi w:val="0"/>
                  </w:pPr>
                  <w:r>
                    <w:t>声功率级/dB(A)</w:t>
                  </w:r>
                </w:p>
              </w:tc>
              <w:tc>
                <w:tcPr>
                  <w:tcW w:w="935" w:type="dxa"/>
                  <w:vMerge w:val="continue"/>
                  <w:shd w:val="clear" w:color="auto" w:fill="auto"/>
                  <w:tcMar>
                    <w:top w:w="0" w:type="dxa"/>
                    <w:left w:w="0" w:type="dxa"/>
                    <w:bottom w:w="0" w:type="dxa"/>
                    <w:right w:w="0" w:type="dxa"/>
                  </w:tcMar>
                  <w:vAlign w:val="center"/>
                </w:tcPr>
                <w:p>
                  <w:pPr>
                    <w:pStyle w:val="73"/>
                    <w:bidi w:val="0"/>
                  </w:pPr>
                </w:p>
              </w:tc>
              <w:tc>
                <w:tcPr>
                  <w:tcW w:w="553" w:type="dxa"/>
                  <w:shd w:val="clear" w:color="auto" w:fill="auto"/>
                  <w:tcMar>
                    <w:top w:w="0" w:type="dxa"/>
                    <w:left w:w="0" w:type="dxa"/>
                    <w:bottom w:w="0" w:type="dxa"/>
                    <w:right w:w="0" w:type="dxa"/>
                  </w:tcMar>
                  <w:vAlign w:val="center"/>
                </w:tcPr>
                <w:p>
                  <w:pPr>
                    <w:pStyle w:val="73"/>
                    <w:bidi w:val="0"/>
                  </w:pPr>
                  <w:r>
                    <w:t>X</w:t>
                  </w:r>
                </w:p>
              </w:tc>
              <w:tc>
                <w:tcPr>
                  <w:tcW w:w="404" w:type="dxa"/>
                  <w:shd w:val="clear" w:color="auto" w:fill="auto"/>
                  <w:tcMar>
                    <w:top w:w="0" w:type="dxa"/>
                    <w:left w:w="0" w:type="dxa"/>
                    <w:bottom w:w="0" w:type="dxa"/>
                    <w:right w:w="0" w:type="dxa"/>
                  </w:tcMar>
                  <w:vAlign w:val="center"/>
                </w:tcPr>
                <w:p>
                  <w:pPr>
                    <w:pStyle w:val="73"/>
                    <w:bidi w:val="0"/>
                  </w:pPr>
                  <w:r>
                    <w:t>Y</w:t>
                  </w:r>
                </w:p>
              </w:tc>
              <w:tc>
                <w:tcPr>
                  <w:tcW w:w="346" w:type="dxa"/>
                  <w:shd w:val="clear" w:color="auto" w:fill="auto"/>
                  <w:tcMar>
                    <w:top w:w="0" w:type="dxa"/>
                    <w:left w:w="0" w:type="dxa"/>
                    <w:bottom w:w="0" w:type="dxa"/>
                    <w:right w:w="0" w:type="dxa"/>
                  </w:tcMar>
                  <w:vAlign w:val="center"/>
                </w:tcPr>
                <w:p>
                  <w:pPr>
                    <w:pStyle w:val="73"/>
                    <w:bidi w:val="0"/>
                  </w:pPr>
                  <w:r>
                    <w:t>Z</w:t>
                  </w:r>
                </w:p>
              </w:tc>
              <w:tc>
                <w:tcPr>
                  <w:tcW w:w="462" w:type="dxa"/>
                  <w:shd w:val="clear" w:color="auto" w:fill="auto"/>
                  <w:tcMar>
                    <w:top w:w="0" w:type="dxa"/>
                    <w:left w:w="0" w:type="dxa"/>
                    <w:bottom w:w="0" w:type="dxa"/>
                    <w:right w:w="0" w:type="dxa"/>
                  </w:tcMar>
                  <w:vAlign w:val="center"/>
                </w:tcPr>
                <w:p>
                  <w:pPr>
                    <w:pStyle w:val="73"/>
                    <w:bidi w:val="0"/>
                  </w:pPr>
                  <w:r>
                    <w:rPr>
                      <w:rFonts w:hint="eastAsia"/>
                      <w:lang w:val="en-US" w:eastAsia="zh-CN"/>
                    </w:rPr>
                    <w:t>东</w:t>
                  </w:r>
                </w:p>
              </w:tc>
              <w:tc>
                <w:tcPr>
                  <w:tcW w:w="473" w:type="dxa"/>
                  <w:shd w:val="clear" w:color="auto" w:fill="auto"/>
                  <w:tcMar>
                    <w:top w:w="0" w:type="dxa"/>
                    <w:left w:w="0" w:type="dxa"/>
                    <w:bottom w:w="0" w:type="dxa"/>
                    <w:right w:w="0" w:type="dxa"/>
                  </w:tcMar>
                  <w:vAlign w:val="center"/>
                </w:tcPr>
                <w:p>
                  <w:pPr>
                    <w:pStyle w:val="73"/>
                    <w:bidi w:val="0"/>
                  </w:pPr>
                  <w:r>
                    <w:rPr>
                      <w:rFonts w:hint="eastAsia"/>
                      <w:lang w:val="en-US" w:eastAsia="zh-CN"/>
                    </w:rPr>
                    <w:t>南</w:t>
                  </w:r>
                </w:p>
              </w:tc>
              <w:tc>
                <w:tcPr>
                  <w:tcW w:w="462" w:type="dxa"/>
                  <w:shd w:val="clear" w:color="auto" w:fill="auto"/>
                  <w:tcMar>
                    <w:top w:w="0" w:type="dxa"/>
                    <w:left w:w="0" w:type="dxa"/>
                    <w:bottom w:w="0" w:type="dxa"/>
                    <w:right w:w="0" w:type="dxa"/>
                  </w:tcMar>
                  <w:vAlign w:val="center"/>
                </w:tcPr>
                <w:p>
                  <w:pPr>
                    <w:pStyle w:val="73"/>
                    <w:bidi w:val="0"/>
                  </w:pPr>
                  <w:r>
                    <w:rPr>
                      <w:rFonts w:hint="eastAsia"/>
                      <w:lang w:val="en-US" w:eastAsia="zh-CN"/>
                    </w:rPr>
                    <w:t>西</w:t>
                  </w:r>
                </w:p>
              </w:tc>
              <w:tc>
                <w:tcPr>
                  <w:tcW w:w="519" w:type="dxa"/>
                  <w:shd w:val="clear" w:color="auto" w:fill="auto"/>
                  <w:tcMar>
                    <w:top w:w="0" w:type="dxa"/>
                    <w:left w:w="0" w:type="dxa"/>
                    <w:bottom w:w="0" w:type="dxa"/>
                    <w:right w:w="0" w:type="dxa"/>
                  </w:tcMar>
                  <w:vAlign w:val="center"/>
                </w:tcPr>
                <w:p>
                  <w:pPr>
                    <w:pStyle w:val="73"/>
                    <w:bidi w:val="0"/>
                  </w:pPr>
                  <w:r>
                    <w:rPr>
                      <w:rFonts w:hint="eastAsia"/>
                      <w:lang w:val="en-US" w:eastAsia="zh-CN"/>
                    </w:rPr>
                    <w:t>北</w:t>
                  </w:r>
                </w:p>
              </w:tc>
              <w:tc>
                <w:tcPr>
                  <w:tcW w:w="461" w:type="dxa"/>
                  <w:shd w:val="clear" w:color="auto" w:fill="auto"/>
                  <w:tcMar>
                    <w:top w:w="0" w:type="dxa"/>
                    <w:left w:w="0" w:type="dxa"/>
                    <w:bottom w:w="0" w:type="dxa"/>
                    <w:right w:w="0" w:type="dxa"/>
                  </w:tcMar>
                  <w:vAlign w:val="center"/>
                </w:tcPr>
                <w:p>
                  <w:pPr>
                    <w:pStyle w:val="73"/>
                    <w:bidi w:val="0"/>
                  </w:pPr>
                  <w:r>
                    <w:rPr>
                      <w:rFonts w:hint="eastAsia"/>
                      <w:lang w:val="en-US" w:eastAsia="zh-CN"/>
                    </w:rPr>
                    <w:t>东</w:t>
                  </w:r>
                </w:p>
              </w:tc>
              <w:tc>
                <w:tcPr>
                  <w:tcW w:w="416" w:type="dxa"/>
                  <w:shd w:val="clear" w:color="auto" w:fill="auto"/>
                  <w:tcMar>
                    <w:top w:w="0" w:type="dxa"/>
                    <w:left w:w="0" w:type="dxa"/>
                    <w:bottom w:w="0" w:type="dxa"/>
                    <w:right w:w="0" w:type="dxa"/>
                  </w:tcMar>
                  <w:vAlign w:val="center"/>
                </w:tcPr>
                <w:p>
                  <w:pPr>
                    <w:pStyle w:val="73"/>
                    <w:bidi w:val="0"/>
                  </w:pPr>
                  <w:r>
                    <w:rPr>
                      <w:rFonts w:hint="eastAsia"/>
                      <w:lang w:val="en-US" w:eastAsia="zh-CN"/>
                    </w:rPr>
                    <w:t>南</w:t>
                  </w:r>
                </w:p>
              </w:tc>
              <w:tc>
                <w:tcPr>
                  <w:tcW w:w="427" w:type="dxa"/>
                  <w:shd w:val="clear" w:color="auto" w:fill="auto"/>
                  <w:tcMar>
                    <w:top w:w="0" w:type="dxa"/>
                    <w:left w:w="0" w:type="dxa"/>
                    <w:bottom w:w="0" w:type="dxa"/>
                    <w:right w:w="0" w:type="dxa"/>
                  </w:tcMar>
                  <w:vAlign w:val="center"/>
                </w:tcPr>
                <w:p>
                  <w:pPr>
                    <w:pStyle w:val="73"/>
                    <w:bidi w:val="0"/>
                  </w:pPr>
                  <w:r>
                    <w:rPr>
                      <w:rFonts w:hint="eastAsia"/>
                      <w:lang w:val="en-US" w:eastAsia="zh-CN"/>
                    </w:rPr>
                    <w:t>西</w:t>
                  </w:r>
                </w:p>
              </w:tc>
              <w:tc>
                <w:tcPr>
                  <w:tcW w:w="519" w:type="dxa"/>
                  <w:shd w:val="clear" w:color="auto" w:fill="auto"/>
                  <w:tcMar>
                    <w:top w:w="0" w:type="dxa"/>
                    <w:left w:w="0" w:type="dxa"/>
                    <w:bottom w:w="0" w:type="dxa"/>
                    <w:right w:w="0" w:type="dxa"/>
                  </w:tcMar>
                  <w:vAlign w:val="center"/>
                </w:tcPr>
                <w:p>
                  <w:pPr>
                    <w:pStyle w:val="73"/>
                    <w:bidi w:val="0"/>
                  </w:pPr>
                  <w:r>
                    <w:rPr>
                      <w:rFonts w:hint="eastAsia"/>
                      <w:lang w:val="en-US" w:eastAsia="zh-CN"/>
                    </w:rPr>
                    <w:t>北</w:t>
                  </w:r>
                </w:p>
              </w:tc>
              <w:tc>
                <w:tcPr>
                  <w:tcW w:w="415" w:type="dxa"/>
                  <w:vMerge w:val="continue"/>
                  <w:shd w:val="clear" w:color="auto" w:fill="auto"/>
                  <w:tcMar>
                    <w:top w:w="0" w:type="dxa"/>
                    <w:left w:w="0" w:type="dxa"/>
                    <w:bottom w:w="0" w:type="dxa"/>
                    <w:right w:w="0" w:type="dxa"/>
                  </w:tcMar>
                  <w:vAlign w:val="center"/>
                </w:tcPr>
                <w:p>
                  <w:pPr>
                    <w:pStyle w:val="73"/>
                    <w:bidi w:val="0"/>
                  </w:pPr>
                </w:p>
              </w:tc>
              <w:tc>
                <w:tcPr>
                  <w:tcW w:w="450" w:type="dxa"/>
                  <w:shd w:val="clear" w:color="auto" w:fill="auto"/>
                  <w:tcMar>
                    <w:top w:w="0" w:type="dxa"/>
                    <w:left w:w="0" w:type="dxa"/>
                    <w:bottom w:w="0" w:type="dxa"/>
                    <w:right w:w="0" w:type="dxa"/>
                  </w:tcMar>
                  <w:vAlign w:val="center"/>
                </w:tcPr>
                <w:p>
                  <w:pPr>
                    <w:pStyle w:val="73"/>
                    <w:bidi w:val="0"/>
                  </w:pPr>
                  <w:r>
                    <w:rPr>
                      <w:rFonts w:hint="eastAsia"/>
                      <w:lang w:val="en-US" w:eastAsia="zh-CN"/>
                    </w:rPr>
                    <w:t>东</w:t>
                  </w:r>
                </w:p>
              </w:tc>
              <w:tc>
                <w:tcPr>
                  <w:tcW w:w="473" w:type="dxa"/>
                  <w:shd w:val="clear" w:color="auto" w:fill="auto"/>
                  <w:tcMar>
                    <w:top w:w="0" w:type="dxa"/>
                    <w:left w:w="0" w:type="dxa"/>
                    <w:bottom w:w="0" w:type="dxa"/>
                    <w:right w:w="0" w:type="dxa"/>
                  </w:tcMar>
                  <w:vAlign w:val="center"/>
                </w:tcPr>
                <w:p>
                  <w:pPr>
                    <w:pStyle w:val="73"/>
                    <w:bidi w:val="0"/>
                  </w:pPr>
                  <w:r>
                    <w:rPr>
                      <w:rFonts w:hint="eastAsia"/>
                      <w:lang w:val="en-US" w:eastAsia="zh-CN"/>
                    </w:rPr>
                    <w:t>南</w:t>
                  </w:r>
                </w:p>
              </w:tc>
              <w:tc>
                <w:tcPr>
                  <w:tcW w:w="473" w:type="dxa"/>
                  <w:shd w:val="clear" w:color="auto" w:fill="auto"/>
                  <w:tcMar>
                    <w:top w:w="0" w:type="dxa"/>
                    <w:left w:w="0" w:type="dxa"/>
                    <w:bottom w:w="0" w:type="dxa"/>
                    <w:right w:w="0" w:type="dxa"/>
                  </w:tcMar>
                  <w:vAlign w:val="center"/>
                </w:tcPr>
                <w:p>
                  <w:pPr>
                    <w:pStyle w:val="73"/>
                    <w:bidi w:val="0"/>
                  </w:pPr>
                  <w:r>
                    <w:rPr>
                      <w:rFonts w:hint="eastAsia"/>
                      <w:lang w:val="en-US" w:eastAsia="zh-CN"/>
                    </w:rPr>
                    <w:t>西</w:t>
                  </w:r>
                </w:p>
              </w:tc>
              <w:tc>
                <w:tcPr>
                  <w:tcW w:w="520" w:type="dxa"/>
                  <w:shd w:val="clear" w:color="auto" w:fill="auto"/>
                  <w:tcMar>
                    <w:top w:w="0" w:type="dxa"/>
                    <w:left w:w="0" w:type="dxa"/>
                    <w:bottom w:w="0" w:type="dxa"/>
                    <w:right w:w="0" w:type="dxa"/>
                  </w:tcMar>
                  <w:vAlign w:val="center"/>
                </w:tcPr>
                <w:p>
                  <w:pPr>
                    <w:pStyle w:val="73"/>
                    <w:bidi w:val="0"/>
                  </w:pPr>
                  <w:r>
                    <w:rPr>
                      <w:rFonts w:hint="eastAsia"/>
                      <w:lang w:val="en-US" w:eastAsia="zh-CN"/>
                    </w:rPr>
                    <w:t>北</w:t>
                  </w:r>
                </w:p>
              </w:tc>
              <w:tc>
                <w:tcPr>
                  <w:tcW w:w="542" w:type="dxa"/>
                  <w:shd w:val="clear" w:color="auto" w:fill="auto"/>
                  <w:tcMar>
                    <w:top w:w="0" w:type="dxa"/>
                    <w:left w:w="0" w:type="dxa"/>
                    <w:bottom w:w="0" w:type="dxa"/>
                    <w:right w:w="0" w:type="dxa"/>
                  </w:tcMar>
                  <w:vAlign w:val="center"/>
                </w:tcPr>
                <w:p>
                  <w:pPr>
                    <w:pStyle w:val="73"/>
                    <w:bidi w:val="0"/>
                  </w:pPr>
                  <w:r>
                    <w:rPr>
                      <w:rFonts w:hint="eastAsia"/>
                      <w:lang w:val="en-US" w:eastAsia="zh-CN"/>
                    </w:rPr>
                    <w:t>东</w:t>
                  </w:r>
                </w:p>
              </w:tc>
              <w:tc>
                <w:tcPr>
                  <w:tcW w:w="565" w:type="dxa"/>
                  <w:shd w:val="clear" w:color="auto" w:fill="auto"/>
                  <w:tcMar>
                    <w:top w:w="0" w:type="dxa"/>
                    <w:left w:w="0" w:type="dxa"/>
                    <w:bottom w:w="0" w:type="dxa"/>
                    <w:right w:w="0" w:type="dxa"/>
                  </w:tcMar>
                  <w:vAlign w:val="center"/>
                </w:tcPr>
                <w:p>
                  <w:pPr>
                    <w:pStyle w:val="73"/>
                    <w:bidi w:val="0"/>
                  </w:pPr>
                  <w:r>
                    <w:rPr>
                      <w:rFonts w:hint="eastAsia"/>
                      <w:lang w:val="en-US" w:eastAsia="zh-CN"/>
                    </w:rPr>
                    <w:t>南</w:t>
                  </w:r>
                </w:p>
              </w:tc>
              <w:tc>
                <w:tcPr>
                  <w:tcW w:w="497" w:type="dxa"/>
                  <w:shd w:val="clear" w:color="auto" w:fill="auto"/>
                  <w:tcMar>
                    <w:top w:w="0" w:type="dxa"/>
                    <w:left w:w="0" w:type="dxa"/>
                    <w:bottom w:w="0" w:type="dxa"/>
                    <w:right w:w="0" w:type="dxa"/>
                  </w:tcMar>
                  <w:vAlign w:val="center"/>
                </w:tcPr>
                <w:p>
                  <w:pPr>
                    <w:pStyle w:val="73"/>
                    <w:bidi w:val="0"/>
                  </w:pPr>
                  <w:r>
                    <w:rPr>
                      <w:rFonts w:hint="eastAsia"/>
                      <w:lang w:val="en-US" w:eastAsia="zh-CN"/>
                    </w:rPr>
                    <w:t>西</w:t>
                  </w:r>
                </w:p>
              </w:tc>
              <w:tc>
                <w:tcPr>
                  <w:tcW w:w="553" w:type="dxa"/>
                  <w:shd w:val="clear" w:color="auto" w:fill="auto"/>
                  <w:tcMar>
                    <w:top w:w="0" w:type="dxa"/>
                    <w:left w:w="0" w:type="dxa"/>
                    <w:bottom w:w="0" w:type="dxa"/>
                    <w:right w:w="0" w:type="dxa"/>
                  </w:tcMar>
                  <w:vAlign w:val="center"/>
                </w:tcPr>
                <w:p>
                  <w:pPr>
                    <w:pStyle w:val="73"/>
                    <w:bidi w:val="0"/>
                  </w:pPr>
                  <w:r>
                    <w:rPr>
                      <w:rFonts w:hint="eastAsia"/>
                      <w:lang w:val="en-US" w:eastAsia="zh-CN"/>
                    </w:rPr>
                    <w:t>北</w:t>
                  </w:r>
                </w:p>
              </w:tc>
              <w:tc>
                <w:tcPr>
                  <w:tcW w:w="544" w:type="dxa"/>
                  <w:shd w:val="clear" w:color="auto" w:fill="auto"/>
                  <w:tcMar>
                    <w:top w:w="0" w:type="dxa"/>
                    <w:left w:w="0" w:type="dxa"/>
                    <w:bottom w:w="0" w:type="dxa"/>
                    <w:right w:w="0" w:type="dxa"/>
                  </w:tcMar>
                  <w:vAlign w:val="center"/>
                </w:tcPr>
                <w:p>
                  <w:pPr>
                    <w:pStyle w:val="73"/>
                    <w:bidi w:val="0"/>
                  </w:pPr>
                  <w: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6" w:type="dxa"/>
                  <w:shd w:val="clear" w:color="auto" w:fill="auto"/>
                  <w:tcMar>
                    <w:top w:w="0" w:type="dxa"/>
                    <w:left w:w="0" w:type="dxa"/>
                    <w:bottom w:w="0" w:type="dxa"/>
                    <w:right w:w="0" w:type="dxa"/>
                  </w:tcMar>
                  <w:vAlign w:val="center"/>
                </w:tcPr>
                <w:p>
                  <w:pPr>
                    <w:pStyle w:val="73"/>
                    <w:bidi w:val="0"/>
                  </w:pPr>
                  <w:r>
                    <w:t>1</w:t>
                  </w:r>
                </w:p>
              </w:tc>
              <w:tc>
                <w:tcPr>
                  <w:tcW w:w="701" w:type="dxa"/>
                  <w:shd w:val="clear" w:color="auto" w:fill="auto"/>
                  <w:tcMar>
                    <w:top w:w="0" w:type="dxa"/>
                    <w:left w:w="0" w:type="dxa"/>
                    <w:bottom w:w="0" w:type="dxa"/>
                    <w:right w:w="0" w:type="dxa"/>
                  </w:tcMar>
                  <w:vAlign w:val="center"/>
                </w:tcPr>
                <w:p>
                  <w:pPr>
                    <w:pStyle w:val="73"/>
                    <w:bidi w:val="0"/>
                  </w:pPr>
                  <w:r>
                    <w:t>屠宰车间</w:t>
                  </w:r>
                </w:p>
              </w:tc>
              <w:tc>
                <w:tcPr>
                  <w:tcW w:w="912" w:type="dxa"/>
                  <w:shd w:val="clear" w:color="auto" w:fill="auto"/>
                  <w:tcMar>
                    <w:top w:w="0" w:type="dxa"/>
                    <w:left w:w="0" w:type="dxa"/>
                    <w:bottom w:w="0" w:type="dxa"/>
                    <w:right w:w="0" w:type="dxa"/>
                  </w:tcMar>
                  <w:vAlign w:val="center"/>
                </w:tcPr>
                <w:p>
                  <w:pPr>
                    <w:pStyle w:val="73"/>
                    <w:bidi w:val="0"/>
                  </w:pPr>
                  <w:r>
                    <w:t>放血提升机</w:t>
                  </w:r>
                </w:p>
              </w:tc>
              <w:tc>
                <w:tcPr>
                  <w:tcW w:w="900" w:type="dxa"/>
                  <w:shd w:val="clear" w:color="auto" w:fill="auto"/>
                  <w:tcMar>
                    <w:top w:w="0" w:type="dxa"/>
                    <w:left w:w="0" w:type="dxa"/>
                    <w:bottom w:w="0" w:type="dxa"/>
                    <w:right w:w="0" w:type="dxa"/>
                  </w:tcMar>
                  <w:vAlign w:val="center"/>
                </w:tcPr>
                <w:p>
                  <w:pPr>
                    <w:pStyle w:val="73"/>
                    <w:bidi w:val="0"/>
                  </w:pPr>
                  <w:r>
                    <w:t>70</w:t>
                  </w:r>
                </w:p>
              </w:tc>
              <w:tc>
                <w:tcPr>
                  <w:tcW w:w="935" w:type="dxa"/>
                  <w:shd w:val="clear" w:color="auto" w:fill="auto"/>
                  <w:tcMar>
                    <w:top w:w="0" w:type="dxa"/>
                    <w:left w:w="0" w:type="dxa"/>
                    <w:bottom w:w="0" w:type="dxa"/>
                    <w:right w:w="0" w:type="dxa"/>
                  </w:tcMar>
                  <w:vAlign w:val="center"/>
                </w:tcPr>
                <w:p>
                  <w:pPr>
                    <w:pStyle w:val="73"/>
                    <w:bidi w:val="0"/>
                    <w:rPr>
                      <w:rFonts w:hint="default" w:eastAsia="宋体"/>
                      <w:lang w:val="en-US" w:eastAsia="zh-CN"/>
                    </w:rPr>
                  </w:pPr>
                  <w:r>
                    <w:rPr>
                      <w:rFonts w:hint="eastAsia"/>
                      <w:lang w:val="en-US" w:eastAsia="zh-CN"/>
                    </w:rPr>
                    <w:t>低噪设备</w:t>
                  </w:r>
                </w:p>
              </w:tc>
              <w:tc>
                <w:tcPr>
                  <w:tcW w:w="553" w:type="dxa"/>
                  <w:shd w:val="clear" w:color="auto" w:fill="auto"/>
                  <w:tcMar>
                    <w:top w:w="0" w:type="dxa"/>
                    <w:left w:w="0" w:type="dxa"/>
                    <w:bottom w:w="0" w:type="dxa"/>
                    <w:right w:w="0" w:type="dxa"/>
                  </w:tcMar>
                  <w:vAlign w:val="center"/>
                </w:tcPr>
                <w:p>
                  <w:pPr>
                    <w:pStyle w:val="73"/>
                    <w:bidi w:val="0"/>
                  </w:pPr>
                  <w:r>
                    <w:t>-15.2</w:t>
                  </w:r>
                </w:p>
              </w:tc>
              <w:tc>
                <w:tcPr>
                  <w:tcW w:w="404" w:type="dxa"/>
                  <w:shd w:val="clear" w:color="auto" w:fill="auto"/>
                  <w:tcMar>
                    <w:top w:w="0" w:type="dxa"/>
                    <w:left w:w="0" w:type="dxa"/>
                    <w:bottom w:w="0" w:type="dxa"/>
                    <w:right w:w="0" w:type="dxa"/>
                  </w:tcMar>
                  <w:vAlign w:val="center"/>
                </w:tcPr>
                <w:p>
                  <w:pPr>
                    <w:pStyle w:val="73"/>
                    <w:bidi w:val="0"/>
                  </w:pPr>
                  <w:r>
                    <w:t>12.4</w:t>
                  </w:r>
                </w:p>
              </w:tc>
              <w:tc>
                <w:tcPr>
                  <w:tcW w:w="346" w:type="dxa"/>
                  <w:shd w:val="clear" w:color="auto" w:fill="auto"/>
                  <w:tcMar>
                    <w:top w:w="0" w:type="dxa"/>
                    <w:left w:w="0" w:type="dxa"/>
                    <w:bottom w:w="0" w:type="dxa"/>
                    <w:right w:w="0" w:type="dxa"/>
                  </w:tcMar>
                  <w:vAlign w:val="center"/>
                </w:tcPr>
                <w:p>
                  <w:pPr>
                    <w:pStyle w:val="73"/>
                    <w:bidi w:val="0"/>
                  </w:pPr>
                  <w:r>
                    <w:t>1.5</w:t>
                  </w:r>
                </w:p>
              </w:tc>
              <w:tc>
                <w:tcPr>
                  <w:tcW w:w="462" w:type="dxa"/>
                  <w:shd w:val="clear" w:color="auto" w:fill="auto"/>
                  <w:tcMar>
                    <w:top w:w="0" w:type="dxa"/>
                    <w:left w:w="0" w:type="dxa"/>
                    <w:bottom w:w="0" w:type="dxa"/>
                    <w:right w:w="0" w:type="dxa"/>
                  </w:tcMar>
                  <w:vAlign w:val="center"/>
                </w:tcPr>
                <w:p>
                  <w:pPr>
                    <w:pStyle w:val="73"/>
                    <w:bidi w:val="0"/>
                  </w:pPr>
                  <w:r>
                    <w:t>6.9</w:t>
                  </w:r>
                </w:p>
              </w:tc>
              <w:tc>
                <w:tcPr>
                  <w:tcW w:w="473" w:type="dxa"/>
                  <w:shd w:val="clear" w:color="auto" w:fill="auto"/>
                  <w:tcMar>
                    <w:top w:w="0" w:type="dxa"/>
                    <w:left w:w="0" w:type="dxa"/>
                    <w:bottom w:w="0" w:type="dxa"/>
                    <w:right w:w="0" w:type="dxa"/>
                  </w:tcMar>
                  <w:vAlign w:val="center"/>
                </w:tcPr>
                <w:p>
                  <w:pPr>
                    <w:pStyle w:val="73"/>
                    <w:bidi w:val="0"/>
                  </w:pPr>
                  <w:r>
                    <w:t>21.0</w:t>
                  </w:r>
                </w:p>
              </w:tc>
              <w:tc>
                <w:tcPr>
                  <w:tcW w:w="462" w:type="dxa"/>
                  <w:shd w:val="clear" w:color="auto" w:fill="auto"/>
                  <w:tcMar>
                    <w:top w:w="0" w:type="dxa"/>
                    <w:left w:w="0" w:type="dxa"/>
                    <w:bottom w:w="0" w:type="dxa"/>
                    <w:right w:w="0" w:type="dxa"/>
                  </w:tcMar>
                  <w:vAlign w:val="center"/>
                </w:tcPr>
                <w:p>
                  <w:pPr>
                    <w:pStyle w:val="73"/>
                    <w:bidi w:val="0"/>
                  </w:pPr>
                  <w:r>
                    <w:t>6.2</w:t>
                  </w:r>
                </w:p>
              </w:tc>
              <w:tc>
                <w:tcPr>
                  <w:tcW w:w="519" w:type="dxa"/>
                  <w:shd w:val="clear" w:color="auto" w:fill="auto"/>
                  <w:tcMar>
                    <w:top w:w="0" w:type="dxa"/>
                    <w:left w:w="0" w:type="dxa"/>
                    <w:bottom w:w="0" w:type="dxa"/>
                    <w:right w:w="0" w:type="dxa"/>
                  </w:tcMar>
                  <w:vAlign w:val="center"/>
                </w:tcPr>
                <w:p>
                  <w:pPr>
                    <w:pStyle w:val="73"/>
                    <w:bidi w:val="0"/>
                  </w:pPr>
                  <w:r>
                    <w:t>6.6</w:t>
                  </w:r>
                </w:p>
              </w:tc>
              <w:tc>
                <w:tcPr>
                  <w:tcW w:w="461" w:type="dxa"/>
                  <w:shd w:val="clear" w:color="auto" w:fill="auto"/>
                  <w:tcMar>
                    <w:top w:w="0" w:type="dxa"/>
                    <w:left w:w="0" w:type="dxa"/>
                    <w:bottom w:w="0" w:type="dxa"/>
                    <w:right w:w="0" w:type="dxa"/>
                  </w:tcMar>
                  <w:vAlign w:val="center"/>
                </w:tcPr>
                <w:p>
                  <w:pPr>
                    <w:pStyle w:val="73"/>
                    <w:bidi w:val="0"/>
                  </w:pPr>
                  <w:r>
                    <w:t>60.7</w:t>
                  </w:r>
                </w:p>
              </w:tc>
              <w:tc>
                <w:tcPr>
                  <w:tcW w:w="416" w:type="dxa"/>
                  <w:shd w:val="clear" w:color="auto" w:fill="auto"/>
                  <w:tcMar>
                    <w:top w:w="0" w:type="dxa"/>
                    <w:left w:w="0" w:type="dxa"/>
                    <w:bottom w:w="0" w:type="dxa"/>
                    <w:right w:w="0" w:type="dxa"/>
                  </w:tcMar>
                  <w:vAlign w:val="center"/>
                </w:tcPr>
                <w:p>
                  <w:pPr>
                    <w:pStyle w:val="73"/>
                    <w:bidi w:val="0"/>
                  </w:pPr>
                  <w:r>
                    <w:t>60.7</w:t>
                  </w:r>
                </w:p>
              </w:tc>
              <w:tc>
                <w:tcPr>
                  <w:tcW w:w="427" w:type="dxa"/>
                  <w:shd w:val="clear" w:color="auto" w:fill="auto"/>
                  <w:tcMar>
                    <w:top w:w="0" w:type="dxa"/>
                    <w:left w:w="0" w:type="dxa"/>
                    <w:bottom w:w="0" w:type="dxa"/>
                    <w:right w:w="0" w:type="dxa"/>
                  </w:tcMar>
                  <w:vAlign w:val="center"/>
                </w:tcPr>
                <w:p>
                  <w:pPr>
                    <w:pStyle w:val="73"/>
                    <w:bidi w:val="0"/>
                  </w:pPr>
                  <w:r>
                    <w:t>60.7</w:t>
                  </w:r>
                </w:p>
              </w:tc>
              <w:tc>
                <w:tcPr>
                  <w:tcW w:w="519" w:type="dxa"/>
                  <w:shd w:val="clear" w:color="auto" w:fill="auto"/>
                  <w:tcMar>
                    <w:top w:w="0" w:type="dxa"/>
                    <w:left w:w="0" w:type="dxa"/>
                    <w:bottom w:w="0" w:type="dxa"/>
                    <w:right w:w="0" w:type="dxa"/>
                  </w:tcMar>
                  <w:vAlign w:val="center"/>
                </w:tcPr>
                <w:p>
                  <w:pPr>
                    <w:pStyle w:val="73"/>
                    <w:bidi w:val="0"/>
                  </w:pPr>
                  <w:r>
                    <w:t>60.7</w:t>
                  </w:r>
                </w:p>
              </w:tc>
              <w:tc>
                <w:tcPr>
                  <w:tcW w:w="415" w:type="dxa"/>
                  <w:shd w:val="clear" w:color="auto" w:fill="auto"/>
                  <w:tcMar>
                    <w:top w:w="0" w:type="dxa"/>
                    <w:left w:w="0" w:type="dxa"/>
                    <w:bottom w:w="0" w:type="dxa"/>
                    <w:right w:w="0" w:type="dxa"/>
                  </w:tcMar>
                  <w:vAlign w:val="center"/>
                </w:tcPr>
                <w:p>
                  <w:pPr>
                    <w:pStyle w:val="73"/>
                    <w:bidi w:val="0"/>
                  </w:pPr>
                  <w:r>
                    <w:t>24</w:t>
                  </w:r>
                </w:p>
              </w:tc>
              <w:tc>
                <w:tcPr>
                  <w:tcW w:w="450"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520" w:type="dxa"/>
                  <w:shd w:val="clear" w:color="auto" w:fill="auto"/>
                  <w:tcMar>
                    <w:top w:w="0" w:type="dxa"/>
                    <w:left w:w="0" w:type="dxa"/>
                    <w:bottom w:w="0" w:type="dxa"/>
                    <w:right w:w="0" w:type="dxa"/>
                  </w:tcMar>
                  <w:vAlign w:val="center"/>
                </w:tcPr>
                <w:p>
                  <w:pPr>
                    <w:pStyle w:val="73"/>
                    <w:bidi w:val="0"/>
                  </w:pPr>
                  <w:r>
                    <w:t>21.0</w:t>
                  </w:r>
                </w:p>
              </w:tc>
              <w:tc>
                <w:tcPr>
                  <w:tcW w:w="542" w:type="dxa"/>
                  <w:shd w:val="clear" w:color="auto" w:fill="auto"/>
                  <w:tcMar>
                    <w:top w:w="0" w:type="dxa"/>
                    <w:left w:w="0" w:type="dxa"/>
                    <w:bottom w:w="0" w:type="dxa"/>
                    <w:right w:w="0" w:type="dxa"/>
                  </w:tcMar>
                  <w:vAlign w:val="center"/>
                </w:tcPr>
                <w:p>
                  <w:pPr>
                    <w:pStyle w:val="73"/>
                    <w:bidi w:val="0"/>
                  </w:pPr>
                  <w:r>
                    <w:t>39.7</w:t>
                  </w:r>
                </w:p>
              </w:tc>
              <w:tc>
                <w:tcPr>
                  <w:tcW w:w="565" w:type="dxa"/>
                  <w:shd w:val="clear" w:color="auto" w:fill="auto"/>
                  <w:tcMar>
                    <w:top w:w="0" w:type="dxa"/>
                    <w:left w:w="0" w:type="dxa"/>
                    <w:bottom w:w="0" w:type="dxa"/>
                    <w:right w:w="0" w:type="dxa"/>
                  </w:tcMar>
                  <w:vAlign w:val="center"/>
                </w:tcPr>
                <w:p>
                  <w:pPr>
                    <w:pStyle w:val="73"/>
                    <w:bidi w:val="0"/>
                  </w:pPr>
                  <w:r>
                    <w:t>39.7</w:t>
                  </w:r>
                </w:p>
              </w:tc>
              <w:tc>
                <w:tcPr>
                  <w:tcW w:w="497" w:type="dxa"/>
                  <w:shd w:val="clear" w:color="auto" w:fill="auto"/>
                  <w:tcMar>
                    <w:top w:w="0" w:type="dxa"/>
                    <w:left w:w="0" w:type="dxa"/>
                    <w:bottom w:w="0" w:type="dxa"/>
                    <w:right w:w="0" w:type="dxa"/>
                  </w:tcMar>
                  <w:vAlign w:val="center"/>
                </w:tcPr>
                <w:p>
                  <w:pPr>
                    <w:pStyle w:val="73"/>
                    <w:bidi w:val="0"/>
                  </w:pPr>
                  <w:r>
                    <w:t>39.7</w:t>
                  </w:r>
                </w:p>
              </w:tc>
              <w:tc>
                <w:tcPr>
                  <w:tcW w:w="553" w:type="dxa"/>
                  <w:shd w:val="clear" w:color="auto" w:fill="auto"/>
                  <w:tcMar>
                    <w:top w:w="0" w:type="dxa"/>
                    <w:left w:w="0" w:type="dxa"/>
                    <w:bottom w:w="0" w:type="dxa"/>
                    <w:right w:w="0" w:type="dxa"/>
                  </w:tcMar>
                  <w:vAlign w:val="center"/>
                </w:tcPr>
                <w:p>
                  <w:pPr>
                    <w:pStyle w:val="73"/>
                    <w:bidi w:val="0"/>
                  </w:pPr>
                  <w:r>
                    <w:t>39.7</w:t>
                  </w:r>
                </w:p>
              </w:tc>
              <w:tc>
                <w:tcPr>
                  <w:tcW w:w="544" w:type="dxa"/>
                  <w:shd w:val="clear" w:color="auto" w:fill="auto"/>
                  <w:tcMar>
                    <w:top w:w="0" w:type="dxa"/>
                    <w:left w:w="0" w:type="dxa"/>
                    <w:bottom w:w="0" w:type="dxa"/>
                    <w:right w:w="0" w:type="dxa"/>
                  </w:tcMar>
                  <w:vAlign w:val="center"/>
                </w:tcPr>
                <w:p>
                  <w:pPr>
                    <w:pStyle w:val="73"/>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6" w:type="dxa"/>
                  <w:shd w:val="clear" w:color="auto" w:fill="auto"/>
                  <w:tcMar>
                    <w:top w:w="0" w:type="dxa"/>
                    <w:left w:w="0" w:type="dxa"/>
                    <w:bottom w:w="0" w:type="dxa"/>
                    <w:right w:w="0" w:type="dxa"/>
                  </w:tcMar>
                  <w:vAlign w:val="center"/>
                </w:tcPr>
                <w:p>
                  <w:pPr>
                    <w:pStyle w:val="73"/>
                    <w:bidi w:val="0"/>
                  </w:pPr>
                  <w:r>
                    <w:t>2</w:t>
                  </w:r>
                </w:p>
              </w:tc>
              <w:tc>
                <w:tcPr>
                  <w:tcW w:w="701" w:type="dxa"/>
                  <w:shd w:val="clear" w:color="auto" w:fill="auto"/>
                  <w:tcMar>
                    <w:top w:w="0" w:type="dxa"/>
                    <w:left w:w="0" w:type="dxa"/>
                    <w:bottom w:w="0" w:type="dxa"/>
                    <w:right w:w="0" w:type="dxa"/>
                  </w:tcMar>
                  <w:vAlign w:val="center"/>
                </w:tcPr>
                <w:p>
                  <w:pPr>
                    <w:pStyle w:val="73"/>
                    <w:bidi w:val="0"/>
                  </w:pPr>
                  <w:r>
                    <w:t>屠宰车间</w:t>
                  </w:r>
                </w:p>
              </w:tc>
              <w:tc>
                <w:tcPr>
                  <w:tcW w:w="912" w:type="dxa"/>
                  <w:shd w:val="clear" w:color="auto" w:fill="auto"/>
                  <w:tcMar>
                    <w:top w:w="0" w:type="dxa"/>
                    <w:left w:w="0" w:type="dxa"/>
                    <w:bottom w:w="0" w:type="dxa"/>
                    <w:right w:w="0" w:type="dxa"/>
                  </w:tcMar>
                  <w:vAlign w:val="center"/>
                </w:tcPr>
                <w:p>
                  <w:pPr>
                    <w:pStyle w:val="73"/>
                    <w:bidi w:val="0"/>
                  </w:pPr>
                  <w:r>
                    <w:t>气动双柱升降台</w:t>
                  </w:r>
                </w:p>
              </w:tc>
              <w:tc>
                <w:tcPr>
                  <w:tcW w:w="900" w:type="dxa"/>
                  <w:shd w:val="clear" w:color="auto" w:fill="auto"/>
                  <w:tcMar>
                    <w:top w:w="0" w:type="dxa"/>
                    <w:left w:w="0" w:type="dxa"/>
                    <w:bottom w:w="0" w:type="dxa"/>
                    <w:right w:w="0" w:type="dxa"/>
                  </w:tcMar>
                  <w:vAlign w:val="center"/>
                </w:tcPr>
                <w:p>
                  <w:pPr>
                    <w:pStyle w:val="73"/>
                    <w:bidi w:val="0"/>
                  </w:pPr>
                  <w:r>
                    <w:t>65</w:t>
                  </w:r>
                </w:p>
              </w:tc>
              <w:tc>
                <w:tcPr>
                  <w:tcW w:w="935" w:type="dxa"/>
                  <w:vMerge w:val="restart"/>
                  <w:shd w:val="clear" w:color="auto" w:fill="auto"/>
                  <w:tcMar>
                    <w:top w:w="0" w:type="dxa"/>
                    <w:left w:w="0" w:type="dxa"/>
                    <w:bottom w:w="0" w:type="dxa"/>
                    <w:right w:w="0" w:type="dxa"/>
                  </w:tcMar>
                  <w:vAlign w:val="center"/>
                </w:tcPr>
                <w:p>
                  <w:pPr>
                    <w:pStyle w:val="73"/>
                    <w:bidi w:val="0"/>
                  </w:pPr>
                  <w:r>
                    <w:rPr>
                      <w:rFonts w:hint="default"/>
                    </w:rPr>
                    <w:t>减振降噪</w:t>
                  </w:r>
                </w:p>
              </w:tc>
              <w:tc>
                <w:tcPr>
                  <w:tcW w:w="553" w:type="dxa"/>
                  <w:shd w:val="clear" w:color="auto" w:fill="auto"/>
                  <w:tcMar>
                    <w:top w:w="0" w:type="dxa"/>
                    <w:left w:w="0" w:type="dxa"/>
                    <w:bottom w:w="0" w:type="dxa"/>
                    <w:right w:w="0" w:type="dxa"/>
                  </w:tcMar>
                  <w:vAlign w:val="center"/>
                </w:tcPr>
                <w:p>
                  <w:pPr>
                    <w:pStyle w:val="73"/>
                    <w:bidi w:val="0"/>
                  </w:pPr>
                  <w:r>
                    <w:t>-11.9</w:t>
                  </w:r>
                </w:p>
              </w:tc>
              <w:tc>
                <w:tcPr>
                  <w:tcW w:w="404" w:type="dxa"/>
                  <w:shd w:val="clear" w:color="auto" w:fill="auto"/>
                  <w:tcMar>
                    <w:top w:w="0" w:type="dxa"/>
                    <w:left w:w="0" w:type="dxa"/>
                    <w:bottom w:w="0" w:type="dxa"/>
                    <w:right w:w="0" w:type="dxa"/>
                  </w:tcMar>
                  <w:vAlign w:val="center"/>
                </w:tcPr>
                <w:p>
                  <w:pPr>
                    <w:pStyle w:val="73"/>
                    <w:bidi w:val="0"/>
                  </w:pPr>
                  <w:r>
                    <w:t>7.9</w:t>
                  </w:r>
                </w:p>
              </w:tc>
              <w:tc>
                <w:tcPr>
                  <w:tcW w:w="346" w:type="dxa"/>
                  <w:shd w:val="clear" w:color="auto" w:fill="auto"/>
                  <w:tcMar>
                    <w:top w:w="0" w:type="dxa"/>
                    <w:left w:w="0" w:type="dxa"/>
                    <w:bottom w:w="0" w:type="dxa"/>
                    <w:right w:w="0" w:type="dxa"/>
                  </w:tcMar>
                  <w:vAlign w:val="center"/>
                </w:tcPr>
                <w:p>
                  <w:pPr>
                    <w:pStyle w:val="73"/>
                    <w:bidi w:val="0"/>
                  </w:pPr>
                  <w:r>
                    <w:t>1.2</w:t>
                  </w:r>
                </w:p>
              </w:tc>
              <w:tc>
                <w:tcPr>
                  <w:tcW w:w="462" w:type="dxa"/>
                  <w:shd w:val="clear" w:color="auto" w:fill="auto"/>
                  <w:tcMar>
                    <w:top w:w="0" w:type="dxa"/>
                    <w:left w:w="0" w:type="dxa"/>
                    <w:bottom w:w="0" w:type="dxa"/>
                    <w:right w:w="0" w:type="dxa"/>
                  </w:tcMar>
                  <w:vAlign w:val="center"/>
                </w:tcPr>
                <w:p>
                  <w:pPr>
                    <w:pStyle w:val="73"/>
                    <w:bidi w:val="0"/>
                  </w:pPr>
                  <w:r>
                    <w:t>6.9</w:t>
                  </w:r>
                </w:p>
              </w:tc>
              <w:tc>
                <w:tcPr>
                  <w:tcW w:w="473" w:type="dxa"/>
                  <w:shd w:val="clear" w:color="auto" w:fill="auto"/>
                  <w:tcMar>
                    <w:top w:w="0" w:type="dxa"/>
                    <w:left w:w="0" w:type="dxa"/>
                    <w:bottom w:w="0" w:type="dxa"/>
                    <w:right w:w="0" w:type="dxa"/>
                  </w:tcMar>
                  <w:vAlign w:val="center"/>
                </w:tcPr>
                <w:p>
                  <w:pPr>
                    <w:pStyle w:val="73"/>
                    <w:bidi w:val="0"/>
                  </w:pPr>
                  <w:r>
                    <w:t>15.4</w:t>
                  </w:r>
                </w:p>
              </w:tc>
              <w:tc>
                <w:tcPr>
                  <w:tcW w:w="462" w:type="dxa"/>
                  <w:shd w:val="clear" w:color="auto" w:fill="auto"/>
                  <w:tcMar>
                    <w:top w:w="0" w:type="dxa"/>
                    <w:left w:w="0" w:type="dxa"/>
                    <w:bottom w:w="0" w:type="dxa"/>
                    <w:right w:w="0" w:type="dxa"/>
                  </w:tcMar>
                  <w:vAlign w:val="center"/>
                </w:tcPr>
                <w:p>
                  <w:pPr>
                    <w:pStyle w:val="73"/>
                    <w:bidi w:val="0"/>
                  </w:pPr>
                  <w:r>
                    <w:t>6.2</w:t>
                  </w:r>
                </w:p>
              </w:tc>
              <w:tc>
                <w:tcPr>
                  <w:tcW w:w="519" w:type="dxa"/>
                  <w:shd w:val="clear" w:color="auto" w:fill="auto"/>
                  <w:tcMar>
                    <w:top w:w="0" w:type="dxa"/>
                    <w:left w:w="0" w:type="dxa"/>
                    <w:bottom w:w="0" w:type="dxa"/>
                    <w:right w:w="0" w:type="dxa"/>
                  </w:tcMar>
                  <w:vAlign w:val="center"/>
                </w:tcPr>
                <w:p>
                  <w:pPr>
                    <w:pStyle w:val="73"/>
                    <w:bidi w:val="0"/>
                  </w:pPr>
                  <w:r>
                    <w:t>12.1</w:t>
                  </w:r>
                </w:p>
              </w:tc>
              <w:tc>
                <w:tcPr>
                  <w:tcW w:w="461" w:type="dxa"/>
                  <w:shd w:val="clear" w:color="auto" w:fill="auto"/>
                  <w:tcMar>
                    <w:top w:w="0" w:type="dxa"/>
                    <w:left w:w="0" w:type="dxa"/>
                    <w:bottom w:w="0" w:type="dxa"/>
                    <w:right w:w="0" w:type="dxa"/>
                  </w:tcMar>
                  <w:vAlign w:val="center"/>
                </w:tcPr>
                <w:p>
                  <w:pPr>
                    <w:pStyle w:val="73"/>
                    <w:bidi w:val="0"/>
                  </w:pPr>
                  <w:r>
                    <w:t>55.7</w:t>
                  </w:r>
                </w:p>
              </w:tc>
              <w:tc>
                <w:tcPr>
                  <w:tcW w:w="416" w:type="dxa"/>
                  <w:shd w:val="clear" w:color="auto" w:fill="auto"/>
                  <w:tcMar>
                    <w:top w:w="0" w:type="dxa"/>
                    <w:left w:w="0" w:type="dxa"/>
                    <w:bottom w:w="0" w:type="dxa"/>
                    <w:right w:w="0" w:type="dxa"/>
                  </w:tcMar>
                  <w:vAlign w:val="center"/>
                </w:tcPr>
                <w:p>
                  <w:pPr>
                    <w:pStyle w:val="73"/>
                    <w:bidi w:val="0"/>
                  </w:pPr>
                  <w:r>
                    <w:t>55.7</w:t>
                  </w:r>
                </w:p>
              </w:tc>
              <w:tc>
                <w:tcPr>
                  <w:tcW w:w="427" w:type="dxa"/>
                  <w:shd w:val="clear" w:color="auto" w:fill="auto"/>
                  <w:tcMar>
                    <w:top w:w="0" w:type="dxa"/>
                    <w:left w:w="0" w:type="dxa"/>
                    <w:bottom w:w="0" w:type="dxa"/>
                    <w:right w:w="0" w:type="dxa"/>
                  </w:tcMar>
                  <w:vAlign w:val="center"/>
                </w:tcPr>
                <w:p>
                  <w:pPr>
                    <w:pStyle w:val="73"/>
                    <w:bidi w:val="0"/>
                  </w:pPr>
                  <w:r>
                    <w:t>55.7</w:t>
                  </w:r>
                </w:p>
              </w:tc>
              <w:tc>
                <w:tcPr>
                  <w:tcW w:w="519" w:type="dxa"/>
                  <w:shd w:val="clear" w:color="auto" w:fill="auto"/>
                  <w:tcMar>
                    <w:top w:w="0" w:type="dxa"/>
                    <w:left w:w="0" w:type="dxa"/>
                    <w:bottom w:w="0" w:type="dxa"/>
                    <w:right w:w="0" w:type="dxa"/>
                  </w:tcMar>
                  <w:vAlign w:val="center"/>
                </w:tcPr>
                <w:p>
                  <w:pPr>
                    <w:pStyle w:val="73"/>
                    <w:bidi w:val="0"/>
                  </w:pPr>
                  <w:r>
                    <w:t>55.7</w:t>
                  </w:r>
                </w:p>
              </w:tc>
              <w:tc>
                <w:tcPr>
                  <w:tcW w:w="415" w:type="dxa"/>
                  <w:shd w:val="clear" w:color="auto" w:fill="auto"/>
                  <w:tcMar>
                    <w:top w:w="0" w:type="dxa"/>
                    <w:left w:w="0" w:type="dxa"/>
                    <w:bottom w:w="0" w:type="dxa"/>
                    <w:right w:w="0" w:type="dxa"/>
                  </w:tcMar>
                  <w:vAlign w:val="center"/>
                </w:tcPr>
                <w:p>
                  <w:pPr>
                    <w:pStyle w:val="73"/>
                    <w:bidi w:val="0"/>
                  </w:pPr>
                  <w:r>
                    <w:t>24</w:t>
                  </w:r>
                </w:p>
              </w:tc>
              <w:tc>
                <w:tcPr>
                  <w:tcW w:w="450"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520" w:type="dxa"/>
                  <w:shd w:val="clear" w:color="auto" w:fill="auto"/>
                  <w:tcMar>
                    <w:top w:w="0" w:type="dxa"/>
                    <w:left w:w="0" w:type="dxa"/>
                    <w:bottom w:w="0" w:type="dxa"/>
                    <w:right w:w="0" w:type="dxa"/>
                  </w:tcMar>
                  <w:vAlign w:val="center"/>
                </w:tcPr>
                <w:p>
                  <w:pPr>
                    <w:pStyle w:val="73"/>
                    <w:bidi w:val="0"/>
                  </w:pPr>
                  <w:r>
                    <w:t>21.0</w:t>
                  </w:r>
                </w:p>
              </w:tc>
              <w:tc>
                <w:tcPr>
                  <w:tcW w:w="542" w:type="dxa"/>
                  <w:shd w:val="clear" w:color="auto" w:fill="auto"/>
                  <w:tcMar>
                    <w:top w:w="0" w:type="dxa"/>
                    <w:left w:w="0" w:type="dxa"/>
                    <w:bottom w:w="0" w:type="dxa"/>
                    <w:right w:w="0" w:type="dxa"/>
                  </w:tcMar>
                  <w:vAlign w:val="center"/>
                </w:tcPr>
                <w:p>
                  <w:pPr>
                    <w:pStyle w:val="73"/>
                    <w:bidi w:val="0"/>
                  </w:pPr>
                  <w:r>
                    <w:t>34.7</w:t>
                  </w:r>
                </w:p>
              </w:tc>
              <w:tc>
                <w:tcPr>
                  <w:tcW w:w="565" w:type="dxa"/>
                  <w:shd w:val="clear" w:color="auto" w:fill="auto"/>
                  <w:tcMar>
                    <w:top w:w="0" w:type="dxa"/>
                    <w:left w:w="0" w:type="dxa"/>
                    <w:bottom w:w="0" w:type="dxa"/>
                    <w:right w:w="0" w:type="dxa"/>
                  </w:tcMar>
                  <w:vAlign w:val="center"/>
                </w:tcPr>
                <w:p>
                  <w:pPr>
                    <w:pStyle w:val="73"/>
                    <w:bidi w:val="0"/>
                  </w:pPr>
                  <w:r>
                    <w:t>34.7</w:t>
                  </w:r>
                </w:p>
              </w:tc>
              <w:tc>
                <w:tcPr>
                  <w:tcW w:w="497" w:type="dxa"/>
                  <w:shd w:val="clear" w:color="auto" w:fill="auto"/>
                  <w:tcMar>
                    <w:top w:w="0" w:type="dxa"/>
                    <w:left w:w="0" w:type="dxa"/>
                    <w:bottom w:w="0" w:type="dxa"/>
                    <w:right w:w="0" w:type="dxa"/>
                  </w:tcMar>
                  <w:vAlign w:val="center"/>
                </w:tcPr>
                <w:p>
                  <w:pPr>
                    <w:pStyle w:val="73"/>
                    <w:bidi w:val="0"/>
                  </w:pPr>
                  <w:r>
                    <w:t>34.7</w:t>
                  </w:r>
                </w:p>
              </w:tc>
              <w:tc>
                <w:tcPr>
                  <w:tcW w:w="553" w:type="dxa"/>
                  <w:shd w:val="clear" w:color="auto" w:fill="auto"/>
                  <w:tcMar>
                    <w:top w:w="0" w:type="dxa"/>
                    <w:left w:w="0" w:type="dxa"/>
                    <w:bottom w:w="0" w:type="dxa"/>
                    <w:right w:w="0" w:type="dxa"/>
                  </w:tcMar>
                  <w:vAlign w:val="center"/>
                </w:tcPr>
                <w:p>
                  <w:pPr>
                    <w:pStyle w:val="73"/>
                    <w:bidi w:val="0"/>
                  </w:pPr>
                  <w:r>
                    <w:t>34.7</w:t>
                  </w:r>
                </w:p>
              </w:tc>
              <w:tc>
                <w:tcPr>
                  <w:tcW w:w="544" w:type="dxa"/>
                  <w:shd w:val="clear" w:color="auto" w:fill="auto"/>
                  <w:tcMar>
                    <w:top w:w="0" w:type="dxa"/>
                    <w:left w:w="0" w:type="dxa"/>
                    <w:bottom w:w="0" w:type="dxa"/>
                    <w:right w:w="0" w:type="dxa"/>
                  </w:tcMar>
                  <w:vAlign w:val="center"/>
                </w:tcPr>
                <w:p>
                  <w:pPr>
                    <w:pStyle w:val="73"/>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6" w:type="dxa"/>
                  <w:shd w:val="clear" w:color="auto" w:fill="auto"/>
                  <w:tcMar>
                    <w:top w:w="0" w:type="dxa"/>
                    <w:left w:w="0" w:type="dxa"/>
                    <w:bottom w:w="0" w:type="dxa"/>
                    <w:right w:w="0" w:type="dxa"/>
                  </w:tcMar>
                  <w:vAlign w:val="center"/>
                </w:tcPr>
                <w:p>
                  <w:pPr>
                    <w:pStyle w:val="73"/>
                    <w:bidi w:val="0"/>
                  </w:pPr>
                  <w:r>
                    <w:t>3</w:t>
                  </w:r>
                </w:p>
              </w:tc>
              <w:tc>
                <w:tcPr>
                  <w:tcW w:w="701" w:type="dxa"/>
                  <w:shd w:val="clear" w:color="auto" w:fill="auto"/>
                  <w:tcMar>
                    <w:top w:w="0" w:type="dxa"/>
                    <w:left w:w="0" w:type="dxa"/>
                    <w:bottom w:w="0" w:type="dxa"/>
                    <w:right w:w="0" w:type="dxa"/>
                  </w:tcMar>
                  <w:vAlign w:val="center"/>
                </w:tcPr>
                <w:p>
                  <w:pPr>
                    <w:pStyle w:val="73"/>
                    <w:bidi w:val="0"/>
                  </w:pPr>
                  <w:r>
                    <w:t>屠宰车间</w:t>
                  </w:r>
                </w:p>
              </w:tc>
              <w:tc>
                <w:tcPr>
                  <w:tcW w:w="912" w:type="dxa"/>
                  <w:shd w:val="clear" w:color="auto" w:fill="auto"/>
                  <w:tcMar>
                    <w:top w:w="0" w:type="dxa"/>
                    <w:left w:w="0" w:type="dxa"/>
                    <w:bottom w:w="0" w:type="dxa"/>
                    <w:right w:w="0" w:type="dxa"/>
                  </w:tcMar>
                  <w:vAlign w:val="center"/>
                </w:tcPr>
                <w:p>
                  <w:pPr>
                    <w:pStyle w:val="73"/>
                    <w:bidi w:val="0"/>
                  </w:pPr>
                  <w:r>
                    <w:t>空气压缩机</w:t>
                  </w:r>
                </w:p>
              </w:tc>
              <w:tc>
                <w:tcPr>
                  <w:tcW w:w="900" w:type="dxa"/>
                  <w:shd w:val="clear" w:color="auto" w:fill="auto"/>
                  <w:tcMar>
                    <w:top w:w="0" w:type="dxa"/>
                    <w:left w:w="0" w:type="dxa"/>
                    <w:bottom w:w="0" w:type="dxa"/>
                    <w:right w:w="0" w:type="dxa"/>
                  </w:tcMar>
                  <w:vAlign w:val="center"/>
                </w:tcPr>
                <w:p>
                  <w:pPr>
                    <w:pStyle w:val="73"/>
                    <w:bidi w:val="0"/>
                  </w:pPr>
                  <w:r>
                    <w:t>80</w:t>
                  </w:r>
                </w:p>
              </w:tc>
              <w:tc>
                <w:tcPr>
                  <w:tcW w:w="935" w:type="dxa"/>
                  <w:vMerge w:val="continue"/>
                  <w:shd w:val="clear" w:color="auto" w:fill="auto"/>
                  <w:tcMar>
                    <w:top w:w="0" w:type="dxa"/>
                    <w:left w:w="0" w:type="dxa"/>
                    <w:bottom w:w="0" w:type="dxa"/>
                    <w:right w:w="0" w:type="dxa"/>
                  </w:tcMar>
                  <w:vAlign w:val="center"/>
                </w:tcPr>
                <w:p>
                  <w:pPr>
                    <w:pStyle w:val="73"/>
                    <w:bidi w:val="0"/>
                  </w:pPr>
                </w:p>
              </w:tc>
              <w:tc>
                <w:tcPr>
                  <w:tcW w:w="553" w:type="dxa"/>
                  <w:shd w:val="clear" w:color="auto" w:fill="auto"/>
                  <w:tcMar>
                    <w:top w:w="0" w:type="dxa"/>
                    <w:left w:w="0" w:type="dxa"/>
                    <w:bottom w:w="0" w:type="dxa"/>
                    <w:right w:w="0" w:type="dxa"/>
                  </w:tcMar>
                  <w:vAlign w:val="center"/>
                </w:tcPr>
                <w:p>
                  <w:pPr>
                    <w:pStyle w:val="73"/>
                    <w:bidi w:val="0"/>
                  </w:pPr>
                  <w:r>
                    <w:t>-4.4</w:t>
                  </w:r>
                </w:p>
              </w:tc>
              <w:tc>
                <w:tcPr>
                  <w:tcW w:w="404" w:type="dxa"/>
                  <w:shd w:val="clear" w:color="auto" w:fill="auto"/>
                  <w:tcMar>
                    <w:top w:w="0" w:type="dxa"/>
                    <w:left w:w="0" w:type="dxa"/>
                    <w:bottom w:w="0" w:type="dxa"/>
                    <w:right w:w="0" w:type="dxa"/>
                  </w:tcMar>
                  <w:vAlign w:val="center"/>
                </w:tcPr>
                <w:p>
                  <w:pPr>
                    <w:pStyle w:val="73"/>
                    <w:bidi w:val="0"/>
                  </w:pPr>
                  <w:r>
                    <w:t>-0.5</w:t>
                  </w:r>
                </w:p>
              </w:tc>
              <w:tc>
                <w:tcPr>
                  <w:tcW w:w="346" w:type="dxa"/>
                  <w:shd w:val="clear" w:color="auto" w:fill="auto"/>
                  <w:tcMar>
                    <w:top w:w="0" w:type="dxa"/>
                    <w:left w:w="0" w:type="dxa"/>
                    <w:bottom w:w="0" w:type="dxa"/>
                    <w:right w:w="0" w:type="dxa"/>
                  </w:tcMar>
                  <w:vAlign w:val="center"/>
                </w:tcPr>
                <w:p>
                  <w:pPr>
                    <w:pStyle w:val="73"/>
                    <w:bidi w:val="0"/>
                  </w:pPr>
                  <w:r>
                    <w:t>1.2</w:t>
                  </w:r>
                </w:p>
              </w:tc>
              <w:tc>
                <w:tcPr>
                  <w:tcW w:w="462" w:type="dxa"/>
                  <w:shd w:val="clear" w:color="auto" w:fill="auto"/>
                  <w:tcMar>
                    <w:top w:w="0" w:type="dxa"/>
                    <w:left w:w="0" w:type="dxa"/>
                    <w:bottom w:w="0" w:type="dxa"/>
                    <w:right w:w="0" w:type="dxa"/>
                  </w:tcMar>
                  <w:vAlign w:val="center"/>
                </w:tcPr>
                <w:p>
                  <w:pPr>
                    <w:pStyle w:val="73"/>
                    <w:bidi w:val="0"/>
                  </w:pPr>
                  <w:r>
                    <w:t>5.8</w:t>
                  </w:r>
                </w:p>
              </w:tc>
              <w:tc>
                <w:tcPr>
                  <w:tcW w:w="473" w:type="dxa"/>
                  <w:shd w:val="clear" w:color="auto" w:fill="auto"/>
                  <w:tcMar>
                    <w:top w:w="0" w:type="dxa"/>
                    <w:left w:w="0" w:type="dxa"/>
                    <w:bottom w:w="0" w:type="dxa"/>
                    <w:right w:w="0" w:type="dxa"/>
                  </w:tcMar>
                  <w:vAlign w:val="center"/>
                </w:tcPr>
                <w:p>
                  <w:pPr>
                    <w:pStyle w:val="73"/>
                    <w:bidi w:val="0"/>
                  </w:pPr>
                  <w:r>
                    <w:t>4.2</w:t>
                  </w:r>
                </w:p>
              </w:tc>
              <w:tc>
                <w:tcPr>
                  <w:tcW w:w="462" w:type="dxa"/>
                  <w:shd w:val="clear" w:color="auto" w:fill="auto"/>
                  <w:tcMar>
                    <w:top w:w="0" w:type="dxa"/>
                    <w:left w:w="0" w:type="dxa"/>
                    <w:bottom w:w="0" w:type="dxa"/>
                    <w:right w:w="0" w:type="dxa"/>
                  </w:tcMar>
                  <w:vAlign w:val="center"/>
                </w:tcPr>
                <w:p>
                  <w:pPr>
                    <w:pStyle w:val="73"/>
                    <w:bidi w:val="0"/>
                  </w:pPr>
                  <w:r>
                    <w:t>7.4</w:t>
                  </w:r>
                </w:p>
              </w:tc>
              <w:tc>
                <w:tcPr>
                  <w:tcW w:w="519" w:type="dxa"/>
                  <w:shd w:val="clear" w:color="auto" w:fill="auto"/>
                  <w:tcMar>
                    <w:top w:w="0" w:type="dxa"/>
                    <w:left w:w="0" w:type="dxa"/>
                    <w:bottom w:w="0" w:type="dxa"/>
                    <w:right w:w="0" w:type="dxa"/>
                  </w:tcMar>
                  <w:vAlign w:val="center"/>
                </w:tcPr>
                <w:p>
                  <w:pPr>
                    <w:pStyle w:val="73"/>
                    <w:bidi w:val="0"/>
                  </w:pPr>
                  <w:r>
                    <w:t>23.4</w:t>
                  </w:r>
                </w:p>
              </w:tc>
              <w:tc>
                <w:tcPr>
                  <w:tcW w:w="461" w:type="dxa"/>
                  <w:shd w:val="clear" w:color="auto" w:fill="auto"/>
                  <w:tcMar>
                    <w:top w:w="0" w:type="dxa"/>
                    <w:left w:w="0" w:type="dxa"/>
                    <w:bottom w:w="0" w:type="dxa"/>
                    <w:right w:w="0" w:type="dxa"/>
                  </w:tcMar>
                  <w:vAlign w:val="center"/>
                </w:tcPr>
                <w:p>
                  <w:pPr>
                    <w:pStyle w:val="73"/>
                    <w:bidi w:val="0"/>
                  </w:pPr>
                  <w:r>
                    <w:t>70.8</w:t>
                  </w:r>
                </w:p>
              </w:tc>
              <w:tc>
                <w:tcPr>
                  <w:tcW w:w="416" w:type="dxa"/>
                  <w:shd w:val="clear" w:color="auto" w:fill="auto"/>
                  <w:tcMar>
                    <w:top w:w="0" w:type="dxa"/>
                    <w:left w:w="0" w:type="dxa"/>
                    <w:bottom w:w="0" w:type="dxa"/>
                    <w:right w:w="0" w:type="dxa"/>
                  </w:tcMar>
                  <w:vAlign w:val="center"/>
                </w:tcPr>
                <w:p>
                  <w:pPr>
                    <w:pStyle w:val="73"/>
                    <w:bidi w:val="0"/>
                  </w:pPr>
                  <w:r>
                    <w:t>70.8</w:t>
                  </w:r>
                </w:p>
              </w:tc>
              <w:tc>
                <w:tcPr>
                  <w:tcW w:w="427" w:type="dxa"/>
                  <w:shd w:val="clear" w:color="auto" w:fill="auto"/>
                  <w:tcMar>
                    <w:top w:w="0" w:type="dxa"/>
                    <w:left w:w="0" w:type="dxa"/>
                    <w:bottom w:w="0" w:type="dxa"/>
                    <w:right w:w="0" w:type="dxa"/>
                  </w:tcMar>
                  <w:vAlign w:val="center"/>
                </w:tcPr>
                <w:p>
                  <w:pPr>
                    <w:pStyle w:val="73"/>
                    <w:bidi w:val="0"/>
                  </w:pPr>
                  <w:r>
                    <w:t>70.7</w:t>
                  </w:r>
                </w:p>
              </w:tc>
              <w:tc>
                <w:tcPr>
                  <w:tcW w:w="519" w:type="dxa"/>
                  <w:shd w:val="clear" w:color="auto" w:fill="auto"/>
                  <w:tcMar>
                    <w:top w:w="0" w:type="dxa"/>
                    <w:left w:w="0" w:type="dxa"/>
                    <w:bottom w:w="0" w:type="dxa"/>
                    <w:right w:w="0" w:type="dxa"/>
                  </w:tcMar>
                  <w:vAlign w:val="center"/>
                </w:tcPr>
                <w:p>
                  <w:pPr>
                    <w:pStyle w:val="73"/>
                    <w:bidi w:val="0"/>
                  </w:pPr>
                  <w:r>
                    <w:t>70.7</w:t>
                  </w:r>
                </w:p>
              </w:tc>
              <w:tc>
                <w:tcPr>
                  <w:tcW w:w="415" w:type="dxa"/>
                  <w:shd w:val="clear" w:color="auto" w:fill="auto"/>
                  <w:tcMar>
                    <w:top w:w="0" w:type="dxa"/>
                    <w:left w:w="0" w:type="dxa"/>
                    <w:bottom w:w="0" w:type="dxa"/>
                    <w:right w:w="0" w:type="dxa"/>
                  </w:tcMar>
                  <w:vAlign w:val="center"/>
                </w:tcPr>
                <w:p>
                  <w:pPr>
                    <w:pStyle w:val="73"/>
                    <w:bidi w:val="0"/>
                  </w:pPr>
                  <w:r>
                    <w:t>24</w:t>
                  </w:r>
                </w:p>
              </w:tc>
              <w:tc>
                <w:tcPr>
                  <w:tcW w:w="450"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520" w:type="dxa"/>
                  <w:shd w:val="clear" w:color="auto" w:fill="auto"/>
                  <w:tcMar>
                    <w:top w:w="0" w:type="dxa"/>
                    <w:left w:w="0" w:type="dxa"/>
                    <w:bottom w:w="0" w:type="dxa"/>
                    <w:right w:w="0" w:type="dxa"/>
                  </w:tcMar>
                  <w:vAlign w:val="center"/>
                </w:tcPr>
                <w:p>
                  <w:pPr>
                    <w:pStyle w:val="73"/>
                    <w:bidi w:val="0"/>
                  </w:pPr>
                  <w:r>
                    <w:t>21.0</w:t>
                  </w:r>
                </w:p>
              </w:tc>
              <w:tc>
                <w:tcPr>
                  <w:tcW w:w="542" w:type="dxa"/>
                  <w:shd w:val="clear" w:color="auto" w:fill="auto"/>
                  <w:tcMar>
                    <w:top w:w="0" w:type="dxa"/>
                    <w:left w:w="0" w:type="dxa"/>
                    <w:bottom w:w="0" w:type="dxa"/>
                    <w:right w:w="0" w:type="dxa"/>
                  </w:tcMar>
                  <w:vAlign w:val="center"/>
                </w:tcPr>
                <w:p>
                  <w:pPr>
                    <w:pStyle w:val="73"/>
                    <w:bidi w:val="0"/>
                  </w:pPr>
                  <w:r>
                    <w:t>49.8</w:t>
                  </w:r>
                </w:p>
              </w:tc>
              <w:tc>
                <w:tcPr>
                  <w:tcW w:w="565" w:type="dxa"/>
                  <w:shd w:val="clear" w:color="auto" w:fill="auto"/>
                  <w:tcMar>
                    <w:top w:w="0" w:type="dxa"/>
                    <w:left w:w="0" w:type="dxa"/>
                    <w:bottom w:w="0" w:type="dxa"/>
                    <w:right w:w="0" w:type="dxa"/>
                  </w:tcMar>
                  <w:vAlign w:val="center"/>
                </w:tcPr>
                <w:p>
                  <w:pPr>
                    <w:pStyle w:val="73"/>
                    <w:bidi w:val="0"/>
                  </w:pPr>
                  <w:r>
                    <w:t>49.8</w:t>
                  </w:r>
                </w:p>
              </w:tc>
              <w:tc>
                <w:tcPr>
                  <w:tcW w:w="497" w:type="dxa"/>
                  <w:shd w:val="clear" w:color="auto" w:fill="auto"/>
                  <w:tcMar>
                    <w:top w:w="0" w:type="dxa"/>
                    <w:left w:w="0" w:type="dxa"/>
                    <w:bottom w:w="0" w:type="dxa"/>
                    <w:right w:w="0" w:type="dxa"/>
                  </w:tcMar>
                  <w:vAlign w:val="center"/>
                </w:tcPr>
                <w:p>
                  <w:pPr>
                    <w:pStyle w:val="73"/>
                    <w:bidi w:val="0"/>
                  </w:pPr>
                  <w:r>
                    <w:t>49.7</w:t>
                  </w:r>
                </w:p>
              </w:tc>
              <w:tc>
                <w:tcPr>
                  <w:tcW w:w="553" w:type="dxa"/>
                  <w:shd w:val="clear" w:color="auto" w:fill="auto"/>
                  <w:tcMar>
                    <w:top w:w="0" w:type="dxa"/>
                    <w:left w:w="0" w:type="dxa"/>
                    <w:bottom w:w="0" w:type="dxa"/>
                    <w:right w:w="0" w:type="dxa"/>
                  </w:tcMar>
                  <w:vAlign w:val="center"/>
                </w:tcPr>
                <w:p>
                  <w:pPr>
                    <w:pStyle w:val="73"/>
                    <w:bidi w:val="0"/>
                  </w:pPr>
                  <w:r>
                    <w:t>49.7</w:t>
                  </w:r>
                </w:p>
              </w:tc>
              <w:tc>
                <w:tcPr>
                  <w:tcW w:w="544" w:type="dxa"/>
                  <w:shd w:val="clear" w:color="auto" w:fill="auto"/>
                  <w:tcMar>
                    <w:top w:w="0" w:type="dxa"/>
                    <w:left w:w="0" w:type="dxa"/>
                    <w:bottom w:w="0" w:type="dxa"/>
                    <w:right w:w="0" w:type="dxa"/>
                  </w:tcMar>
                  <w:vAlign w:val="center"/>
                </w:tcPr>
                <w:p>
                  <w:pPr>
                    <w:pStyle w:val="73"/>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6" w:type="dxa"/>
                  <w:shd w:val="clear" w:color="auto" w:fill="auto"/>
                  <w:tcMar>
                    <w:top w:w="0" w:type="dxa"/>
                    <w:left w:w="0" w:type="dxa"/>
                    <w:bottom w:w="0" w:type="dxa"/>
                    <w:right w:w="0" w:type="dxa"/>
                  </w:tcMar>
                  <w:vAlign w:val="center"/>
                </w:tcPr>
                <w:p>
                  <w:pPr>
                    <w:pStyle w:val="73"/>
                    <w:bidi w:val="0"/>
                    <w:rPr>
                      <w:rFonts w:hint="eastAsia" w:eastAsia="宋体"/>
                      <w:lang w:eastAsia="zh-CN"/>
                    </w:rPr>
                  </w:pPr>
                  <w:r>
                    <w:rPr>
                      <w:rFonts w:hint="eastAsia"/>
                      <w:lang w:val="en-US" w:eastAsia="zh-CN"/>
                    </w:rPr>
                    <w:t>4</w:t>
                  </w:r>
                </w:p>
              </w:tc>
              <w:tc>
                <w:tcPr>
                  <w:tcW w:w="701" w:type="dxa"/>
                  <w:shd w:val="clear" w:color="auto" w:fill="auto"/>
                  <w:tcMar>
                    <w:top w:w="0" w:type="dxa"/>
                    <w:left w:w="0" w:type="dxa"/>
                    <w:bottom w:w="0" w:type="dxa"/>
                    <w:right w:w="0" w:type="dxa"/>
                  </w:tcMar>
                  <w:vAlign w:val="center"/>
                </w:tcPr>
                <w:p>
                  <w:pPr>
                    <w:pStyle w:val="73"/>
                    <w:bidi w:val="0"/>
                  </w:pPr>
                  <w:r>
                    <w:t>污水处理站</w:t>
                  </w:r>
                </w:p>
              </w:tc>
              <w:tc>
                <w:tcPr>
                  <w:tcW w:w="912" w:type="dxa"/>
                  <w:shd w:val="clear" w:color="auto" w:fill="auto"/>
                  <w:tcMar>
                    <w:top w:w="0" w:type="dxa"/>
                    <w:left w:w="0" w:type="dxa"/>
                    <w:bottom w:w="0" w:type="dxa"/>
                    <w:right w:w="0" w:type="dxa"/>
                  </w:tcMar>
                  <w:vAlign w:val="center"/>
                </w:tcPr>
                <w:p>
                  <w:pPr>
                    <w:pStyle w:val="73"/>
                    <w:bidi w:val="0"/>
                  </w:pPr>
                  <w:r>
                    <w:t>水泵</w:t>
                  </w:r>
                </w:p>
              </w:tc>
              <w:tc>
                <w:tcPr>
                  <w:tcW w:w="900" w:type="dxa"/>
                  <w:shd w:val="clear" w:color="auto" w:fill="auto"/>
                  <w:tcMar>
                    <w:top w:w="0" w:type="dxa"/>
                    <w:left w:w="0" w:type="dxa"/>
                    <w:bottom w:w="0" w:type="dxa"/>
                    <w:right w:w="0" w:type="dxa"/>
                  </w:tcMar>
                  <w:vAlign w:val="center"/>
                </w:tcPr>
                <w:p>
                  <w:pPr>
                    <w:pStyle w:val="73"/>
                    <w:bidi w:val="0"/>
                  </w:pPr>
                  <w:r>
                    <w:t>85</w:t>
                  </w:r>
                </w:p>
              </w:tc>
              <w:tc>
                <w:tcPr>
                  <w:tcW w:w="935" w:type="dxa"/>
                  <w:vMerge w:val="continue"/>
                  <w:shd w:val="clear" w:color="auto" w:fill="auto"/>
                  <w:tcMar>
                    <w:top w:w="0" w:type="dxa"/>
                    <w:left w:w="0" w:type="dxa"/>
                    <w:bottom w:w="0" w:type="dxa"/>
                    <w:right w:w="0" w:type="dxa"/>
                  </w:tcMar>
                  <w:vAlign w:val="center"/>
                </w:tcPr>
                <w:p>
                  <w:pPr>
                    <w:pStyle w:val="73"/>
                    <w:bidi w:val="0"/>
                  </w:pPr>
                </w:p>
              </w:tc>
              <w:tc>
                <w:tcPr>
                  <w:tcW w:w="553" w:type="dxa"/>
                  <w:shd w:val="clear" w:color="auto" w:fill="auto"/>
                  <w:tcMar>
                    <w:top w:w="0" w:type="dxa"/>
                    <w:left w:w="0" w:type="dxa"/>
                    <w:bottom w:w="0" w:type="dxa"/>
                    <w:right w:w="0" w:type="dxa"/>
                  </w:tcMar>
                  <w:vAlign w:val="center"/>
                </w:tcPr>
                <w:p>
                  <w:pPr>
                    <w:pStyle w:val="73"/>
                    <w:bidi w:val="0"/>
                  </w:pPr>
                  <w:r>
                    <w:t>13.8</w:t>
                  </w:r>
                </w:p>
              </w:tc>
              <w:tc>
                <w:tcPr>
                  <w:tcW w:w="404" w:type="dxa"/>
                  <w:shd w:val="clear" w:color="auto" w:fill="auto"/>
                  <w:tcMar>
                    <w:top w:w="0" w:type="dxa"/>
                    <w:left w:w="0" w:type="dxa"/>
                    <w:bottom w:w="0" w:type="dxa"/>
                    <w:right w:w="0" w:type="dxa"/>
                  </w:tcMar>
                  <w:vAlign w:val="center"/>
                </w:tcPr>
                <w:p>
                  <w:pPr>
                    <w:pStyle w:val="73"/>
                    <w:bidi w:val="0"/>
                  </w:pPr>
                  <w:r>
                    <w:t>-24</w:t>
                  </w:r>
                </w:p>
              </w:tc>
              <w:tc>
                <w:tcPr>
                  <w:tcW w:w="346" w:type="dxa"/>
                  <w:shd w:val="clear" w:color="auto" w:fill="auto"/>
                  <w:tcMar>
                    <w:top w:w="0" w:type="dxa"/>
                    <w:left w:w="0" w:type="dxa"/>
                    <w:bottom w:w="0" w:type="dxa"/>
                    <w:right w:w="0" w:type="dxa"/>
                  </w:tcMar>
                  <w:vAlign w:val="center"/>
                </w:tcPr>
                <w:p>
                  <w:pPr>
                    <w:pStyle w:val="73"/>
                    <w:bidi w:val="0"/>
                  </w:pPr>
                  <w:r>
                    <w:t>1</w:t>
                  </w:r>
                </w:p>
              </w:tc>
              <w:tc>
                <w:tcPr>
                  <w:tcW w:w="462" w:type="dxa"/>
                  <w:shd w:val="clear" w:color="auto" w:fill="auto"/>
                  <w:tcMar>
                    <w:top w:w="0" w:type="dxa"/>
                    <w:left w:w="0" w:type="dxa"/>
                    <w:bottom w:w="0" w:type="dxa"/>
                    <w:right w:w="0" w:type="dxa"/>
                  </w:tcMar>
                  <w:vAlign w:val="center"/>
                </w:tcPr>
                <w:p>
                  <w:pPr>
                    <w:pStyle w:val="73"/>
                    <w:bidi w:val="0"/>
                  </w:pPr>
                  <w:r>
                    <w:t>8.2</w:t>
                  </w:r>
                </w:p>
              </w:tc>
              <w:tc>
                <w:tcPr>
                  <w:tcW w:w="473" w:type="dxa"/>
                  <w:shd w:val="clear" w:color="auto" w:fill="auto"/>
                  <w:tcMar>
                    <w:top w:w="0" w:type="dxa"/>
                    <w:left w:w="0" w:type="dxa"/>
                    <w:bottom w:w="0" w:type="dxa"/>
                    <w:right w:w="0" w:type="dxa"/>
                  </w:tcMar>
                  <w:vAlign w:val="center"/>
                </w:tcPr>
                <w:p>
                  <w:pPr>
                    <w:pStyle w:val="73"/>
                    <w:bidi w:val="0"/>
                  </w:pPr>
                  <w:r>
                    <w:t>12.8</w:t>
                  </w:r>
                </w:p>
              </w:tc>
              <w:tc>
                <w:tcPr>
                  <w:tcW w:w="462" w:type="dxa"/>
                  <w:shd w:val="clear" w:color="auto" w:fill="auto"/>
                  <w:tcMar>
                    <w:top w:w="0" w:type="dxa"/>
                    <w:left w:w="0" w:type="dxa"/>
                    <w:bottom w:w="0" w:type="dxa"/>
                    <w:right w:w="0" w:type="dxa"/>
                  </w:tcMar>
                  <w:vAlign w:val="center"/>
                </w:tcPr>
                <w:p>
                  <w:pPr>
                    <w:pStyle w:val="73"/>
                    <w:bidi w:val="0"/>
                  </w:pPr>
                  <w:r>
                    <w:t>8.1</w:t>
                  </w:r>
                </w:p>
              </w:tc>
              <w:tc>
                <w:tcPr>
                  <w:tcW w:w="519" w:type="dxa"/>
                  <w:shd w:val="clear" w:color="auto" w:fill="auto"/>
                  <w:tcMar>
                    <w:top w:w="0" w:type="dxa"/>
                    <w:left w:w="0" w:type="dxa"/>
                    <w:bottom w:w="0" w:type="dxa"/>
                    <w:right w:w="0" w:type="dxa"/>
                  </w:tcMar>
                  <w:vAlign w:val="center"/>
                </w:tcPr>
                <w:p>
                  <w:pPr>
                    <w:pStyle w:val="73"/>
                    <w:bidi w:val="0"/>
                  </w:pPr>
                  <w:r>
                    <w:t>7.8</w:t>
                  </w:r>
                </w:p>
              </w:tc>
              <w:tc>
                <w:tcPr>
                  <w:tcW w:w="461" w:type="dxa"/>
                  <w:shd w:val="clear" w:color="auto" w:fill="auto"/>
                  <w:tcMar>
                    <w:top w:w="0" w:type="dxa"/>
                    <w:left w:w="0" w:type="dxa"/>
                    <w:bottom w:w="0" w:type="dxa"/>
                    <w:right w:w="0" w:type="dxa"/>
                  </w:tcMar>
                  <w:vAlign w:val="center"/>
                </w:tcPr>
                <w:p>
                  <w:pPr>
                    <w:pStyle w:val="73"/>
                    <w:bidi w:val="0"/>
                  </w:pPr>
                  <w:r>
                    <w:t>78.6</w:t>
                  </w:r>
                </w:p>
              </w:tc>
              <w:tc>
                <w:tcPr>
                  <w:tcW w:w="416" w:type="dxa"/>
                  <w:shd w:val="clear" w:color="auto" w:fill="auto"/>
                  <w:tcMar>
                    <w:top w:w="0" w:type="dxa"/>
                    <w:left w:w="0" w:type="dxa"/>
                    <w:bottom w:w="0" w:type="dxa"/>
                    <w:right w:w="0" w:type="dxa"/>
                  </w:tcMar>
                  <w:vAlign w:val="center"/>
                </w:tcPr>
                <w:p>
                  <w:pPr>
                    <w:pStyle w:val="73"/>
                    <w:bidi w:val="0"/>
                  </w:pPr>
                  <w:r>
                    <w:t>78.6</w:t>
                  </w:r>
                </w:p>
              </w:tc>
              <w:tc>
                <w:tcPr>
                  <w:tcW w:w="427" w:type="dxa"/>
                  <w:shd w:val="clear" w:color="auto" w:fill="auto"/>
                  <w:tcMar>
                    <w:top w:w="0" w:type="dxa"/>
                    <w:left w:w="0" w:type="dxa"/>
                    <w:bottom w:w="0" w:type="dxa"/>
                    <w:right w:w="0" w:type="dxa"/>
                  </w:tcMar>
                  <w:vAlign w:val="center"/>
                </w:tcPr>
                <w:p>
                  <w:pPr>
                    <w:pStyle w:val="73"/>
                    <w:bidi w:val="0"/>
                  </w:pPr>
                  <w:r>
                    <w:t>78.6</w:t>
                  </w:r>
                </w:p>
              </w:tc>
              <w:tc>
                <w:tcPr>
                  <w:tcW w:w="519" w:type="dxa"/>
                  <w:shd w:val="clear" w:color="auto" w:fill="auto"/>
                  <w:tcMar>
                    <w:top w:w="0" w:type="dxa"/>
                    <w:left w:w="0" w:type="dxa"/>
                    <w:bottom w:w="0" w:type="dxa"/>
                    <w:right w:w="0" w:type="dxa"/>
                  </w:tcMar>
                  <w:vAlign w:val="center"/>
                </w:tcPr>
                <w:p>
                  <w:pPr>
                    <w:pStyle w:val="73"/>
                    <w:bidi w:val="0"/>
                  </w:pPr>
                  <w:r>
                    <w:t>78.6</w:t>
                  </w:r>
                </w:p>
              </w:tc>
              <w:tc>
                <w:tcPr>
                  <w:tcW w:w="415" w:type="dxa"/>
                  <w:shd w:val="clear" w:color="auto" w:fill="auto"/>
                  <w:tcMar>
                    <w:top w:w="0" w:type="dxa"/>
                    <w:left w:w="0" w:type="dxa"/>
                    <w:bottom w:w="0" w:type="dxa"/>
                    <w:right w:w="0" w:type="dxa"/>
                  </w:tcMar>
                  <w:vAlign w:val="center"/>
                </w:tcPr>
                <w:p>
                  <w:pPr>
                    <w:pStyle w:val="73"/>
                    <w:bidi w:val="0"/>
                  </w:pPr>
                  <w:r>
                    <w:t>24</w:t>
                  </w:r>
                </w:p>
              </w:tc>
              <w:tc>
                <w:tcPr>
                  <w:tcW w:w="450"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520" w:type="dxa"/>
                  <w:shd w:val="clear" w:color="auto" w:fill="auto"/>
                  <w:tcMar>
                    <w:top w:w="0" w:type="dxa"/>
                    <w:left w:w="0" w:type="dxa"/>
                    <w:bottom w:w="0" w:type="dxa"/>
                    <w:right w:w="0" w:type="dxa"/>
                  </w:tcMar>
                  <w:vAlign w:val="center"/>
                </w:tcPr>
                <w:p>
                  <w:pPr>
                    <w:pStyle w:val="73"/>
                    <w:bidi w:val="0"/>
                  </w:pPr>
                  <w:r>
                    <w:t>21.0</w:t>
                  </w:r>
                </w:p>
              </w:tc>
              <w:tc>
                <w:tcPr>
                  <w:tcW w:w="542" w:type="dxa"/>
                  <w:shd w:val="clear" w:color="auto" w:fill="auto"/>
                  <w:tcMar>
                    <w:top w:w="0" w:type="dxa"/>
                    <w:left w:w="0" w:type="dxa"/>
                    <w:bottom w:w="0" w:type="dxa"/>
                    <w:right w:w="0" w:type="dxa"/>
                  </w:tcMar>
                  <w:vAlign w:val="center"/>
                </w:tcPr>
                <w:p>
                  <w:pPr>
                    <w:pStyle w:val="73"/>
                    <w:bidi w:val="0"/>
                  </w:pPr>
                  <w:r>
                    <w:t>57.6</w:t>
                  </w:r>
                </w:p>
              </w:tc>
              <w:tc>
                <w:tcPr>
                  <w:tcW w:w="565" w:type="dxa"/>
                  <w:shd w:val="clear" w:color="auto" w:fill="auto"/>
                  <w:tcMar>
                    <w:top w:w="0" w:type="dxa"/>
                    <w:left w:w="0" w:type="dxa"/>
                    <w:bottom w:w="0" w:type="dxa"/>
                    <w:right w:w="0" w:type="dxa"/>
                  </w:tcMar>
                  <w:vAlign w:val="center"/>
                </w:tcPr>
                <w:p>
                  <w:pPr>
                    <w:pStyle w:val="73"/>
                    <w:bidi w:val="0"/>
                  </w:pPr>
                  <w:r>
                    <w:t>57.6</w:t>
                  </w:r>
                </w:p>
              </w:tc>
              <w:tc>
                <w:tcPr>
                  <w:tcW w:w="497" w:type="dxa"/>
                  <w:shd w:val="clear" w:color="auto" w:fill="auto"/>
                  <w:tcMar>
                    <w:top w:w="0" w:type="dxa"/>
                    <w:left w:w="0" w:type="dxa"/>
                    <w:bottom w:w="0" w:type="dxa"/>
                    <w:right w:w="0" w:type="dxa"/>
                  </w:tcMar>
                  <w:vAlign w:val="center"/>
                </w:tcPr>
                <w:p>
                  <w:pPr>
                    <w:pStyle w:val="73"/>
                    <w:bidi w:val="0"/>
                  </w:pPr>
                  <w:r>
                    <w:t>57.6</w:t>
                  </w:r>
                </w:p>
              </w:tc>
              <w:tc>
                <w:tcPr>
                  <w:tcW w:w="553" w:type="dxa"/>
                  <w:shd w:val="clear" w:color="auto" w:fill="auto"/>
                  <w:tcMar>
                    <w:top w:w="0" w:type="dxa"/>
                    <w:left w:w="0" w:type="dxa"/>
                    <w:bottom w:w="0" w:type="dxa"/>
                    <w:right w:w="0" w:type="dxa"/>
                  </w:tcMar>
                  <w:vAlign w:val="center"/>
                </w:tcPr>
                <w:p>
                  <w:pPr>
                    <w:pStyle w:val="73"/>
                    <w:bidi w:val="0"/>
                  </w:pPr>
                  <w:r>
                    <w:t>57.6</w:t>
                  </w:r>
                </w:p>
              </w:tc>
              <w:tc>
                <w:tcPr>
                  <w:tcW w:w="544" w:type="dxa"/>
                  <w:shd w:val="clear" w:color="auto" w:fill="auto"/>
                  <w:tcMar>
                    <w:top w:w="0" w:type="dxa"/>
                    <w:left w:w="0" w:type="dxa"/>
                    <w:bottom w:w="0" w:type="dxa"/>
                    <w:right w:w="0" w:type="dxa"/>
                  </w:tcMar>
                  <w:vAlign w:val="center"/>
                </w:tcPr>
                <w:p>
                  <w:pPr>
                    <w:pStyle w:val="73"/>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6" w:type="dxa"/>
                  <w:shd w:val="clear" w:color="auto" w:fill="auto"/>
                  <w:tcMar>
                    <w:top w:w="0" w:type="dxa"/>
                    <w:left w:w="0" w:type="dxa"/>
                    <w:bottom w:w="0" w:type="dxa"/>
                    <w:right w:w="0" w:type="dxa"/>
                  </w:tcMar>
                  <w:vAlign w:val="center"/>
                </w:tcPr>
                <w:p>
                  <w:pPr>
                    <w:pStyle w:val="73"/>
                    <w:bidi w:val="0"/>
                    <w:rPr>
                      <w:rFonts w:hint="eastAsia" w:eastAsia="宋体"/>
                      <w:lang w:eastAsia="zh-CN"/>
                    </w:rPr>
                  </w:pPr>
                  <w:r>
                    <w:rPr>
                      <w:rFonts w:hint="eastAsia"/>
                      <w:lang w:val="en-US" w:eastAsia="zh-CN"/>
                    </w:rPr>
                    <w:t>5</w:t>
                  </w:r>
                </w:p>
              </w:tc>
              <w:tc>
                <w:tcPr>
                  <w:tcW w:w="701" w:type="dxa"/>
                  <w:shd w:val="clear" w:color="auto" w:fill="auto"/>
                  <w:tcMar>
                    <w:top w:w="0" w:type="dxa"/>
                    <w:left w:w="0" w:type="dxa"/>
                    <w:bottom w:w="0" w:type="dxa"/>
                    <w:right w:w="0" w:type="dxa"/>
                  </w:tcMar>
                  <w:vAlign w:val="center"/>
                </w:tcPr>
                <w:p>
                  <w:pPr>
                    <w:pStyle w:val="73"/>
                    <w:bidi w:val="0"/>
                  </w:pPr>
                  <w:r>
                    <w:t>屠宰车间</w:t>
                  </w:r>
                </w:p>
              </w:tc>
              <w:tc>
                <w:tcPr>
                  <w:tcW w:w="912" w:type="dxa"/>
                  <w:shd w:val="clear" w:color="auto" w:fill="auto"/>
                  <w:tcMar>
                    <w:top w:w="0" w:type="dxa"/>
                    <w:left w:w="0" w:type="dxa"/>
                    <w:bottom w:w="0" w:type="dxa"/>
                    <w:right w:w="0" w:type="dxa"/>
                  </w:tcMar>
                  <w:vAlign w:val="center"/>
                </w:tcPr>
                <w:p>
                  <w:pPr>
                    <w:pStyle w:val="73"/>
                    <w:bidi w:val="0"/>
                  </w:pPr>
                  <w:r>
                    <w:t>牛扯皮机</w:t>
                  </w:r>
                </w:p>
              </w:tc>
              <w:tc>
                <w:tcPr>
                  <w:tcW w:w="900" w:type="dxa"/>
                  <w:shd w:val="clear" w:color="auto" w:fill="auto"/>
                  <w:tcMar>
                    <w:top w:w="0" w:type="dxa"/>
                    <w:left w:w="0" w:type="dxa"/>
                    <w:bottom w:w="0" w:type="dxa"/>
                    <w:right w:w="0" w:type="dxa"/>
                  </w:tcMar>
                  <w:vAlign w:val="center"/>
                </w:tcPr>
                <w:p>
                  <w:pPr>
                    <w:pStyle w:val="73"/>
                    <w:bidi w:val="0"/>
                  </w:pPr>
                  <w:r>
                    <w:t>70</w:t>
                  </w:r>
                </w:p>
              </w:tc>
              <w:tc>
                <w:tcPr>
                  <w:tcW w:w="935" w:type="dxa"/>
                  <w:vMerge w:val="restart"/>
                  <w:shd w:val="clear" w:color="auto" w:fill="auto"/>
                  <w:tcMar>
                    <w:top w:w="0" w:type="dxa"/>
                    <w:left w:w="0" w:type="dxa"/>
                    <w:bottom w:w="0" w:type="dxa"/>
                    <w:right w:w="0" w:type="dxa"/>
                  </w:tcMar>
                  <w:vAlign w:val="center"/>
                </w:tcPr>
                <w:p>
                  <w:pPr>
                    <w:pStyle w:val="73"/>
                    <w:bidi w:val="0"/>
                  </w:pPr>
                  <w:r>
                    <w:rPr>
                      <w:rFonts w:hint="eastAsia"/>
                      <w:lang w:val="en-US" w:eastAsia="zh-CN"/>
                    </w:rPr>
                    <w:t>低噪设备</w:t>
                  </w:r>
                </w:p>
              </w:tc>
              <w:tc>
                <w:tcPr>
                  <w:tcW w:w="553" w:type="dxa"/>
                  <w:shd w:val="clear" w:color="auto" w:fill="auto"/>
                  <w:tcMar>
                    <w:top w:w="0" w:type="dxa"/>
                    <w:left w:w="0" w:type="dxa"/>
                    <w:bottom w:w="0" w:type="dxa"/>
                    <w:right w:w="0" w:type="dxa"/>
                  </w:tcMar>
                  <w:vAlign w:val="center"/>
                </w:tcPr>
                <w:p>
                  <w:pPr>
                    <w:pStyle w:val="73"/>
                    <w:bidi w:val="0"/>
                  </w:pPr>
                  <w:r>
                    <w:t>-8.6</w:t>
                  </w:r>
                </w:p>
              </w:tc>
              <w:tc>
                <w:tcPr>
                  <w:tcW w:w="404" w:type="dxa"/>
                  <w:shd w:val="clear" w:color="auto" w:fill="auto"/>
                  <w:tcMar>
                    <w:top w:w="0" w:type="dxa"/>
                    <w:left w:w="0" w:type="dxa"/>
                    <w:bottom w:w="0" w:type="dxa"/>
                    <w:right w:w="0" w:type="dxa"/>
                  </w:tcMar>
                  <w:vAlign w:val="center"/>
                </w:tcPr>
                <w:p>
                  <w:pPr>
                    <w:pStyle w:val="73"/>
                    <w:bidi w:val="0"/>
                  </w:pPr>
                  <w:r>
                    <w:t>3.7</w:t>
                  </w:r>
                </w:p>
              </w:tc>
              <w:tc>
                <w:tcPr>
                  <w:tcW w:w="346" w:type="dxa"/>
                  <w:shd w:val="clear" w:color="auto" w:fill="auto"/>
                  <w:tcMar>
                    <w:top w:w="0" w:type="dxa"/>
                    <w:left w:w="0" w:type="dxa"/>
                    <w:bottom w:w="0" w:type="dxa"/>
                    <w:right w:w="0" w:type="dxa"/>
                  </w:tcMar>
                  <w:vAlign w:val="center"/>
                </w:tcPr>
                <w:p>
                  <w:pPr>
                    <w:pStyle w:val="73"/>
                    <w:bidi w:val="0"/>
                  </w:pPr>
                  <w:r>
                    <w:t>1.5</w:t>
                  </w:r>
                </w:p>
              </w:tc>
              <w:tc>
                <w:tcPr>
                  <w:tcW w:w="462" w:type="dxa"/>
                  <w:shd w:val="clear" w:color="auto" w:fill="auto"/>
                  <w:tcMar>
                    <w:top w:w="0" w:type="dxa"/>
                    <w:left w:w="0" w:type="dxa"/>
                    <w:bottom w:w="0" w:type="dxa"/>
                    <w:right w:w="0" w:type="dxa"/>
                  </w:tcMar>
                  <w:vAlign w:val="center"/>
                </w:tcPr>
                <w:p>
                  <w:pPr>
                    <w:pStyle w:val="73"/>
                    <w:bidi w:val="0"/>
                  </w:pPr>
                  <w:r>
                    <w:t>6.7</w:t>
                  </w:r>
                </w:p>
              </w:tc>
              <w:tc>
                <w:tcPr>
                  <w:tcW w:w="473" w:type="dxa"/>
                  <w:shd w:val="clear" w:color="auto" w:fill="auto"/>
                  <w:tcMar>
                    <w:top w:w="0" w:type="dxa"/>
                    <w:left w:w="0" w:type="dxa"/>
                    <w:bottom w:w="0" w:type="dxa"/>
                    <w:right w:w="0" w:type="dxa"/>
                  </w:tcMar>
                  <w:vAlign w:val="center"/>
                </w:tcPr>
                <w:p>
                  <w:pPr>
                    <w:pStyle w:val="73"/>
                    <w:bidi w:val="0"/>
                  </w:pPr>
                  <w:r>
                    <w:t>10.1</w:t>
                  </w:r>
                </w:p>
              </w:tc>
              <w:tc>
                <w:tcPr>
                  <w:tcW w:w="462" w:type="dxa"/>
                  <w:shd w:val="clear" w:color="auto" w:fill="auto"/>
                  <w:tcMar>
                    <w:top w:w="0" w:type="dxa"/>
                    <w:left w:w="0" w:type="dxa"/>
                    <w:bottom w:w="0" w:type="dxa"/>
                    <w:right w:w="0" w:type="dxa"/>
                  </w:tcMar>
                  <w:vAlign w:val="center"/>
                </w:tcPr>
                <w:p>
                  <w:pPr>
                    <w:pStyle w:val="73"/>
                    <w:bidi w:val="0"/>
                  </w:pPr>
                  <w:r>
                    <w:t>6.4</w:t>
                  </w:r>
                </w:p>
              </w:tc>
              <w:tc>
                <w:tcPr>
                  <w:tcW w:w="519" w:type="dxa"/>
                  <w:shd w:val="clear" w:color="auto" w:fill="auto"/>
                  <w:tcMar>
                    <w:top w:w="0" w:type="dxa"/>
                    <w:left w:w="0" w:type="dxa"/>
                    <w:bottom w:w="0" w:type="dxa"/>
                    <w:right w:w="0" w:type="dxa"/>
                  </w:tcMar>
                  <w:vAlign w:val="center"/>
                </w:tcPr>
                <w:p>
                  <w:pPr>
                    <w:pStyle w:val="73"/>
                    <w:bidi w:val="0"/>
                  </w:pPr>
                  <w:r>
                    <w:t>17.5</w:t>
                  </w:r>
                </w:p>
              </w:tc>
              <w:tc>
                <w:tcPr>
                  <w:tcW w:w="461" w:type="dxa"/>
                  <w:shd w:val="clear" w:color="auto" w:fill="auto"/>
                  <w:tcMar>
                    <w:top w:w="0" w:type="dxa"/>
                    <w:left w:w="0" w:type="dxa"/>
                    <w:bottom w:w="0" w:type="dxa"/>
                    <w:right w:w="0" w:type="dxa"/>
                  </w:tcMar>
                  <w:vAlign w:val="center"/>
                </w:tcPr>
                <w:p>
                  <w:pPr>
                    <w:pStyle w:val="73"/>
                    <w:bidi w:val="0"/>
                  </w:pPr>
                  <w:r>
                    <w:t>60.7</w:t>
                  </w:r>
                </w:p>
              </w:tc>
              <w:tc>
                <w:tcPr>
                  <w:tcW w:w="416" w:type="dxa"/>
                  <w:shd w:val="clear" w:color="auto" w:fill="auto"/>
                  <w:tcMar>
                    <w:top w:w="0" w:type="dxa"/>
                    <w:left w:w="0" w:type="dxa"/>
                    <w:bottom w:w="0" w:type="dxa"/>
                    <w:right w:w="0" w:type="dxa"/>
                  </w:tcMar>
                  <w:vAlign w:val="center"/>
                </w:tcPr>
                <w:p>
                  <w:pPr>
                    <w:pStyle w:val="73"/>
                    <w:bidi w:val="0"/>
                  </w:pPr>
                  <w:r>
                    <w:t>60.7</w:t>
                  </w:r>
                </w:p>
              </w:tc>
              <w:tc>
                <w:tcPr>
                  <w:tcW w:w="427" w:type="dxa"/>
                  <w:shd w:val="clear" w:color="auto" w:fill="auto"/>
                  <w:tcMar>
                    <w:top w:w="0" w:type="dxa"/>
                    <w:left w:w="0" w:type="dxa"/>
                    <w:bottom w:w="0" w:type="dxa"/>
                    <w:right w:w="0" w:type="dxa"/>
                  </w:tcMar>
                  <w:vAlign w:val="center"/>
                </w:tcPr>
                <w:p>
                  <w:pPr>
                    <w:pStyle w:val="73"/>
                    <w:bidi w:val="0"/>
                  </w:pPr>
                  <w:r>
                    <w:t>60.7</w:t>
                  </w:r>
                </w:p>
              </w:tc>
              <w:tc>
                <w:tcPr>
                  <w:tcW w:w="519" w:type="dxa"/>
                  <w:shd w:val="clear" w:color="auto" w:fill="auto"/>
                  <w:tcMar>
                    <w:top w:w="0" w:type="dxa"/>
                    <w:left w:w="0" w:type="dxa"/>
                    <w:bottom w:w="0" w:type="dxa"/>
                    <w:right w:w="0" w:type="dxa"/>
                  </w:tcMar>
                  <w:vAlign w:val="center"/>
                </w:tcPr>
                <w:p>
                  <w:pPr>
                    <w:pStyle w:val="73"/>
                    <w:bidi w:val="0"/>
                  </w:pPr>
                  <w:r>
                    <w:t>60.7</w:t>
                  </w:r>
                </w:p>
              </w:tc>
              <w:tc>
                <w:tcPr>
                  <w:tcW w:w="415" w:type="dxa"/>
                  <w:shd w:val="clear" w:color="auto" w:fill="auto"/>
                  <w:tcMar>
                    <w:top w:w="0" w:type="dxa"/>
                    <w:left w:w="0" w:type="dxa"/>
                    <w:bottom w:w="0" w:type="dxa"/>
                    <w:right w:w="0" w:type="dxa"/>
                  </w:tcMar>
                  <w:vAlign w:val="center"/>
                </w:tcPr>
                <w:p>
                  <w:pPr>
                    <w:pStyle w:val="73"/>
                    <w:bidi w:val="0"/>
                  </w:pPr>
                  <w:r>
                    <w:t>24</w:t>
                  </w:r>
                </w:p>
              </w:tc>
              <w:tc>
                <w:tcPr>
                  <w:tcW w:w="450"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520" w:type="dxa"/>
                  <w:shd w:val="clear" w:color="auto" w:fill="auto"/>
                  <w:tcMar>
                    <w:top w:w="0" w:type="dxa"/>
                    <w:left w:w="0" w:type="dxa"/>
                    <w:bottom w:w="0" w:type="dxa"/>
                    <w:right w:w="0" w:type="dxa"/>
                  </w:tcMar>
                  <w:vAlign w:val="center"/>
                </w:tcPr>
                <w:p>
                  <w:pPr>
                    <w:pStyle w:val="73"/>
                    <w:bidi w:val="0"/>
                  </w:pPr>
                  <w:r>
                    <w:t>21.0</w:t>
                  </w:r>
                </w:p>
              </w:tc>
              <w:tc>
                <w:tcPr>
                  <w:tcW w:w="542" w:type="dxa"/>
                  <w:shd w:val="clear" w:color="auto" w:fill="auto"/>
                  <w:tcMar>
                    <w:top w:w="0" w:type="dxa"/>
                    <w:left w:w="0" w:type="dxa"/>
                    <w:bottom w:w="0" w:type="dxa"/>
                    <w:right w:w="0" w:type="dxa"/>
                  </w:tcMar>
                  <w:vAlign w:val="center"/>
                </w:tcPr>
                <w:p>
                  <w:pPr>
                    <w:pStyle w:val="73"/>
                    <w:bidi w:val="0"/>
                  </w:pPr>
                  <w:r>
                    <w:t>39.7</w:t>
                  </w:r>
                </w:p>
              </w:tc>
              <w:tc>
                <w:tcPr>
                  <w:tcW w:w="565" w:type="dxa"/>
                  <w:shd w:val="clear" w:color="auto" w:fill="auto"/>
                  <w:tcMar>
                    <w:top w:w="0" w:type="dxa"/>
                    <w:left w:w="0" w:type="dxa"/>
                    <w:bottom w:w="0" w:type="dxa"/>
                    <w:right w:w="0" w:type="dxa"/>
                  </w:tcMar>
                  <w:vAlign w:val="center"/>
                </w:tcPr>
                <w:p>
                  <w:pPr>
                    <w:pStyle w:val="73"/>
                    <w:bidi w:val="0"/>
                  </w:pPr>
                  <w:r>
                    <w:t>39.7</w:t>
                  </w:r>
                </w:p>
              </w:tc>
              <w:tc>
                <w:tcPr>
                  <w:tcW w:w="497" w:type="dxa"/>
                  <w:shd w:val="clear" w:color="auto" w:fill="auto"/>
                  <w:tcMar>
                    <w:top w:w="0" w:type="dxa"/>
                    <w:left w:w="0" w:type="dxa"/>
                    <w:bottom w:w="0" w:type="dxa"/>
                    <w:right w:w="0" w:type="dxa"/>
                  </w:tcMar>
                  <w:vAlign w:val="center"/>
                </w:tcPr>
                <w:p>
                  <w:pPr>
                    <w:pStyle w:val="73"/>
                    <w:bidi w:val="0"/>
                  </w:pPr>
                  <w:r>
                    <w:t>39.7</w:t>
                  </w:r>
                </w:p>
              </w:tc>
              <w:tc>
                <w:tcPr>
                  <w:tcW w:w="553" w:type="dxa"/>
                  <w:shd w:val="clear" w:color="auto" w:fill="auto"/>
                  <w:tcMar>
                    <w:top w:w="0" w:type="dxa"/>
                    <w:left w:w="0" w:type="dxa"/>
                    <w:bottom w:w="0" w:type="dxa"/>
                    <w:right w:w="0" w:type="dxa"/>
                  </w:tcMar>
                  <w:vAlign w:val="center"/>
                </w:tcPr>
                <w:p>
                  <w:pPr>
                    <w:pStyle w:val="73"/>
                    <w:bidi w:val="0"/>
                  </w:pPr>
                  <w:r>
                    <w:t>39.7</w:t>
                  </w:r>
                </w:p>
              </w:tc>
              <w:tc>
                <w:tcPr>
                  <w:tcW w:w="544" w:type="dxa"/>
                  <w:shd w:val="clear" w:color="auto" w:fill="auto"/>
                  <w:tcMar>
                    <w:top w:w="0" w:type="dxa"/>
                    <w:left w:w="0" w:type="dxa"/>
                    <w:bottom w:w="0" w:type="dxa"/>
                    <w:right w:w="0" w:type="dxa"/>
                  </w:tcMar>
                  <w:vAlign w:val="center"/>
                </w:tcPr>
                <w:p>
                  <w:pPr>
                    <w:pStyle w:val="73"/>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6" w:type="dxa"/>
                  <w:shd w:val="clear" w:color="auto" w:fill="auto"/>
                  <w:tcMar>
                    <w:top w:w="0" w:type="dxa"/>
                    <w:left w:w="0" w:type="dxa"/>
                    <w:bottom w:w="0" w:type="dxa"/>
                    <w:right w:w="0" w:type="dxa"/>
                  </w:tcMar>
                  <w:vAlign w:val="center"/>
                </w:tcPr>
                <w:p>
                  <w:pPr>
                    <w:pStyle w:val="73"/>
                    <w:bidi w:val="0"/>
                    <w:rPr>
                      <w:rFonts w:hint="eastAsia" w:eastAsia="宋体"/>
                      <w:lang w:eastAsia="zh-CN"/>
                    </w:rPr>
                  </w:pPr>
                  <w:r>
                    <w:rPr>
                      <w:rFonts w:hint="eastAsia"/>
                      <w:lang w:val="en-US" w:eastAsia="zh-CN"/>
                    </w:rPr>
                    <w:t>6</w:t>
                  </w:r>
                </w:p>
              </w:tc>
              <w:tc>
                <w:tcPr>
                  <w:tcW w:w="701" w:type="dxa"/>
                  <w:shd w:val="clear" w:color="auto" w:fill="auto"/>
                  <w:tcMar>
                    <w:top w:w="0" w:type="dxa"/>
                    <w:left w:w="0" w:type="dxa"/>
                    <w:bottom w:w="0" w:type="dxa"/>
                    <w:right w:w="0" w:type="dxa"/>
                  </w:tcMar>
                  <w:vAlign w:val="center"/>
                </w:tcPr>
                <w:p>
                  <w:pPr>
                    <w:pStyle w:val="73"/>
                    <w:bidi w:val="0"/>
                  </w:pPr>
                  <w:r>
                    <w:t>屠宰车间</w:t>
                  </w:r>
                </w:p>
              </w:tc>
              <w:tc>
                <w:tcPr>
                  <w:tcW w:w="912" w:type="dxa"/>
                  <w:shd w:val="clear" w:color="auto" w:fill="auto"/>
                  <w:tcMar>
                    <w:top w:w="0" w:type="dxa"/>
                    <w:left w:w="0" w:type="dxa"/>
                    <w:bottom w:w="0" w:type="dxa"/>
                    <w:right w:w="0" w:type="dxa"/>
                  </w:tcMar>
                  <w:vAlign w:val="center"/>
                </w:tcPr>
                <w:p>
                  <w:pPr>
                    <w:pStyle w:val="73"/>
                    <w:bidi w:val="0"/>
                  </w:pPr>
                  <w:r>
                    <w:t>毛牛换轨提升机</w:t>
                  </w:r>
                </w:p>
              </w:tc>
              <w:tc>
                <w:tcPr>
                  <w:tcW w:w="900" w:type="dxa"/>
                  <w:shd w:val="clear" w:color="auto" w:fill="auto"/>
                  <w:tcMar>
                    <w:top w:w="0" w:type="dxa"/>
                    <w:left w:w="0" w:type="dxa"/>
                    <w:bottom w:w="0" w:type="dxa"/>
                    <w:right w:w="0" w:type="dxa"/>
                  </w:tcMar>
                  <w:vAlign w:val="center"/>
                </w:tcPr>
                <w:p>
                  <w:pPr>
                    <w:pStyle w:val="73"/>
                    <w:bidi w:val="0"/>
                  </w:pPr>
                  <w:r>
                    <w:t>65</w:t>
                  </w:r>
                </w:p>
              </w:tc>
              <w:tc>
                <w:tcPr>
                  <w:tcW w:w="935" w:type="dxa"/>
                  <w:vMerge w:val="continue"/>
                  <w:shd w:val="clear" w:color="auto" w:fill="auto"/>
                  <w:tcMar>
                    <w:top w:w="0" w:type="dxa"/>
                    <w:left w:w="0" w:type="dxa"/>
                    <w:bottom w:w="0" w:type="dxa"/>
                    <w:right w:w="0" w:type="dxa"/>
                  </w:tcMar>
                  <w:vAlign w:val="center"/>
                </w:tcPr>
                <w:p>
                  <w:pPr>
                    <w:pStyle w:val="73"/>
                    <w:bidi w:val="0"/>
                  </w:pPr>
                </w:p>
              </w:tc>
              <w:tc>
                <w:tcPr>
                  <w:tcW w:w="553" w:type="dxa"/>
                  <w:shd w:val="clear" w:color="auto" w:fill="auto"/>
                  <w:tcMar>
                    <w:top w:w="0" w:type="dxa"/>
                    <w:left w:w="0" w:type="dxa"/>
                    <w:bottom w:w="0" w:type="dxa"/>
                    <w:right w:w="0" w:type="dxa"/>
                  </w:tcMar>
                  <w:vAlign w:val="center"/>
                </w:tcPr>
                <w:p>
                  <w:pPr>
                    <w:pStyle w:val="73"/>
                    <w:bidi w:val="0"/>
                  </w:pPr>
                  <w:r>
                    <w:t>-6.3</w:t>
                  </w:r>
                </w:p>
              </w:tc>
              <w:tc>
                <w:tcPr>
                  <w:tcW w:w="404" w:type="dxa"/>
                  <w:shd w:val="clear" w:color="auto" w:fill="auto"/>
                  <w:tcMar>
                    <w:top w:w="0" w:type="dxa"/>
                    <w:left w:w="0" w:type="dxa"/>
                    <w:bottom w:w="0" w:type="dxa"/>
                    <w:right w:w="0" w:type="dxa"/>
                  </w:tcMar>
                  <w:vAlign w:val="center"/>
                </w:tcPr>
                <w:p>
                  <w:pPr>
                    <w:pStyle w:val="73"/>
                    <w:bidi w:val="0"/>
                  </w:pPr>
                  <w:r>
                    <w:t>1.4</w:t>
                  </w:r>
                </w:p>
              </w:tc>
              <w:tc>
                <w:tcPr>
                  <w:tcW w:w="346" w:type="dxa"/>
                  <w:shd w:val="clear" w:color="auto" w:fill="auto"/>
                  <w:tcMar>
                    <w:top w:w="0" w:type="dxa"/>
                    <w:left w:w="0" w:type="dxa"/>
                    <w:bottom w:w="0" w:type="dxa"/>
                    <w:right w:w="0" w:type="dxa"/>
                  </w:tcMar>
                  <w:vAlign w:val="center"/>
                </w:tcPr>
                <w:p>
                  <w:pPr>
                    <w:pStyle w:val="73"/>
                    <w:bidi w:val="0"/>
                  </w:pPr>
                  <w:r>
                    <w:t>1.2</w:t>
                  </w:r>
                </w:p>
              </w:tc>
              <w:tc>
                <w:tcPr>
                  <w:tcW w:w="462" w:type="dxa"/>
                  <w:shd w:val="clear" w:color="auto" w:fill="auto"/>
                  <w:tcMar>
                    <w:top w:w="0" w:type="dxa"/>
                    <w:left w:w="0" w:type="dxa"/>
                    <w:bottom w:w="0" w:type="dxa"/>
                    <w:right w:w="0" w:type="dxa"/>
                  </w:tcMar>
                  <w:vAlign w:val="center"/>
                </w:tcPr>
                <w:p>
                  <w:pPr>
                    <w:pStyle w:val="73"/>
                    <w:bidi w:val="0"/>
                  </w:pPr>
                  <w:r>
                    <w:t>6.2</w:t>
                  </w:r>
                </w:p>
              </w:tc>
              <w:tc>
                <w:tcPr>
                  <w:tcW w:w="473" w:type="dxa"/>
                  <w:shd w:val="clear" w:color="auto" w:fill="auto"/>
                  <w:tcMar>
                    <w:top w:w="0" w:type="dxa"/>
                    <w:left w:w="0" w:type="dxa"/>
                    <w:bottom w:w="0" w:type="dxa"/>
                    <w:right w:w="0" w:type="dxa"/>
                  </w:tcMar>
                  <w:vAlign w:val="center"/>
                </w:tcPr>
                <w:p>
                  <w:pPr>
                    <w:pStyle w:val="73"/>
                    <w:bidi w:val="0"/>
                  </w:pPr>
                  <w:r>
                    <w:t>6.9</w:t>
                  </w:r>
                </w:p>
              </w:tc>
              <w:tc>
                <w:tcPr>
                  <w:tcW w:w="462" w:type="dxa"/>
                  <w:shd w:val="clear" w:color="auto" w:fill="auto"/>
                  <w:tcMar>
                    <w:top w:w="0" w:type="dxa"/>
                    <w:left w:w="0" w:type="dxa"/>
                    <w:bottom w:w="0" w:type="dxa"/>
                    <w:right w:w="0" w:type="dxa"/>
                  </w:tcMar>
                  <w:vAlign w:val="center"/>
                </w:tcPr>
                <w:p>
                  <w:pPr>
                    <w:pStyle w:val="73"/>
                    <w:bidi w:val="0"/>
                  </w:pPr>
                  <w:r>
                    <w:t>6.9</w:t>
                  </w:r>
                </w:p>
              </w:tc>
              <w:tc>
                <w:tcPr>
                  <w:tcW w:w="519" w:type="dxa"/>
                  <w:shd w:val="clear" w:color="auto" w:fill="auto"/>
                  <w:tcMar>
                    <w:top w:w="0" w:type="dxa"/>
                    <w:left w:w="0" w:type="dxa"/>
                    <w:bottom w:w="0" w:type="dxa"/>
                    <w:right w:w="0" w:type="dxa"/>
                  </w:tcMar>
                  <w:vAlign w:val="center"/>
                </w:tcPr>
                <w:p>
                  <w:pPr>
                    <w:pStyle w:val="73"/>
                    <w:bidi w:val="0"/>
                  </w:pPr>
                  <w:r>
                    <w:t>20.7</w:t>
                  </w:r>
                </w:p>
              </w:tc>
              <w:tc>
                <w:tcPr>
                  <w:tcW w:w="461" w:type="dxa"/>
                  <w:shd w:val="clear" w:color="auto" w:fill="auto"/>
                  <w:tcMar>
                    <w:top w:w="0" w:type="dxa"/>
                    <w:left w:w="0" w:type="dxa"/>
                    <w:bottom w:w="0" w:type="dxa"/>
                    <w:right w:w="0" w:type="dxa"/>
                  </w:tcMar>
                  <w:vAlign w:val="center"/>
                </w:tcPr>
                <w:p>
                  <w:pPr>
                    <w:pStyle w:val="73"/>
                    <w:bidi w:val="0"/>
                  </w:pPr>
                  <w:r>
                    <w:t>55.7</w:t>
                  </w:r>
                </w:p>
              </w:tc>
              <w:tc>
                <w:tcPr>
                  <w:tcW w:w="416" w:type="dxa"/>
                  <w:shd w:val="clear" w:color="auto" w:fill="auto"/>
                  <w:tcMar>
                    <w:top w:w="0" w:type="dxa"/>
                    <w:left w:w="0" w:type="dxa"/>
                    <w:bottom w:w="0" w:type="dxa"/>
                    <w:right w:w="0" w:type="dxa"/>
                  </w:tcMar>
                  <w:vAlign w:val="center"/>
                </w:tcPr>
                <w:p>
                  <w:pPr>
                    <w:pStyle w:val="73"/>
                    <w:bidi w:val="0"/>
                  </w:pPr>
                  <w:r>
                    <w:t>55.7</w:t>
                  </w:r>
                </w:p>
              </w:tc>
              <w:tc>
                <w:tcPr>
                  <w:tcW w:w="427" w:type="dxa"/>
                  <w:shd w:val="clear" w:color="auto" w:fill="auto"/>
                  <w:tcMar>
                    <w:top w:w="0" w:type="dxa"/>
                    <w:left w:w="0" w:type="dxa"/>
                    <w:bottom w:w="0" w:type="dxa"/>
                    <w:right w:w="0" w:type="dxa"/>
                  </w:tcMar>
                  <w:vAlign w:val="center"/>
                </w:tcPr>
                <w:p>
                  <w:pPr>
                    <w:pStyle w:val="73"/>
                    <w:bidi w:val="0"/>
                  </w:pPr>
                  <w:r>
                    <w:t>55.7</w:t>
                  </w:r>
                </w:p>
              </w:tc>
              <w:tc>
                <w:tcPr>
                  <w:tcW w:w="519" w:type="dxa"/>
                  <w:shd w:val="clear" w:color="auto" w:fill="auto"/>
                  <w:tcMar>
                    <w:top w:w="0" w:type="dxa"/>
                    <w:left w:w="0" w:type="dxa"/>
                    <w:bottom w:w="0" w:type="dxa"/>
                    <w:right w:w="0" w:type="dxa"/>
                  </w:tcMar>
                  <w:vAlign w:val="center"/>
                </w:tcPr>
                <w:p>
                  <w:pPr>
                    <w:pStyle w:val="73"/>
                    <w:bidi w:val="0"/>
                  </w:pPr>
                  <w:r>
                    <w:t>55.7</w:t>
                  </w:r>
                </w:p>
              </w:tc>
              <w:tc>
                <w:tcPr>
                  <w:tcW w:w="415" w:type="dxa"/>
                  <w:shd w:val="clear" w:color="auto" w:fill="auto"/>
                  <w:tcMar>
                    <w:top w:w="0" w:type="dxa"/>
                    <w:left w:w="0" w:type="dxa"/>
                    <w:bottom w:w="0" w:type="dxa"/>
                    <w:right w:w="0" w:type="dxa"/>
                  </w:tcMar>
                  <w:vAlign w:val="center"/>
                </w:tcPr>
                <w:p>
                  <w:pPr>
                    <w:pStyle w:val="73"/>
                    <w:bidi w:val="0"/>
                  </w:pPr>
                  <w:r>
                    <w:t>24</w:t>
                  </w:r>
                </w:p>
              </w:tc>
              <w:tc>
                <w:tcPr>
                  <w:tcW w:w="450"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520" w:type="dxa"/>
                  <w:shd w:val="clear" w:color="auto" w:fill="auto"/>
                  <w:tcMar>
                    <w:top w:w="0" w:type="dxa"/>
                    <w:left w:w="0" w:type="dxa"/>
                    <w:bottom w:w="0" w:type="dxa"/>
                    <w:right w:w="0" w:type="dxa"/>
                  </w:tcMar>
                  <w:vAlign w:val="center"/>
                </w:tcPr>
                <w:p>
                  <w:pPr>
                    <w:pStyle w:val="73"/>
                    <w:bidi w:val="0"/>
                  </w:pPr>
                  <w:r>
                    <w:t>21.0</w:t>
                  </w:r>
                </w:p>
              </w:tc>
              <w:tc>
                <w:tcPr>
                  <w:tcW w:w="542" w:type="dxa"/>
                  <w:shd w:val="clear" w:color="auto" w:fill="auto"/>
                  <w:tcMar>
                    <w:top w:w="0" w:type="dxa"/>
                    <w:left w:w="0" w:type="dxa"/>
                    <w:bottom w:w="0" w:type="dxa"/>
                    <w:right w:w="0" w:type="dxa"/>
                  </w:tcMar>
                  <w:vAlign w:val="center"/>
                </w:tcPr>
                <w:p>
                  <w:pPr>
                    <w:pStyle w:val="73"/>
                    <w:bidi w:val="0"/>
                  </w:pPr>
                  <w:r>
                    <w:t>34.7</w:t>
                  </w:r>
                </w:p>
              </w:tc>
              <w:tc>
                <w:tcPr>
                  <w:tcW w:w="565" w:type="dxa"/>
                  <w:shd w:val="clear" w:color="auto" w:fill="auto"/>
                  <w:tcMar>
                    <w:top w:w="0" w:type="dxa"/>
                    <w:left w:w="0" w:type="dxa"/>
                    <w:bottom w:w="0" w:type="dxa"/>
                    <w:right w:w="0" w:type="dxa"/>
                  </w:tcMar>
                  <w:vAlign w:val="center"/>
                </w:tcPr>
                <w:p>
                  <w:pPr>
                    <w:pStyle w:val="73"/>
                    <w:bidi w:val="0"/>
                  </w:pPr>
                  <w:r>
                    <w:t>34.7</w:t>
                  </w:r>
                </w:p>
              </w:tc>
              <w:tc>
                <w:tcPr>
                  <w:tcW w:w="497" w:type="dxa"/>
                  <w:shd w:val="clear" w:color="auto" w:fill="auto"/>
                  <w:tcMar>
                    <w:top w:w="0" w:type="dxa"/>
                    <w:left w:w="0" w:type="dxa"/>
                    <w:bottom w:w="0" w:type="dxa"/>
                    <w:right w:w="0" w:type="dxa"/>
                  </w:tcMar>
                  <w:vAlign w:val="center"/>
                </w:tcPr>
                <w:p>
                  <w:pPr>
                    <w:pStyle w:val="73"/>
                    <w:bidi w:val="0"/>
                  </w:pPr>
                  <w:r>
                    <w:t>34.7</w:t>
                  </w:r>
                </w:p>
              </w:tc>
              <w:tc>
                <w:tcPr>
                  <w:tcW w:w="553" w:type="dxa"/>
                  <w:shd w:val="clear" w:color="auto" w:fill="auto"/>
                  <w:tcMar>
                    <w:top w:w="0" w:type="dxa"/>
                    <w:left w:w="0" w:type="dxa"/>
                    <w:bottom w:w="0" w:type="dxa"/>
                    <w:right w:w="0" w:type="dxa"/>
                  </w:tcMar>
                  <w:vAlign w:val="center"/>
                </w:tcPr>
                <w:p>
                  <w:pPr>
                    <w:pStyle w:val="73"/>
                    <w:bidi w:val="0"/>
                  </w:pPr>
                  <w:r>
                    <w:t>34.7</w:t>
                  </w:r>
                </w:p>
              </w:tc>
              <w:tc>
                <w:tcPr>
                  <w:tcW w:w="544" w:type="dxa"/>
                  <w:shd w:val="clear" w:color="auto" w:fill="auto"/>
                  <w:tcMar>
                    <w:top w:w="0" w:type="dxa"/>
                    <w:left w:w="0" w:type="dxa"/>
                    <w:bottom w:w="0" w:type="dxa"/>
                    <w:right w:w="0" w:type="dxa"/>
                  </w:tcMar>
                  <w:vAlign w:val="center"/>
                </w:tcPr>
                <w:p>
                  <w:pPr>
                    <w:pStyle w:val="73"/>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shd w:val="clear" w:color="auto" w:fill="auto"/>
                  <w:tcMar>
                    <w:top w:w="0" w:type="dxa"/>
                    <w:left w:w="0" w:type="dxa"/>
                    <w:bottom w:w="0" w:type="dxa"/>
                    <w:right w:w="0" w:type="dxa"/>
                  </w:tcMar>
                  <w:vAlign w:val="center"/>
                </w:tcPr>
                <w:p>
                  <w:pPr>
                    <w:pStyle w:val="73"/>
                    <w:bidi w:val="0"/>
                  </w:pPr>
                  <w:r>
                    <w:rPr>
                      <w:rFonts w:hint="eastAsia"/>
                      <w:lang w:val="en-US" w:eastAsia="zh-CN"/>
                    </w:rPr>
                    <w:t>7</w:t>
                  </w:r>
                </w:p>
              </w:tc>
              <w:tc>
                <w:tcPr>
                  <w:tcW w:w="701" w:type="dxa"/>
                  <w:shd w:val="clear" w:color="auto" w:fill="auto"/>
                  <w:tcMar>
                    <w:top w:w="0" w:type="dxa"/>
                    <w:left w:w="0" w:type="dxa"/>
                    <w:bottom w:w="0" w:type="dxa"/>
                    <w:right w:w="0" w:type="dxa"/>
                  </w:tcMar>
                  <w:vAlign w:val="center"/>
                </w:tcPr>
                <w:p>
                  <w:pPr>
                    <w:pStyle w:val="73"/>
                    <w:bidi w:val="0"/>
                  </w:pPr>
                  <w:r>
                    <w:t>屠宰车间</w:t>
                  </w:r>
                </w:p>
              </w:tc>
              <w:tc>
                <w:tcPr>
                  <w:tcW w:w="912" w:type="dxa"/>
                  <w:shd w:val="clear" w:color="auto" w:fill="auto"/>
                  <w:tcMar>
                    <w:top w:w="0" w:type="dxa"/>
                    <w:left w:w="0" w:type="dxa"/>
                    <w:bottom w:w="0" w:type="dxa"/>
                    <w:right w:w="0" w:type="dxa"/>
                  </w:tcMar>
                  <w:vAlign w:val="center"/>
                </w:tcPr>
                <w:p>
                  <w:pPr>
                    <w:pStyle w:val="73"/>
                    <w:bidi w:val="0"/>
                  </w:pPr>
                  <w:r>
                    <w:t>毛羊放血提升机</w:t>
                  </w:r>
                </w:p>
              </w:tc>
              <w:tc>
                <w:tcPr>
                  <w:tcW w:w="900" w:type="dxa"/>
                  <w:shd w:val="clear" w:color="auto" w:fill="auto"/>
                  <w:tcMar>
                    <w:top w:w="0" w:type="dxa"/>
                    <w:left w:w="0" w:type="dxa"/>
                    <w:bottom w:w="0" w:type="dxa"/>
                    <w:right w:w="0" w:type="dxa"/>
                  </w:tcMar>
                  <w:vAlign w:val="center"/>
                </w:tcPr>
                <w:p>
                  <w:pPr>
                    <w:pStyle w:val="73"/>
                    <w:bidi w:val="0"/>
                  </w:pPr>
                  <w:r>
                    <w:t>70</w:t>
                  </w:r>
                </w:p>
              </w:tc>
              <w:tc>
                <w:tcPr>
                  <w:tcW w:w="935" w:type="dxa"/>
                  <w:vMerge w:val="continue"/>
                  <w:shd w:val="clear" w:color="auto" w:fill="auto"/>
                  <w:tcMar>
                    <w:top w:w="0" w:type="dxa"/>
                    <w:left w:w="0" w:type="dxa"/>
                    <w:bottom w:w="0" w:type="dxa"/>
                    <w:right w:w="0" w:type="dxa"/>
                  </w:tcMar>
                  <w:vAlign w:val="center"/>
                </w:tcPr>
                <w:p>
                  <w:pPr>
                    <w:pStyle w:val="73"/>
                    <w:bidi w:val="0"/>
                  </w:pPr>
                </w:p>
              </w:tc>
              <w:tc>
                <w:tcPr>
                  <w:tcW w:w="553" w:type="dxa"/>
                  <w:shd w:val="clear" w:color="auto" w:fill="auto"/>
                  <w:tcMar>
                    <w:top w:w="0" w:type="dxa"/>
                    <w:left w:w="0" w:type="dxa"/>
                    <w:bottom w:w="0" w:type="dxa"/>
                    <w:right w:w="0" w:type="dxa"/>
                  </w:tcMar>
                  <w:vAlign w:val="center"/>
                </w:tcPr>
                <w:p>
                  <w:pPr>
                    <w:pStyle w:val="73"/>
                    <w:bidi w:val="0"/>
                  </w:pPr>
                  <w:r>
                    <w:t>-9.8</w:t>
                  </w:r>
                </w:p>
              </w:tc>
              <w:tc>
                <w:tcPr>
                  <w:tcW w:w="404" w:type="dxa"/>
                  <w:shd w:val="clear" w:color="auto" w:fill="auto"/>
                  <w:tcMar>
                    <w:top w:w="0" w:type="dxa"/>
                    <w:left w:w="0" w:type="dxa"/>
                    <w:bottom w:w="0" w:type="dxa"/>
                    <w:right w:w="0" w:type="dxa"/>
                  </w:tcMar>
                  <w:vAlign w:val="center"/>
                </w:tcPr>
                <w:p>
                  <w:pPr>
                    <w:pStyle w:val="73"/>
                    <w:bidi w:val="0"/>
                  </w:pPr>
                  <w:r>
                    <w:t>11.2</w:t>
                  </w:r>
                </w:p>
              </w:tc>
              <w:tc>
                <w:tcPr>
                  <w:tcW w:w="346" w:type="dxa"/>
                  <w:shd w:val="clear" w:color="auto" w:fill="auto"/>
                  <w:tcMar>
                    <w:top w:w="0" w:type="dxa"/>
                    <w:left w:w="0" w:type="dxa"/>
                    <w:bottom w:w="0" w:type="dxa"/>
                    <w:right w:w="0" w:type="dxa"/>
                  </w:tcMar>
                  <w:vAlign w:val="center"/>
                </w:tcPr>
                <w:p>
                  <w:pPr>
                    <w:pStyle w:val="73"/>
                    <w:bidi w:val="0"/>
                  </w:pPr>
                  <w:r>
                    <w:t>1.2</w:t>
                  </w:r>
                </w:p>
              </w:tc>
              <w:tc>
                <w:tcPr>
                  <w:tcW w:w="462" w:type="dxa"/>
                  <w:shd w:val="clear" w:color="auto" w:fill="auto"/>
                  <w:tcMar>
                    <w:top w:w="0" w:type="dxa"/>
                    <w:left w:w="0" w:type="dxa"/>
                    <w:bottom w:w="0" w:type="dxa"/>
                    <w:right w:w="0" w:type="dxa"/>
                  </w:tcMar>
                  <w:vAlign w:val="center"/>
                </w:tcPr>
                <w:p>
                  <w:pPr>
                    <w:pStyle w:val="73"/>
                    <w:bidi w:val="0"/>
                  </w:pPr>
                  <w:r>
                    <w:t>3.3</w:t>
                  </w:r>
                </w:p>
              </w:tc>
              <w:tc>
                <w:tcPr>
                  <w:tcW w:w="473" w:type="dxa"/>
                  <w:shd w:val="clear" w:color="auto" w:fill="auto"/>
                  <w:tcMar>
                    <w:top w:w="0" w:type="dxa"/>
                    <w:left w:w="0" w:type="dxa"/>
                    <w:bottom w:w="0" w:type="dxa"/>
                    <w:right w:w="0" w:type="dxa"/>
                  </w:tcMar>
                  <w:vAlign w:val="center"/>
                </w:tcPr>
                <w:p>
                  <w:pPr>
                    <w:pStyle w:val="73"/>
                    <w:bidi w:val="0"/>
                  </w:pPr>
                  <w:r>
                    <w:t>16.7</w:t>
                  </w:r>
                </w:p>
              </w:tc>
              <w:tc>
                <w:tcPr>
                  <w:tcW w:w="462" w:type="dxa"/>
                  <w:shd w:val="clear" w:color="auto" w:fill="auto"/>
                  <w:tcMar>
                    <w:top w:w="0" w:type="dxa"/>
                    <w:left w:w="0" w:type="dxa"/>
                    <w:bottom w:w="0" w:type="dxa"/>
                    <w:right w:w="0" w:type="dxa"/>
                  </w:tcMar>
                  <w:vAlign w:val="center"/>
                </w:tcPr>
                <w:p>
                  <w:pPr>
                    <w:pStyle w:val="73"/>
                    <w:bidi w:val="0"/>
                  </w:pPr>
                  <w:r>
                    <w:t>9.9</w:t>
                  </w:r>
                </w:p>
              </w:tc>
              <w:tc>
                <w:tcPr>
                  <w:tcW w:w="519" w:type="dxa"/>
                  <w:shd w:val="clear" w:color="auto" w:fill="auto"/>
                  <w:tcMar>
                    <w:top w:w="0" w:type="dxa"/>
                    <w:left w:w="0" w:type="dxa"/>
                    <w:bottom w:w="0" w:type="dxa"/>
                    <w:right w:w="0" w:type="dxa"/>
                  </w:tcMar>
                  <w:vAlign w:val="center"/>
                </w:tcPr>
                <w:p>
                  <w:pPr>
                    <w:pStyle w:val="73"/>
                    <w:bidi w:val="0"/>
                  </w:pPr>
                  <w:r>
                    <w:t>10.8</w:t>
                  </w:r>
                </w:p>
              </w:tc>
              <w:tc>
                <w:tcPr>
                  <w:tcW w:w="461" w:type="dxa"/>
                  <w:shd w:val="clear" w:color="auto" w:fill="auto"/>
                  <w:tcMar>
                    <w:top w:w="0" w:type="dxa"/>
                    <w:left w:w="0" w:type="dxa"/>
                    <w:bottom w:w="0" w:type="dxa"/>
                    <w:right w:w="0" w:type="dxa"/>
                  </w:tcMar>
                  <w:vAlign w:val="center"/>
                </w:tcPr>
                <w:p>
                  <w:pPr>
                    <w:pStyle w:val="73"/>
                    <w:bidi w:val="0"/>
                  </w:pPr>
                  <w:r>
                    <w:t>60.9</w:t>
                  </w:r>
                </w:p>
              </w:tc>
              <w:tc>
                <w:tcPr>
                  <w:tcW w:w="416" w:type="dxa"/>
                  <w:shd w:val="clear" w:color="auto" w:fill="auto"/>
                  <w:tcMar>
                    <w:top w:w="0" w:type="dxa"/>
                    <w:left w:w="0" w:type="dxa"/>
                    <w:bottom w:w="0" w:type="dxa"/>
                    <w:right w:w="0" w:type="dxa"/>
                  </w:tcMar>
                  <w:vAlign w:val="center"/>
                </w:tcPr>
                <w:p>
                  <w:pPr>
                    <w:pStyle w:val="73"/>
                    <w:bidi w:val="0"/>
                  </w:pPr>
                  <w:r>
                    <w:t>60.7</w:t>
                  </w:r>
                </w:p>
              </w:tc>
              <w:tc>
                <w:tcPr>
                  <w:tcW w:w="427" w:type="dxa"/>
                  <w:shd w:val="clear" w:color="auto" w:fill="auto"/>
                  <w:tcMar>
                    <w:top w:w="0" w:type="dxa"/>
                    <w:left w:w="0" w:type="dxa"/>
                    <w:bottom w:w="0" w:type="dxa"/>
                    <w:right w:w="0" w:type="dxa"/>
                  </w:tcMar>
                  <w:vAlign w:val="center"/>
                </w:tcPr>
                <w:p>
                  <w:pPr>
                    <w:pStyle w:val="73"/>
                    <w:bidi w:val="0"/>
                  </w:pPr>
                  <w:r>
                    <w:t>60.7</w:t>
                  </w:r>
                </w:p>
              </w:tc>
              <w:tc>
                <w:tcPr>
                  <w:tcW w:w="519" w:type="dxa"/>
                  <w:shd w:val="clear" w:color="auto" w:fill="auto"/>
                  <w:tcMar>
                    <w:top w:w="0" w:type="dxa"/>
                    <w:left w:w="0" w:type="dxa"/>
                    <w:bottom w:w="0" w:type="dxa"/>
                    <w:right w:w="0" w:type="dxa"/>
                  </w:tcMar>
                  <w:vAlign w:val="center"/>
                </w:tcPr>
                <w:p>
                  <w:pPr>
                    <w:pStyle w:val="73"/>
                    <w:bidi w:val="0"/>
                  </w:pPr>
                  <w:r>
                    <w:t>60.7</w:t>
                  </w:r>
                </w:p>
              </w:tc>
              <w:tc>
                <w:tcPr>
                  <w:tcW w:w="415" w:type="dxa"/>
                  <w:shd w:val="clear" w:color="auto" w:fill="auto"/>
                  <w:tcMar>
                    <w:top w:w="0" w:type="dxa"/>
                    <w:left w:w="0" w:type="dxa"/>
                    <w:bottom w:w="0" w:type="dxa"/>
                    <w:right w:w="0" w:type="dxa"/>
                  </w:tcMar>
                  <w:vAlign w:val="center"/>
                </w:tcPr>
                <w:p>
                  <w:pPr>
                    <w:pStyle w:val="73"/>
                    <w:bidi w:val="0"/>
                    <w:rPr>
                      <w:rFonts w:hint="default"/>
                      <w:lang w:val="en-US"/>
                    </w:rPr>
                  </w:pPr>
                  <w:r>
                    <w:t>24</w:t>
                  </w:r>
                </w:p>
              </w:tc>
              <w:tc>
                <w:tcPr>
                  <w:tcW w:w="450"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520" w:type="dxa"/>
                  <w:shd w:val="clear" w:color="auto" w:fill="auto"/>
                  <w:tcMar>
                    <w:top w:w="0" w:type="dxa"/>
                    <w:left w:w="0" w:type="dxa"/>
                    <w:bottom w:w="0" w:type="dxa"/>
                    <w:right w:w="0" w:type="dxa"/>
                  </w:tcMar>
                  <w:vAlign w:val="center"/>
                </w:tcPr>
                <w:p>
                  <w:pPr>
                    <w:pStyle w:val="73"/>
                    <w:bidi w:val="0"/>
                  </w:pPr>
                  <w:r>
                    <w:t>21.0</w:t>
                  </w:r>
                </w:p>
              </w:tc>
              <w:tc>
                <w:tcPr>
                  <w:tcW w:w="542" w:type="dxa"/>
                  <w:shd w:val="clear" w:color="auto" w:fill="auto"/>
                  <w:tcMar>
                    <w:top w:w="0" w:type="dxa"/>
                    <w:left w:w="0" w:type="dxa"/>
                    <w:bottom w:w="0" w:type="dxa"/>
                    <w:right w:w="0" w:type="dxa"/>
                  </w:tcMar>
                  <w:vAlign w:val="center"/>
                </w:tcPr>
                <w:p>
                  <w:pPr>
                    <w:pStyle w:val="73"/>
                    <w:bidi w:val="0"/>
                  </w:pPr>
                  <w:r>
                    <w:t>39.9</w:t>
                  </w:r>
                </w:p>
              </w:tc>
              <w:tc>
                <w:tcPr>
                  <w:tcW w:w="565" w:type="dxa"/>
                  <w:shd w:val="clear" w:color="auto" w:fill="auto"/>
                  <w:tcMar>
                    <w:top w:w="0" w:type="dxa"/>
                    <w:left w:w="0" w:type="dxa"/>
                    <w:bottom w:w="0" w:type="dxa"/>
                    <w:right w:w="0" w:type="dxa"/>
                  </w:tcMar>
                  <w:vAlign w:val="center"/>
                </w:tcPr>
                <w:p>
                  <w:pPr>
                    <w:pStyle w:val="73"/>
                    <w:bidi w:val="0"/>
                  </w:pPr>
                  <w:r>
                    <w:t>39.7</w:t>
                  </w:r>
                </w:p>
              </w:tc>
              <w:tc>
                <w:tcPr>
                  <w:tcW w:w="497" w:type="dxa"/>
                  <w:shd w:val="clear" w:color="auto" w:fill="auto"/>
                  <w:tcMar>
                    <w:top w:w="0" w:type="dxa"/>
                    <w:left w:w="0" w:type="dxa"/>
                    <w:bottom w:w="0" w:type="dxa"/>
                    <w:right w:w="0" w:type="dxa"/>
                  </w:tcMar>
                  <w:vAlign w:val="center"/>
                </w:tcPr>
                <w:p>
                  <w:pPr>
                    <w:pStyle w:val="73"/>
                    <w:bidi w:val="0"/>
                  </w:pPr>
                  <w:r>
                    <w:t>39.7</w:t>
                  </w:r>
                </w:p>
              </w:tc>
              <w:tc>
                <w:tcPr>
                  <w:tcW w:w="553" w:type="dxa"/>
                  <w:shd w:val="clear" w:color="auto" w:fill="auto"/>
                  <w:tcMar>
                    <w:top w:w="0" w:type="dxa"/>
                    <w:left w:w="0" w:type="dxa"/>
                    <w:bottom w:w="0" w:type="dxa"/>
                    <w:right w:w="0" w:type="dxa"/>
                  </w:tcMar>
                  <w:vAlign w:val="center"/>
                </w:tcPr>
                <w:p>
                  <w:pPr>
                    <w:pStyle w:val="73"/>
                    <w:bidi w:val="0"/>
                  </w:pPr>
                  <w:r>
                    <w:t>39.7</w:t>
                  </w:r>
                </w:p>
              </w:tc>
              <w:tc>
                <w:tcPr>
                  <w:tcW w:w="544" w:type="dxa"/>
                  <w:shd w:val="clear" w:color="auto" w:fill="auto"/>
                  <w:tcMar>
                    <w:top w:w="0" w:type="dxa"/>
                    <w:left w:w="0" w:type="dxa"/>
                    <w:bottom w:w="0" w:type="dxa"/>
                    <w:right w:w="0" w:type="dxa"/>
                  </w:tcMar>
                  <w:vAlign w:val="center"/>
                </w:tcPr>
                <w:p>
                  <w:pPr>
                    <w:pStyle w:val="73"/>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6" w:type="dxa"/>
                  <w:shd w:val="clear" w:color="auto" w:fill="auto"/>
                  <w:tcMar>
                    <w:top w:w="0" w:type="dxa"/>
                    <w:left w:w="0" w:type="dxa"/>
                    <w:bottom w:w="0" w:type="dxa"/>
                    <w:right w:w="0" w:type="dxa"/>
                  </w:tcMar>
                  <w:vAlign w:val="center"/>
                </w:tcPr>
                <w:p>
                  <w:pPr>
                    <w:pStyle w:val="73"/>
                    <w:bidi w:val="0"/>
                    <w:rPr>
                      <w:rFonts w:hint="eastAsia"/>
                      <w:lang w:val="en-US" w:eastAsia="zh-CN"/>
                    </w:rPr>
                  </w:pPr>
                  <w:r>
                    <w:rPr>
                      <w:rFonts w:hint="eastAsia"/>
                      <w:lang w:val="en-US" w:eastAsia="zh-CN"/>
                    </w:rPr>
                    <w:t>8</w:t>
                  </w:r>
                </w:p>
              </w:tc>
              <w:tc>
                <w:tcPr>
                  <w:tcW w:w="701" w:type="dxa"/>
                  <w:shd w:val="clear" w:color="auto" w:fill="auto"/>
                  <w:tcMar>
                    <w:top w:w="0" w:type="dxa"/>
                    <w:left w:w="0" w:type="dxa"/>
                    <w:bottom w:w="0" w:type="dxa"/>
                    <w:right w:w="0" w:type="dxa"/>
                  </w:tcMar>
                  <w:vAlign w:val="center"/>
                </w:tcPr>
                <w:p>
                  <w:pPr>
                    <w:pStyle w:val="73"/>
                    <w:bidi w:val="0"/>
                  </w:pPr>
                  <w:r>
                    <w:t>屠宰车间</w:t>
                  </w:r>
                </w:p>
              </w:tc>
              <w:tc>
                <w:tcPr>
                  <w:tcW w:w="912" w:type="dxa"/>
                  <w:shd w:val="clear" w:color="auto" w:fill="auto"/>
                  <w:tcMar>
                    <w:top w:w="0" w:type="dxa"/>
                    <w:left w:w="0" w:type="dxa"/>
                    <w:bottom w:w="0" w:type="dxa"/>
                    <w:right w:w="0" w:type="dxa"/>
                  </w:tcMar>
                  <w:vAlign w:val="center"/>
                </w:tcPr>
                <w:p>
                  <w:pPr>
                    <w:pStyle w:val="73"/>
                    <w:bidi w:val="0"/>
                  </w:pPr>
                  <w:r>
                    <w:t>羊扯皮机</w:t>
                  </w:r>
                </w:p>
              </w:tc>
              <w:tc>
                <w:tcPr>
                  <w:tcW w:w="900" w:type="dxa"/>
                  <w:shd w:val="clear" w:color="auto" w:fill="auto"/>
                  <w:tcMar>
                    <w:top w:w="0" w:type="dxa"/>
                    <w:left w:w="0" w:type="dxa"/>
                    <w:bottom w:w="0" w:type="dxa"/>
                    <w:right w:w="0" w:type="dxa"/>
                  </w:tcMar>
                  <w:vAlign w:val="center"/>
                </w:tcPr>
                <w:p>
                  <w:pPr>
                    <w:pStyle w:val="73"/>
                    <w:bidi w:val="0"/>
                  </w:pPr>
                  <w:r>
                    <w:t>70</w:t>
                  </w:r>
                </w:p>
              </w:tc>
              <w:tc>
                <w:tcPr>
                  <w:tcW w:w="935" w:type="dxa"/>
                  <w:vMerge w:val="continue"/>
                  <w:shd w:val="clear" w:color="auto" w:fill="auto"/>
                  <w:tcMar>
                    <w:top w:w="0" w:type="dxa"/>
                    <w:left w:w="0" w:type="dxa"/>
                    <w:bottom w:w="0" w:type="dxa"/>
                    <w:right w:w="0" w:type="dxa"/>
                  </w:tcMar>
                  <w:vAlign w:val="center"/>
                </w:tcPr>
                <w:p>
                  <w:pPr>
                    <w:pStyle w:val="73"/>
                    <w:bidi w:val="0"/>
                  </w:pPr>
                </w:p>
              </w:tc>
              <w:tc>
                <w:tcPr>
                  <w:tcW w:w="553" w:type="dxa"/>
                  <w:shd w:val="clear" w:color="auto" w:fill="auto"/>
                  <w:tcMar>
                    <w:top w:w="0" w:type="dxa"/>
                    <w:left w:w="0" w:type="dxa"/>
                    <w:bottom w:w="0" w:type="dxa"/>
                    <w:right w:w="0" w:type="dxa"/>
                  </w:tcMar>
                  <w:vAlign w:val="center"/>
                </w:tcPr>
                <w:p>
                  <w:pPr>
                    <w:pStyle w:val="73"/>
                    <w:bidi w:val="0"/>
                  </w:pPr>
                  <w:r>
                    <w:t>-7.5</w:t>
                  </w:r>
                </w:p>
              </w:tc>
              <w:tc>
                <w:tcPr>
                  <w:tcW w:w="404" w:type="dxa"/>
                  <w:shd w:val="clear" w:color="auto" w:fill="auto"/>
                  <w:tcMar>
                    <w:top w:w="0" w:type="dxa"/>
                    <w:left w:w="0" w:type="dxa"/>
                    <w:bottom w:w="0" w:type="dxa"/>
                    <w:right w:w="0" w:type="dxa"/>
                  </w:tcMar>
                  <w:vAlign w:val="center"/>
                </w:tcPr>
                <w:p>
                  <w:pPr>
                    <w:pStyle w:val="73"/>
                    <w:bidi w:val="0"/>
                  </w:pPr>
                  <w:r>
                    <w:t>7.2</w:t>
                  </w:r>
                </w:p>
              </w:tc>
              <w:tc>
                <w:tcPr>
                  <w:tcW w:w="346" w:type="dxa"/>
                  <w:shd w:val="clear" w:color="auto" w:fill="auto"/>
                  <w:tcMar>
                    <w:top w:w="0" w:type="dxa"/>
                    <w:left w:w="0" w:type="dxa"/>
                    <w:bottom w:w="0" w:type="dxa"/>
                    <w:right w:w="0" w:type="dxa"/>
                  </w:tcMar>
                  <w:vAlign w:val="center"/>
                </w:tcPr>
                <w:p>
                  <w:pPr>
                    <w:pStyle w:val="73"/>
                    <w:bidi w:val="0"/>
                  </w:pPr>
                  <w:r>
                    <w:t>1.2</w:t>
                  </w:r>
                </w:p>
              </w:tc>
              <w:tc>
                <w:tcPr>
                  <w:tcW w:w="462" w:type="dxa"/>
                  <w:shd w:val="clear" w:color="auto" w:fill="auto"/>
                  <w:tcMar>
                    <w:top w:w="0" w:type="dxa"/>
                    <w:left w:w="0" w:type="dxa"/>
                    <w:bottom w:w="0" w:type="dxa"/>
                    <w:right w:w="0" w:type="dxa"/>
                  </w:tcMar>
                  <w:vAlign w:val="center"/>
                </w:tcPr>
                <w:p>
                  <w:pPr>
                    <w:pStyle w:val="73"/>
                    <w:bidi w:val="0"/>
                  </w:pPr>
                  <w:r>
                    <w:t>3.8</w:t>
                  </w:r>
                </w:p>
              </w:tc>
              <w:tc>
                <w:tcPr>
                  <w:tcW w:w="473" w:type="dxa"/>
                  <w:shd w:val="clear" w:color="auto" w:fill="auto"/>
                  <w:tcMar>
                    <w:top w:w="0" w:type="dxa"/>
                    <w:left w:w="0" w:type="dxa"/>
                    <w:bottom w:w="0" w:type="dxa"/>
                    <w:right w:w="0" w:type="dxa"/>
                  </w:tcMar>
                  <w:vAlign w:val="center"/>
                </w:tcPr>
                <w:p>
                  <w:pPr>
                    <w:pStyle w:val="73"/>
                    <w:bidi w:val="0"/>
                  </w:pPr>
                  <w:r>
                    <w:t>12.1</w:t>
                  </w:r>
                </w:p>
              </w:tc>
              <w:tc>
                <w:tcPr>
                  <w:tcW w:w="462" w:type="dxa"/>
                  <w:shd w:val="clear" w:color="auto" w:fill="auto"/>
                  <w:tcMar>
                    <w:top w:w="0" w:type="dxa"/>
                    <w:left w:w="0" w:type="dxa"/>
                    <w:bottom w:w="0" w:type="dxa"/>
                    <w:right w:w="0" w:type="dxa"/>
                  </w:tcMar>
                  <w:vAlign w:val="center"/>
                </w:tcPr>
                <w:p>
                  <w:pPr>
                    <w:pStyle w:val="73"/>
                    <w:bidi w:val="0"/>
                  </w:pPr>
                  <w:r>
                    <w:t>9.4</w:t>
                  </w:r>
                </w:p>
              </w:tc>
              <w:tc>
                <w:tcPr>
                  <w:tcW w:w="519" w:type="dxa"/>
                  <w:shd w:val="clear" w:color="auto" w:fill="auto"/>
                  <w:tcMar>
                    <w:top w:w="0" w:type="dxa"/>
                    <w:left w:w="0" w:type="dxa"/>
                    <w:bottom w:w="0" w:type="dxa"/>
                    <w:right w:w="0" w:type="dxa"/>
                  </w:tcMar>
                  <w:vAlign w:val="center"/>
                </w:tcPr>
                <w:p>
                  <w:pPr>
                    <w:pStyle w:val="73"/>
                    <w:bidi w:val="0"/>
                  </w:pPr>
                  <w:r>
                    <w:t>15.4</w:t>
                  </w:r>
                </w:p>
              </w:tc>
              <w:tc>
                <w:tcPr>
                  <w:tcW w:w="461" w:type="dxa"/>
                  <w:shd w:val="clear" w:color="auto" w:fill="auto"/>
                  <w:tcMar>
                    <w:top w:w="0" w:type="dxa"/>
                    <w:left w:w="0" w:type="dxa"/>
                    <w:bottom w:w="0" w:type="dxa"/>
                    <w:right w:w="0" w:type="dxa"/>
                  </w:tcMar>
                  <w:vAlign w:val="center"/>
                </w:tcPr>
                <w:p>
                  <w:pPr>
                    <w:pStyle w:val="73"/>
                    <w:bidi w:val="0"/>
                  </w:pPr>
                  <w:r>
                    <w:t>60.9</w:t>
                  </w:r>
                </w:p>
              </w:tc>
              <w:tc>
                <w:tcPr>
                  <w:tcW w:w="416" w:type="dxa"/>
                  <w:shd w:val="clear" w:color="auto" w:fill="auto"/>
                  <w:tcMar>
                    <w:top w:w="0" w:type="dxa"/>
                    <w:left w:w="0" w:type="dxa"/>
                    <w:bottom w:w="0" w:type="dxa"/>
                    <w:right w:w="0" w:type="dxa"/>
                  </w:tcMar>
                  <w:vAlign w:val="center"/>
                </w:tcPr>
                <w:p>
                  <w:pPr>
                    <w:pStyle w:val="73"/>
                    <w:bidi w:val="0"/>
                  </w:pPr>
                  <w:r>
                    <w:t>60.7</w:t>
                  </w:r>
                </w:p>
              </w:tc>
              <w:tc>
                <w:tcPr>
                  <w:tcW w:w="427" w:type="dxa"/>
                  <w:shd w:val="clear" w:color="auto" w:fill="auto"/>
                  <w:tcMar>
                    <w:top w:w="0" w:type="dxa"/>
                    <w:left w:w="0" w:type="dxa"/>
                    <w:bottom w:w="0" w:type="dxa"/>
                    <w:right w:w="0" w:type="dxa"/>
                  </w:tcMar>
                  <w:vAlign w:val="center"/>
                </w:tcPr>
                <w:p>
                  <w:pPr>
                    <w:pStyle w:val="73"/>
                    <w:bidi w:val="0"/>
                  </w:pPr>
                  <w:r>
                    <w:t>60.7</w:t>
                  </w:r>
                </w:p>
              </w:tc>
              <w:tc>
                <w:tcPr>
                  <w:tcW w:w="519" w:type="dxa"/>
                  <w:shd w:val="clear" w:color="auto" w:fill="auto"/>
                  <w:tcMar>
                    <w:top w:w="0" w:type="dxa"/>
                    <w:left w:w="0" w:type="dxa"/>
                    <w:bottom w:w="0" w:type="dxa"/>
                    <w:right w:w="0" w:type="dxa"/>
                  </w:tcMar>
                  <w:vAlign w:val="center"/>
                </w:tcPr>
                <w:p>
                  <w:pPr>
                    <w:pStyle w:val="73"/>
                    <w:bidi w:val="0"/>
                  </w:pPr>
                  <w:r>
                    <w:t>60.7</w:t>
                  </w:r>
                </w:p>
              </w:tc>
              <w:tc>
                <w:tcPr>
                  <w:tcW w:w="415" w:type="dxa"/>
                  <w:shd w:val="clear" w:color="auto" w:fill="auto"/>
                  <w:tcMar>
                    <w:top w:w="0" w:type="dxa"/>
                    <w:left w:w="0" w:type="dxa"/>
                    <w:bottom w:w="0" w:type="dxa"/>
                    <w:right w:w="0" w:type="dxa"/>
                  </w:tcMar>
                  <w:vAlign w:val="center"/>
                </w:tcPr>
                <w:p>
                  <w:pPr>
                    <w:pStyle w:val="73"/>
                    <w:bidi w:val="0"/>
                    <w:rPr>
                      <w:rFonts w:hint="eastAsia"/>
                      <w:lang w:val="en-US" w:eastAsia="zh-CN"/>
                    </w:rPr>
                  </w:pPr>
                  <w:r>
                    <w:t>24</w:t>
                  </w:r>
                </w:p>
              </w:tc>
              <w:tc>
                <w:tcPr>
                  <w:tcW w:w="450"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520" w:type="dxa"/>
                  <w:shd w:val="clear" w:color="auto" w:fill="auto"/>
                  <w:tcMar>
                    <w:top w:w="0" w:type="dxa"/>
                    <w:left w:w="0" w:type="dxa"/>
                    <w:bottom w:w="0" w:type="dxa"/>
                    <w:right w:w="0" w:type="dxa"/>
                  </w:tcMar>
                  <w:vAlign w:val="center"/>
                </w:tcPr>
                <w:p>
                  <w:pPr>
                    <w:pStyle w:val="73"/>
                    <w:bidi w:val="0"/>
                  </w:pPr>
                  <w:r>
                    <w:t>21.0</w:t>
                  </w:r>
                </w:p>
              </w:tc>
              <w:tc>
                <w:tcPr>
                  <w:tcW w:w="542" w:type="dxa"/>
                  <w:shd w:val="clear" w:color="auto" w:fill="auto"/>
                  <w:tcMar>
                    <w:top w:w="0" w:type="dxa"/>
                    <w:left w:w="0" w:type="dxa"/>
                    <w:bottom w:w="0" w:type="dxa"/>
                    <w:right w:w="0" w:type="dxa"/>
                  </w:tcMar>
                  <w:vAlign w:val="center"/>
                </w:tcPr>
                <w:p>
                  <w:pPr>
                    <w:pStyle w:val="73"/>
                    <w:bidi w:val="0"/>
                  </w:pPr>
                  <w:r>
                    <w:t>39.9</w:t>
                  </w:r>
                </w:p>
              </w:tc>
              <w:tc>
                <w:tcPr>
                  <w:tcW w:w="565" w:type="dxa"/>
                  <w:shd w:val="clear" w:color="auto" w:fill="auto"/>
                  <w:tcMar>
                    <w:top w:w="0" w:type="dxa"/>
                    <w:left w:w="0" w:type="dxa"/>
                    <w:bottom w:w="0" w:type="dxa"/>
                    <w:right w:w="0" w:type="dxa"/>
                  </w:tcMar>
                  <w:vAlign w:val="center"/>
                </w:tcPr>
                <w:p>
                  <w:pPr>
                    <w:pStyle w:val="73"/>
                    <w:bidi w:val="0"/>
                  </w:pPr>
                  <w:r>
                    <w:t>39.7</w:t>
                  </w:r>
                </w:p>
              </w:tc>
              <w:tc>
                <w:tcPr>
                  <w:tcW w:w="497" w:type="dxa"/>
                  <w:shd w:val="clear" w:color="auto" w:fill="auto"/>
                  <w:tcMar>
                    <w:top w:w="0" w:type="dxa"/>
                    <w:left w:w="0" w:type="dxa"/>
                    <w:bottom w:w="0" w:type="dxa"/>
                    <w:right w:w="0" w:type="dxa"/>
                  </w:tcMar>
                  <w:vAlign w:val="center"/>
                </w:tcPr>
                <w:p>
                  <w:pPr>
                    <w:pStyle w:val="73"/>
                    <w:bidi w:val="0"/>
                  </w:pPr>
                  <w:r>
                    <w:t>39.7</w:t>
                  </w:r>
                </w:p>
              </w:tc>
              <w:tc>
                <w:tcPr>
                  <w:tcW w:w="553" w:type="dxa"/>
                  <w:shd w:val="clear" w:color="auto" w:fill="auto"/>
                  <w:tcMar>
                    <w:top w:w="0" w:type="dxa"/>
                    <w:left w:w="0" w:type="dxa"/>
                    <w:bottom w:w="0" w:type="dxa"/>
                    <w:right w:w="0" w:type="dxa"/>
                  </w:tcMar>
                  <w:vAlign w:val="center"/>
                </w:tcPr>
                <w:p>
                  <w:pPr>
                    <w:pStyle w:val="73"/>
                    <w:bidi w:val="0"/>
                  </w:pPr>
                  <w:r>
                    <w:t>39.7</w:t>
                  </w:r>
                </w:p>
              </w:tc>
              <w:tc>
                <w:tcPr>
                  <w:tcW w:w="544" w:type="dxa"/>
                  <w:shd w:val="clear" w:color="auto" w:fill="auto"/>
                  <w:tcMar>
                    <w:top w:w="0" w:type="dxa"/>
                    <w:left w:w="0" w:type="dxa"/>
                    <w:bottom w:w="0" w:type="dxa"/>
                    <w:right w:w="0" w:type="dxa"/>
                  </w:tcMar>
                  <w:vAlign w:val="center"/>
                </w:tcPr>
                <w:p>
                  <w:pPr>
                    <w:pStyle w:val="73"/>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shd w:val="clear" w:color="auto" w:fill="auto"/>
                  <w:tcMar>
                    <w:top w:w="0" w:type="dxa"/>
                    <w:left w:w="0" w:type="dxa"/>
                    <w:bottom w:w="0" w:type="dxa"/>
                    <w:right w:w="0" w:type="dxa"/>
                  </w:tcMar>
                  <w:vAlign w:val="center"/>
                </w:tcPr>
                <w:p>
                  <w:pPr>
                    <w:pStyle w:val="73"/>
                    <w:bidi w:val="0"/>
                    <w:rPr>
                      <w:rFonts w:hint="default"/>
                      <w:lang w:val="en-US" w:eastAsia="zh-CN"/>
                    </w:rPr>
                  </w:pPr>
                  <w:r>
                    <w:rPr>
                      <w:rFonts w:hint="eastAsia"/>
                      <w:lang w:val="en-US" w:eastAsia="zh-CN"/>
                    </w:rPr>
                    <w:t>9</w:t>
                  </w:r>
                </w:p>
              </w:tc>
              <w:tc>
                <w:tcPr>
                  <w:tcW w:w="701" w:type="dxa"/>
                  <w:shd w:val="clear" w:color="auto" w:fill="auto"/>
                  <w:tcMar>
                    <w:top w:w="0" w:type="dxa"/>
                    <w:left w:w="0" w:type="dxa"/>
                    <w:bottom w:w="0" w:type="dxa"/>
                    <w:right w:w="0" w:type="dxa"/>
                  </w:tcMar>
                  <w:vAlign w:val="center"/>
                </w:tcPr>
                <w:p>
                  <w:pPr>
                    <w:pStyle w:val="73"/>
                    <w:bidi w:val="0"/>
                  </w:pPr>
                  <w:r>
                    <w:t>待宰圈</w:t>
                  </w:r>
                </w:p>
              </w:tc>
              <w:tc>
                <w:tcPr>
                  <w:tcW w:w="912" w:type="dxa"/>
                  <w:shd w:val="clear" w:color="auto" w:fill="auto"/>
                  <w:tcMar>
                    <w:top w:w="0" w:type="dxa"/>
                    <w:left w:w="0" w:type="dxa"/>
                    <w:bottom w:w="0" w:type="dxa"/>
                    <w:right w:w="0" w:type="dxa"/>
                  </w:tcMar>
                  <w:vAlign w:val="center"/>
                </w:tcPr>
                <w:p>
                  <w:pPr>
                    <w:pStyle w:val="73"/>
                    <w:bidi w:val="0"/>
                  </w:pPr>
                  <w:r>
                    <w:t>牛羊叫声</w:t>
                  </w:r>
                </w:p>
              </w:tc>
              <w:tc>
                <w:tcPr>
                  <w:tcW w:w="900" w:type="dxa"/>
                  <w:shd w:val="clear" w:color="auto" w:fill="auto"/>
                  <w:tcMar>
                    <w:top w:w="0" w:type="dxa"/>
                    <w:left w:w="0" w:type="dxa"/>
                    <w:bottom w:w="0" w:type="dxa"/>
                    <w:right w:w="0" w:type="dxa"/>
                  </w:tcMar>
                  <w:vAlign w:val="center"/>
                </w:tcPr>
                <w:p>
                  <w:pPr>
                    <w:pStyle w:val="73"/>
                    <w:bidi w:val="0"/>
                  </w:pPr>
                  <w:r>
                    <w:t>80</w:t>
                  </w:r>
                </w:p>
              </w:tc>
              <w:tc>
                <w:tcPr>
                  <w:tcW w:w="935" w:type="dxa"/>
                  <w:shd w:val="clear" w:color="auto" w:fill="auto"/>
                  <w:tcMar>
                    <w:top w:w="0" w:type="dxa"/>
                    <w:left w:w="0" w:type="dxa"/>
                    <w:bottom w:w="0" w:type="dxa"/>
                    <w:right w:w="0" w:type="dxa"/>
                  </w:tcMar>
                  <w:vAlign w:val="center"/>
                </w:tcPr>
                <w:p>
                  <w:pPr>
                    <w:pStyle w:val="73"/>
                    <w:bidi w:val="0"/>
                    <w:rPr>
                      <w:rFonts w:hint="default" w:eastAsia="宋体"/>
                      <w:lang w:val="en-US" w:eastAsia="zh-CN"/>
                    </w:rPr>
                  </w:pPr>
                  <w:r>
                    <w:rPr>
                      <w:rFonts w:hint="eastAsia"/>
                      <w:lang w:val="en-US" w:eastAsia="zh-CN"/>
                    </w:rPr>
                    <w:t>厂房隔声</w:t>
                  </w:r>
                </w:p>
              </w:tc>
              <w:tc>
                <w:tcPr>
                  <w:tcW w:w="553" w:type="dxa"/>
                  <w:shd w:val="clear" w:color="auto" w:fill="auto"/>
                  <w:tcMar>
                    <w:top w:w="0" w:type="dxa"/>
                    <w:left w:w="0" w:type="dxa"/>
                    <w:bottom w:w="0" w:type="dxa"/>
                    <w:right w:w="0" w:type="dxa"/>
                  </w:tcMar>
                  <w:vAlign w:val="center"/>
                </w:tcPr>
                <w:p>
                  <w:pPr>
                    <w:pStyle w:val="73"/>
                    <w:bidi w:val="0"/>
                  </w:pPr>
                  <w:r>
                    <w:t>0</w:t>
                  </w:r>
                </w:p>
              </w:tc>
              <w:tc>
                <w:tcPr>
                  <w:tcW w:w="404" w:type="dxa"/>
                  <w:shd w:val="clear" w:color="auto" w:fill="auto"/>
                  <w:tcMar>
                    <w:top w:w="0" w:type="dxa"/>
                    <w:left w:w="0" w:type="dxa"/>
                    <w:bottom w:w="0" w:type="dxa"/>
                    <w:right w:w="0" w:type="dxa"/>
                  </w:tcMar>
                  <w:vAlign w:val="center"/>
                </w:tcPr>
                <w:p>
                  <w:pPr>
                    <w:pStyle w:val="73"/>
                    <w:bidi w:val="0"/>
                  </w:pPr>
                  <w:r>
                    <w:t>-9.1</w:t>
                  </w:r>
                </w:p>
              </w:tc>
              <w:tc>
                <w:tcPr>
                  <w:tcW w:w="346" w:type="dxa"/>
                  <w:shd w:val="clear" w:color="auto" w:fill="auto"/>
                  <w:tcMar>
                    <w:top w:w="0" w:type="dxa"/>
                    <w:left w:w="0" w:type="dxa"/>
                    <w:bottom w:w="0" w:type="dxa"/>
                    <w:right w:w="0" w:type="dxa"/>
                  </w:tcMar>
                  <w:vAlign w:val="center"/>
                </w:tcPr>
                <w:p>
                  <w:pPr>
                    <w:pStyle w:val="73"/>
                    <w:bidi w:val="0"/>
                  </w:pPr>
                  <w:r>
                    <w:t>1.2</w:t>
                  </w:r>
                </w:p>
              </w:tc>
              <w:tc>
                <w:tcPr>
                  <w:tcW w:w="462" w:type="dxa"/>
                  <w:shd w:val="clear" w:color="auto" w:fill="auto"/>
                  <w:tcMar>
                    <w:top w:w="0" w:type="dxa"/>
                    <w:left w:w="0" w:type="dxa"/>
                    <w:bottom w:w="0" w:type="dxa"/>
                    <w:right w:w="0" w:type="dxa"/>
                  </w:tcMar>
                  <w:vAlign w:val="center"/>
                </w:tcPr>
                <w:p>
                  <w:pPr>
                    <w:pStyle w:val="73"/>
                    <w:bidi w:val="0"/>
                  </w:pPr>
                  <w:r>
                    <w:t>4.9</w:t>
                  </w:r>
                </w:p>
              </w:tc>
              <w:tc>
                <w:tcPr>
                  <w:tcW w:w="473" w:type="dxa"/>
                  <w:shd w:val="clear" w:color="auto" w:fill="auto"/>
                  <w:tcMar>
                    <w:top w:w="0" w:type="dxa"/>
                    <w:left w:w="0" w:type="dxa"/>
                    <w:bottom w:w="0" w:type="dxa"/>
                    <w:right w:w="0" w:type="dxa"/>
                  </w:tcMar>
                  <w:vAlign w:val="center"/>
                </w:tcPr>
                <w:p>
                  <w:pPr>
                    <w:pStyle w:val="73"/>
                    <w:bidi w:val="0"/>
                  </w:pPr>
                  <w:r>
                    <w:t>6.4</w:t>
                  </w:r>
                </w:p>
              </w:tc>
              <w:tc>
                <w:tcPr>
                  <w:tcW w:w="462" w:type="dxa"/>
                  <w:shd w:val="clear" w:color="auto" w:fill="auto"/>
                  <w:tcMar>
                    <w:top w:w="0" w:type="dxa"/>
                    <w:left w:w="0" w:type="dxa"/>
                    <w:bottom w:w="0" w:type="dxa"/>
                    <w:right w:w="0" w:type="dxa"/>
                  </w:tcMar>
                  <w:vAlign w:val="center"/>
                </w:tcPr>
                <w:p>
                  <w:pPr>
                    <w:pStyle w:val="73"/>
                    <w:bidi w:val="0"/>
                  </w:pPr>
                  <w:r>
                    <w:t>5.6</w:t>
                  </w:r>
                </w:p>
              </w:tc>
              <w:tc>
                <w:tcPr>
                  <w:tcW w:w="519" w:type="dxa"/>
                  <w:shd w:val="clear" w:color="auto" w:fill="auto"/>
                  <w:tcMar>
                    <w:top w:w="0" w:type="dxa"/>
                    <w:left w:w="0" w:type="dxa"/>
                    <w:bottom w:w="0" w:type="dxa"/>
                    <w:right w:w="0" w:type="dxa"/>
                  </w:tcMar>
                  <w:vAlign w:val="center"/>
                </w:tcPr>
                <w:p>
                  <w:pPr>
                    <w:pStyle w:val="73"/>
                    <w:bidi w:val="0"/>
                  </w:pPr>
                  <w:r>
                    <w:t>4.8</w:t>
                  </w:r>
                </w:p>
              </w:tc>
              <w:tc>
                <w:tcPr>
                  <w:tcW w:w="461" w:type="dxa"/>
                  <w:shd w:val="clear" w:color="auto" w:fill="auto"/>
                  <w:tcMar>
                    <w:top w:w="0" w:type="dxa"/>
                    <w:left w:w="0" w:type="dxa"/>
                    <w:bottom w:w="0" w:type="dxa"/>
                    <w:right w:w="0" w:type="dxa"/>
                  </w:tcMar>
                  <w:vAlign w:val="center"/>
                </w:tcPr>
                <w:p>
                  <w:pPr>
                    <w:pStyle w:val="73"/>
                    <w:bidi w:val="0"/>
                  </w:pPr>
                  <w:r>
                    <w:t>73.5</w:t>
                  </w:r>
                </w:p>
              </w:tc>
              <w:tc>
                <w:tcPr>
                  <w:tcW w:w="416" w:type="dxa"/>
                  <w:shd w:val="clear" w:color="auto" w:fill="auto"/>
                  <w:tcMar>
                    <w:top w:w="0" w:type="dxa"/>
                    <w:left w:w="0" w:type="dxa"/>
                    <w:bottom w:w="0" w:type="dxa"/>
                    <w:right w:w="0" w:type="dxa"/>
                  </w:tcMar>
                  <w:vAlign w:val="center"/>
                </w:tcPr>
                <w:p>
                  <w:pPr>
                    <w:pStyle w:val="73"/>
                    <w:bidi w:val="0"/>
                  </w:pPr>
                  <w:r>
                    <w:t>73.4</w:t>
                  </w:r>
                </w:p>
              </w:tc>
              <w:tc>
                <w:tcPr>
                  <w:tcW w:w="427" w:type="dxa"/>
                  <w:shd w:val="clear" w:color="auto" w:fill="auto"/>
                  <w:tcMar>
                    <w:top w:w="0" w:type="dxa"/>
                    <w:left w:w="0" w:type="dxa"/>
                    <w:bottom w:w="0" w:type="dxa"/>
                    <w:right w:w="0" w:type="dxa"/>
                  </w:tcMar>
                  <w:vAlign w:val="center"/>
                </w:tcPr>
                <w:p>
                  <w:pPr>
                    <w:pStyle w:val="73"/>
                    <w:bidi w:val="0"/>
                  </w:pPr>
                  <w:r>
                    <w:t>73.5</w:t>
                  </w:r>
                </w:p>
              </w:tc>
              <w:tc>
                <w:tcPr>
                  <w:tcW w:w="519" w:type="dxa"/>
                  <w:shd w:val="clear" w:color="auto" w:fill="auto"/>
                  <w:tcMar>
                    <w:top w:w="0" w:type="dxa"/>
                    <w:left w:w="0" w:type="dxa"/>
                    <w:bottom w:w="0" w:type="dxa"/>
                    <w:right w:w="0" w:type="dxa"/>
                  </w:tcMar>
                  <w:vAlign w:val="center"/>
                </w:tcPr>
                <w:p>
                  <w:pPr>
                    <w:pStyle w:val="73"/>
                    <w:bidi w:val="0"/>
                  </w:pPr>
                  <w:r>
                    <w:t>73.5</w:t>
                  </w:r>
                </w:p>
              </w:tc>
              <w:tc>
                <w:tcPr>
                  <w:tcW w:w="415" w:type="dxa"/>
                  <w:shd w:val="clear" w:color="auto" w:fill="auto"/>
                  <w:tcMar>
                    <w:top w:w="0" w:type="dxa"/>
                    <w:left w:w="0" w:type="dxa"/>
                    <w:bottom w:w="0" w:type="dxa"/>
                    <w:right w:w="0" w:type="dxa"/>
                  </w:tcMar>
                  <w:vAlign w:val="center"/>
                </w:tcPr>
                <w:p>
                  <w:pPr>
                    <w:pStyle w:val="73"/>
                    <w:bidi w:val="0"/>
                    <w:rPr>
                      <w:rFonts w:hint="eastAsia"/>
                      <w:lang w:val="en-US" w:eastAsia="zh-CN"/>
                    </w:rPr>
                  </w:pPr>
                  <w:r>
                    <w:t>24</w:t>
                  </w:r>
                </w:p>
              </w:tc>
              <w:tc>
                <w:tcPr>
                  <w:tcW w:w="450"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473" w:type="dxa"/>
                  <w:shd w:val="clear" w:color="auto" w:fill="auto"/>
                  <w:tcMar>
                    <w:top w:w="0" w:type="dxa"/>
                    <w:left w:w="0" w:type="dxa"/>
                    <w:bottom w:w="0" w:type="dxa"/>
                    <w:right w:w="0" w:type="dxa"/>
                  </w:tcMar>
                  <w:vAlign w:val="center"/>
                </w:tcPr>
                <w:p>
                  <w:pPr>
                    <w:pStyle w:val="73"/>
                    <w:bidi w:val="0"/>
                  </w:pPr>
                  <w:r>
                    <w:t>21.0</w:t>
                  </w:r>
                </w:p>
              </w:tc>
              <w:tc>
                <w:tcPr>
                  <w:tcW w:w="520" w:type="dxa"/>
                  <w:shd w:val="clear" w:color="auto" w:fill="auto"/>
                  <w:tcMar>
                    <w:top w:w="0" w:type="dxa"/>
                    <w:left w:w="0" w:type="dxa"/>
                    <w:bottom w:w="0" w:type="dxa"/>
                    <w:right w:w="0" w:type="dxa"/>
                  </w:tcMar>
                  <w:vAlign w:val="center"/>
                </w:tcPr>
                <w:p>
                  <w:pPr>
                    <w:pStyle w:val="73"/>
                    <w:bidi w:val="0"/>
                  </w:pPr>
                  <w:r>
                    <w:t>21.0</w:t>
                  </w:r>
                </w:p>
              </w:tc>
              <w:tc>
                <w:tcPr>
                  <w:tcW w:w="542" w:type="dxa"/>
                  <w:shd w:val="clear" w:color="auto" w:fill="auto"/>
                  <w:tcMar>
                    <w:top w:w="0" w:type="dxa"/>
                    <w:left w:w="0" w:type="dxa"/>
                    <w:bottom w:w="0" w:type="dxa"/>
                    <w:right w:w="0" w:type="dxa"/>
                  </w:tcMar>
                  <w:vAlign w:val="center"/>
                </w:tcPr>
                <w:p>
                  <w:pPr>
                    <w:pStyle w:val="73"/>
                    <w:bidi w:val="0"/>
                  </w:pPr>
                  <w:r>
                    <w:t>52.5</w:t>
                  </w:r>
                </w:p>
              </w:tc>
              <w:tc>
                <w:tcPr>
                  <w:tcW w:w="565" w:type="dxa"/>
                  <w:shd w:val="clear" w:color="auto" w:fill="auto"/>
                  <w:tcMar>
                    <w:top w:w="0" w:type="dxa"/>
                    <w:left w:w="0" w:type="dxa"/>
                    <w:bottom w:w="0" w:type="dxa"/>
                    <w:right w:w="0" w:type="dxa"/>
                  </w:tcMar>
                  <w:vAlign w:val="center"/>
                </w:tcPr>
                <w:p>
                  <w:pPr>
                    <w:pStyle w:val="73"/>
                    <w:bidi w:val="0"/>
                  </w:pPr>
                  <w:r>
                    <w:t>52.4</w:t>
                  </w:r>
                </w:p>
              </w:tc>
              <w:tc>
                <w:tcPr>
                  <w:tcW w:w="497" w:type="dxa"/>
                  <w:shd w:val="clear" w:color="auto" w:fill="auto"/>
                  <w:tcMar>
                    <w:top w:w="0" w:type="dxa"/>
                    <w:left w:w="0" w:type="dxa"/>
                    <w:bottom w:w="0" w:type="dxa"/>
                    <w:right w:w="0" w:type="dxa"/>
                  </w:tcMar>
                  <w:vAlign w:val="center"/>
                </w:tcPr>
                <w:p>
                  <w:pPr>
                    <w:pStyle w:val="73"/>
                    <w:bidi w:val="0"/>
                  </w:pPr>
                  <w:r>
                    <w:t>52.5</w:t>
                  </w:r>
                </w:p>
              </w:tc>
              <w:tc>
                <w:tcPr>
                  <w:tcW w:w="553" w:type="dxa"/>
                  <w:shd w:val="clear" w:color="auto" w:fill="auto"/>
                  <w:tcMar>
                    <w:top w:w="0" w:type="dxa"/>
                    <w:left w:w="0" w:type="dxa"/>
                    <w:bottom w:w="0" w:type="dxa"/>
                    <w:right w:w="0" w:type="dxa"/>
                  </w:tcMar>
                  <w:vAlign w:val="center"/>
                </w:tcPr>
                <w:p>
                  <w:pPr>
                    <w:pStyle w:val="73"/>
                    <w:bidi w:val="0"/>
                  </w:pPr>
                  <w:r>
                    <w:t>52.5</w:t>
                  </w:r>
                </w:p>
              </w:tc>
              <w:tc>
                <w:tcPr>
                  <w:tcW w:w="544" w:type="dxa"/>
                  <w:shd w:val="clear" w:color="auto" w:fill="auto"/>
                  <w:tcMar>
                    <w:top w:w="0" w:type="dxa"/>
                    <w:left w:w="0" w:type="dxa"/>
                    <w:bottom w:w="0" w:type="dxa"/>
                    <w:right w:w="0" w:type="dxa"/>
                  </w:tcMar>
                  <w:vAlign w:val="center"/>
                </w:tcPr>
                <w:p>
                  <w:pPr>
                    <w:pStyle w:val="73"/>
                    <w:bidi w:val="0"/>
                  </w:pPr>
                  <w:r>
                    <w:t>1</w:t>
                  </w:r>
                </w:p>
              </w:tc>
            </w:tr>
            <w:bookmarkEnd w:id="33"/>
          </w:tbl>
          <w:p>
            <w:pPr>
              <w:pStyle w:val="71"/>
              <w:bidi w:val="0"/>
              <w:rPr>
                <w:rFonts w:hint="default"/>
                <w:lang w:val="en-US" w:eastAsia="zh-CN"/>
              </w:rPr>
            </w:pPr>
            <w:r>
              <w:rPr>
                <w:rFonts w:hint="default"/>
                <w:lang w:val="en-US" w:eastAsia="zh-CN"/>
              </w:rPr>
              <w:t>表中坐标以厂界中心（</w:t>
            </w:r>
            <w:bookmarkStart w:id="35" w:name="PO_7"/>
            <w:r>
              <w:rPr>
                <w:rFonts w:hint="default"/>
                <w:lang w:val="en-US" w:eastAsia="zh-CN"/>
              </w:rPr>
              <w:t>87.3532791,38.667011</w:t>
            </w:r>
            <w:bookmarkEnd w:id="35"/>
            <w:r>
              <w:rPr>
                <w:rFonts w:hint="default"/>
                <w:lang w:val="en-US" w:eastAsia="zh-CN"/>
              </w:rPr>
              <w:t>）为坐标原点，正东向为X轴正方向，正北向为Y轴正方向</w:t>
            </w:r>
          </w:p>
        </w:tc>
      </w:tr>
    </w:tbl>
    <w:p>
      <w:pPr>
        <w:adjustRightInd w:val="0"/>
        <w:snapToGrid w:val="0"/>
        <w:jc w:val="center"/>
        <w:rPr>
          <w:rFonts w:hint="default" w:ascii="Times New Roman" w:hAnsi="Times New Roman" w:cs="Times New Roman"/>
          <w:bCs/>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2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73" w:hRule="atLeast"/>
          <w:jc w:val="center"/>
        </w:trPr>
        <w:tc>
          <w:tcPr>
            <w:tcW w:w="750" w:type="dxa"/>
            <w:noWrap w:val="0"/>
            <w:tcMar>
              <w:left w:w="28" w:type="dxa"/>
              <w:right w:w="28" w:type="dxa"/>
            </w:tcMar>
            <w:vAlign w:val="center"/>
          </w:tcPr>
          <w:p>
            <w:pPr>
              <w:adjustRightInd w:val="0"/>
              <w:snapToGrid w:val="0"/>
              <w:jc w:val="center"/>
              <w:rPr>
                <w:rFonts w:hint="default" w:ascii="Times New Roman" w:hAnsi="Times New Roman" w:cs="Times New Roman"/>
                <w:bCs/>
                <w:szCs w:val="21"/>
              </w:rPr>
            </w:pPr>
          </w:p>
        </w:tc>
        <w:tc>
          <w:tcPr>
            <w:tcW w:w="8231" w:type="dxa"/>
            <w:noWrap w:val="0"/>
            <w:vAlign w:val="center"/>
          </w:tcPr>
          <w:p>
            <w:pPr>
              <w:pStyle w:val="2"/>
              <w:bidi w:val="0"/>
              <w:rPr>
                <w:rFonts w:hint="default"/>
                <w:lang w:val="en-US" w:eastAsia="zh-CN"/>
              </w:rPr>
            </w:pPr>
            <w:r>
              <w:rPr>
                <w:rFonts w:hint="eastAsia"/>
                <w:lang w:val="en-US" w:eastAsia="zh-CN"/>
              </w:rPr>
              <w:t>3.3预测结果</w:t>
            </w:r>
          </w:p>
          <w:p>
            <w:pPr>
              <w:spacing w:line="52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通过预测模型计算，项目厂界噪声预测结果与达标分析</w:t>
            </w:r>
            <w:r>
              <w:rPr>
                <w:rFonts w:hint="default" w:ascii="Times New Roman" w:hAnsi="Times New Roman" w:cs="Times New Roman"/>
                <w:sz w:val="24"/>
                <w:szCs w:val="24"/>
                <w:highlight w:val="none"/>
                <w:lang w:val="en-US" w:eastAsia="zh-CN"/>
              </w:rPr>
              <w:t>详见下表</w:t>
            </w:r>
            <w:r>
              <w:rPr>
                <w:rFonts w:hint="default" w:ascii="Times New Roman" w:hAnsi="Times New Roman" w:cs="Times New Roman"/>
                <w:sz w:val="24"/>
                <w:szCs w:val="24"/>
                <w:lang w:val="en-US" w:eastAsia="zh-CN"/>
              </w:rPr>
              <w:t>。</w:t>
            </w:r>
          </w:p>
          <w:p>
            <w:pPr>
              <w:pStyle w:val="72"/>
              <w:bidi w:val="0"/>
              <w:rPr>
                <w:rFonts w:hint="eastAsia"/>
                <w:lang w:val="en-US" w:eastAsia="zh-CN"/>
              </w:rPr>
            </w:pPr>
            <w:r>
              <w:rPr>
                <w:rFonts w:hint="eastAsia"/>
                <w:lang w:val="en-US" w:eastAsia="zh-CN"/>
              </w:rPr>
              <w:t>表4-10   厂界噪声预测结果与达标分析表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91"/>
              <w:gridCol w:w="767"/>
              <w:gridCol w:w="779"/>
              <w:gridCol w:w="750"/>
              <w:gridCol w:w="900"/>
              <w:gridCol w:w="1377"/>
              <w:gridCol w:w="1378"/>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shd w:val="clear" w:color="auto" w:fill="auto"/>
                  <w:vAlign w:val="center"/>
                </w:tcPr>
                <w:p>
                  <w:pPr>
                    <w:pStyle w:val="73"/>
                    <w:bidi w:val="0"/>
                  </w:pPr>
                  <w:r>
                    <w:t>预测方位</w:t>
                  </w:r>
                </w:p>
              </w:tc>
              <w:tc>
                <w:tcPr>
                  <w:tcW w:w="2409" w:type="dxa"/>
                  <w:gridSpan w:val="3"/>
                  <w:shd w:val="clear" w:color="auto" w:fill="auto"/>
                  <w:vAlign w:val="center"/>
                </w:tcPr>
                <w:p>
                  <w:pPr>
                    <w:pStyle w:val="73"/>
                    <w:bidi w:val="0"/>
                  </w:pPr>
                  <w:r>
                    <w:rPr>
                      <w:rFonts w:hint="eastAsia"/>
                      <w:lang w:val="en-US" w:eastAsia="zh-CN"/>
                    </w:rPr>
                    <w:t>最大值点</w:t>
                  </w:r>
                  <w:r>
                    <w:t>空间相对位置/m</w:t>
                  </w:r>
                </w:p>
              </w:tc>
              <w:tc>
                <w:tcPr>
                  <w:tcW w:w="993" w:type="dxa"/>
                  <w:vMerge w:val="restart"/>
                  <w:shd w:val="clear" w:color="auto" w:fill="auto"/>
                  <w:vAlign w:val="center"/>
                </w:tcPr>
                <w:p>
                  <w:pPr>
                    <w:pStyle w:val="73"/>
                    <w:bidi w:val="0"/>
                  </w:pPr>
                  <w:r>
                    <w:t>时段</w:t>
                  </w:r>
                </w:p>
              </w:tc>
              <w:tc>
                <w:tcPr>
                  <w:tcW w:w="1417" w:type="dxa"/>
                  <w:vMerge w:val="restart"/>
                  <w:shd w:val="clear" w:color="auto" w:fill="auto"/>
                  <w:vAlign w:val="center"/>
                </w:tcPr>
                <w:p>
                  <w:pPr>
                    <w:pStyle w:val="73"/>
                    <w:bidi w:val="0"/>
                  </w:pPr>
                  <w:r>
                    <w:rPr>
                      <w:rFonts w:hint="eastAsia"/>
                    </w:rPr>
                    <w:t>贡献值</w:t>
                  </w:r>
                  <w:r>
                    <w:t>（dB(A)）</w:t>
                  </w:r>
                </w:p>
              </w:tc>
              <w:tc>
                <w:tcPr>
                  <w:tcW w:w="1418" w:type="dxa"/>
                  <w:vMerge w:val="restart"/>
                  <w:shd w:val="clear" w:color="auto" w:fill="auto"/>
                  <w:vAlign w:val="center"/>
                </w:tcPr>
                <w:p>
                  <w:pPr>
                    <w:pStyle w:val="73"/>
                    <w:bidi w:val="0"/>
                  </w:pPr>
                  <w:r>
                    <w:t>标准限值（dB(A)）</w:t>
                  </w:r>
                </w:p>
              </w:tc>
              <w:tc>
                <w:tcPr>
                  <w:tcW w:w="1188" w:type="dxa"/>
                  <w:vMerge w:val="restart"/>
                  <w:shd w:val="clear" w:color="auto" w:fill="auto"/>
                  <w:vAlign w:val="center"/>
                </w:tcPr>
                <w:p>
                  <w:pPr>
                    <w:pStyle w:val="73"/>
                    <w:bidi w:val="0"/>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1101" w:type="dxa"/>
                  <w:vMerge w:val="continue"/>
                  <w:shd w:val="clear" w:color="auto" w:fill="auto"/>
                  <w:vAlign w:val="center"/>
                </w:tcPr>
                <w:p>
                  <w:pPr>
                    <w:pStyle w:val="73"/>
                    <w:bidi w:val="0"/>
                  </w:pPr>
                </w:p>
              </w:tc>
              <w:tc>
                <w:tcPr>
                  <w:tcW w:w="803" w:type="dxa"/>
                  <w:shd w:val="clear" w:color="auto" w:fill="auto"/>
                  <w:vAlign w:val="center"/>
                </w:tcPr>
                <w:p>
                  <w:pPr>
                    <w:pStyle w:val="73"/>
                    <w:bidi w:val="0"/>
                  </w:pPr>
                  <w:r>
                    <w:t>X</w:t>
                  </w:r>
                </w:p>
              </w:tc>
              <w:tc>
                <w:tcPr>
                  <w:tcW w:w="803" w:type="dxa"/>
                  <w:shd w:val="clear" w:color="auto" w:fill="auto"/>
                  <w:vAlign w:val="center"/>
                </w:tcPr>
                <w:p>
                  <w:pPr>
                    <w:pStyle w:val="73"/>
                    <w:bidi w:val="0"/>
                  </w:pPr>
                  <w:r>
                    <w:t>Y</w:t>
                  </w:r>
                </w:p>
              </w:tc>
              <w:tc>
                <w:tcPr>
                  <w:tcW w:w="803" w:type="dxa"/>
                  <w:shd w:val="clear" w:color="auto" w:fill="auto"/>
                  <w:vAlign w:val="center"/>
                </w:tcPr>
                <w:p>
                  <w:pPr>
                    <w:pStyle w:val="73"/>
                    <w:bidi w:val="0"/>
                  </w:pPr>
                  <w:r>
                    <w:t>Z</w:t>
                  </w:r>
                </w:p>
              </w:tc>
              <w:tc>
                <w:tcPr>
                  <w:tcW w:w="993" w:type="dxa"/>
                  <w:vMerge w:val="continue"/>
                  <w:shd w:val="clear" w:color="auto" w:fill="auto"/>
                  <w:vAlign w:val="center"/>
                </w:tcPr>
                <w:p>
                  <w:pPr>
                    <w:pStyle w:val="73"/>
                    <w:bidi w:val="0"/>
                  </w:pPr>
                </w:p>
              </w:tc>
              <w:tc>
                <w:tcPr>
                  <w:tcW w:w="1417" w:type="dxa"/>
                  <w:vMerge w:val="continue"/>
                  <w:shd w:val="clear" w:color="auto" w:fill="auto"/>
                  <w:vAlign w:val="center"/>
                </w:tcPr>
                <w:p>
                  <w:pPr>
                    <w:pStyle w:val="73"/>
                    <w:bidi w:val="0"/>
                  </w:pPr>
                </w:p>
              </w:tc>
              <w:tc>
                <w:tcPr>
                  <w:tcW w:w="1418" w:type="dxa"/>
                  <w:vMerge w:val="continue"/>
                  <w:shd w:val="clear" w:color="auto" w:fill="auto"/>
                  <w:vAlign w:val="center"/>
                </w:tcPr>
                <w:p>
                  <w:pPr>
                    <w:pStyle w:val="73"/>
                    <w:bidi w:val="0"/>
                  </w:pPr>
                </w:p>
              </w:tc>
              <w:tc>
                <w:tcPr>
                  <w:tcW w:w="1188" w:type="dxa"/>
                  <w:vMerge w:val="continue"/>
                  <w:shd w:val="clear" w:color="auto" w:fill="auto"/>
                  <w:vAlign w:val="center"/>
                </w:tcPr>
                <w:p>
                  <w:pPr>
                    <w:pStyle w:val="73"/>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restart"/>
                  <w:shd w:val="clear" w:color="auto" w:fill="auto"/>
                  <w:vAlign w:val="center"/>
                </w:tcPr>
                <w:p>
                  <w:pPr>
                    <w:pStyle w:val="73"/>
                    <w:bidi w:val="0"/>
                  </w:pPr>
                  <w:r>
                    <w:t>东侧</w:t>
                  </w:r>
                </w:p>
              </w:tc>
              <w:tc>
                <w:tcPr>
                  <w:tcW w:w="803" w:type="dxa"/>
                  <w:shd w:val="clear" w:color="auto" w:fill="auto"/>
                  <w:vAlign w:val="center"/>
                </w:tcPr>
                <w:p>
                  <w:pPr>
                    <w:pStyle w:val="73"/>
                    <w:bidi w:val="0"/>
                  </w:pPr>
                  <w:r>
                    <w:t>8.5</w:t>
                  </w:r>
                </w:p>
              </w:tc>
              <w:tc>
                <w:tcPr>
                  <w:tcW w:w="803" w:type="dxa"/>
                  <w:shd w:val="clear" w:color="auto" w:fill="auto"/>
                  <w:vAlign w:val="center"/>
                </w:tcPr>
                <w:p>
                  <w:pPr>
                    <w:pStyle w:val="73"/>
                    <w:bidi w:val="0"/>
                  </w:pPr>
                  <w:r>
                    <w:t>11.2</w:t>
                  </w:r>
                </w:p>
              </w:tc>
              <w:tc>
                <w:tcPr>
                  <w:tcW w:w="803" w:type="dxa"/>
                  <w:shd w:val="clear" w:color="auto" w:fill="auto"/>
                  <w:vAlign w:val="center"/>
                </w:tcPr>
                <w:p>
                  <w:pPr>
                    <w:pStyle w:val="73"/>
                    <w:bidi w:val="0"/>
                  </w:pPr>
                  <w:r>
                    <w:t>1.2</w:t>
                  </w:r>
                </w:p>
              </w:tc>
              <w:tc>
                <w:tcPr>
                  <w:tcW w:w="993" w:type="dxa"/>
                  <w:shd w:val="clear" w:color="auto" w:fill="auto"/>
                  <w:vAlign w:val="center"/>
                </w:tcPr>
                <w:p>
                  <w:pPr>
                    <w:pStyle w:val="73"/>
                    <w:bidi w:val="0"/>
                  </w:pPr>
                  <w:r>
                    <w:t>昼间</w:t>
                  </w:r>
                </w:p>
              </w:tc>
              <w:tc>
                <w:tcPr>
                  <w:tcW w:w="1417" w:type="dxa"/>
                  <w:shd w:val="clear" w:color="auto" w:fill="auto"/>
                  <w:vAlign w:val="center"/>
                </w:tcPr>
                <w:p>
                  <w:pPr>
                    <w:pStyle w:val="73"/>
                    <w:bidi w:val="0"/>
                  </w:pPr>
                  <w:r>
                    <w:t>47.5</w:t>
                  </w:r>
                </w:p>
              </w:tc>
              <w:tc>
                <w:tcPr>
                  <w:tcW w:w="1418" w:type="dxa"/>
                  <w:shd w:val="clear" w:color="auto" w:fill="auto"/>
                  <w:vAlign w:val="center"/>
                </w:tcPr>
                <w:p>
                  <w:pPr>
                    <w:pStyle w:val="73"/>
                    <w:bidi w:val="0"/>
                  </w:pPr>
                  <w:r>
                    <w:t>60</w:t>
                  </w:r>
                </w:p>
              </w:tc>
              <w:tc>
                <w:tcPr>
                  <w:tcW w:w="1188" w:type="dxa"/>
                  <w:shd w:val="clear" w:color="auto" w:fill="auto"/>
                  <w:vAlign w:val="center"/>
                </w:tcPr>
                <w:p>
                  <w:pPr>
                    <w:pStyle w:val="73"/>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continue"/>
                  <w:shd w:val="clear" w:color="auto" w:fill="auto"/>
                  <w:vAlign w:val="center"/>
                </w:tcPr>
                <w:p>
                  <w:pPr>
                    <w:pStyle w:val="73"/>
                    <w:bidi w:val="0"/>
                  </w:pPr>
                </w:p>
              </w:tc>
              <w:tc>
                <w:tcPr>
                  <w:tcW w:w="803" w:type="dxa"/>
                  <w:shd w:val="clear" w:color="auto" w:fill="auto"/>
                  <w:vAlign w:val="center"/>
                </w:tcPr>
                <w:p>
                  <w:pPr>
                    <w:pStyle w:val="73"/>
                    <w:bidi w:val="0"/>
                  </w:pPr>
                  <w:r>
                    <w:t>8.5</w:t>
                  </w:r>
                </w:p>
              </w:tc>
              <w:tc>
                <w:tcPr>
                  <w:tcW w:w="803" w:type="dxa"/>
                  <w:shd w:val="clear" w:color="auto" w:fill="auto"/>
                  <w:vAlign w:val="center"/>
                </w:tcPr>
                <w:p>
                  <w:pPr>
                    <w:pStyle w:val="73"/>
                    <w:bidi w:val="0"/>
                  </w:pPr>
                  <w:r>
                    <w:t>11.2</w:t>
                  </w:r>
                </w:p>
              </w:tc>
              <w:tc>
                <w:tcPr>
                  <w:tcW w:w="803" w:type="dxa"/>
                  <w:shd w:val="clear" w:color="auto" w:fill="auto"/>
                  <w:vAlign w:val="center"/>
                </w:tcPr>
                <w:p>
                  <w:pPr>
                    <w:pStyle w:val="73"/>
                    <w:bidi w:val="0"/>
                  </w:pPr>
                  <w:r>
                    <w:t>1.2</w:t>
                  </w:r>
                </w:p>
              </w:tc>
              <w:tc>
                <w:tcPr>
                  <w:tcW w:w="993" w:type="dxa"/>
                  <w:shd w:val="clear" w:color="auto" w:fill="auto"/>
                  <w:vAlign w:val="center"/>
                </w:tcPr>
                <w:p>
                  <w:pPr>
                    <w:pStyle w:val="73"/>
                    <w:bidi w:val="0"/>
                  </w:pPr>
                  <w:r>
                    <w:t>夜间</w:t>
                  </w:r>
                </w:p>
              </w:tc>
              <w:tc>
                <w:tcPr>
                  <w:tcW w:w="1417" w:type="dxa"/>
                  <w:shd w:val="clear" w:color="auto" w:fill="auto"/>
                  <w:vAlign w:val="center"/>
                </w:tcPr>
                <w:p>
                  <w:pPr>
                    <w:pStyle w:val="73"/>
                    <w:bidi w:val="0"/>
                  </w:pPr>
                  <w:r>
                    <w:t>47.5</w:t>
                  </w:r>
                </w:p>
              </w:tc>
              <w:tc>
                <w:tcPr>
                  <w:tcW w:w="1418" w:type="dxa"/>
                  <w:shd w:val="clear" w:color="auto" w:fill="auto"/>
                  <w:vAlign w:val="center"/>
                </w:tcPr>
                <w:p>
                  <w:pPr>
                    <w:pStyle w:val="73"/>
                    <w:bidi w:val="0"/>
                  </w:pPr>
                  <w:r>
                    <w:t>50</w:t>
                  </w:r>
                </w:p>
              </w:tc>
              <w:tc>
                <w:tcPr>
                  <w:tcW w:w="1188" w:type="dxa"/>
                  <w:shd w:val="clear" w:color="auto" w:fill="auto"/>
                  <w:vAlign w:val="center"/>
                </w:tcPr>
                <w:p>
                  <w:pPr>
                    <w:pStyle w:val="73"/>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1101" w:type="dxa"/>
                  <w:vMerge w:val="restart"/>
                  <w:shd w:val="clear" w:color="auto" w:fill="auto"/>
                  <w:vAlign w:val="center"/>
                </w:tcPr>
                <w:p>
                  <w:pPr>
                    <w:pStyle w:val="73"/>
                    <w:bidi w:val="0"/>
                  </w:pPr>
                  <w:r>
                    <w:t>南侧</w:t>
                  </w:r>
                </w:p>
              </w:tc>
              <w:tc>
                <w:tcPr>
                  <w:tcW w:w="803" w:type="dxa"/>
                  <w:shd w:val="clear" w:color="auto" w:fill="auto"/>
                  <w:vAlign w:val="center"/>
                </w:tcPr>
                <w:p>
                  <w:pPr>
                    <w:pStyle w:val="73"/>
                    <w:bidi w:val="0"/>
                  </w:pPr>
                  <w:r>
                    <w:t>23.9</w:t>
                  </w:r>
                </w:p>
              </w:tc>
              <w:tc>
                <w:tcPr>
                  <w:tcW w:w="803" w:type="dxa"/>
                  <w:shd w:val="clear" w:color="auto" w:fill="auto"/>
                  <w:vAlign w:val="center"/>
                </w:tcPr>
                <w:p>
                  <w:pPr>
                    <w:pStyle w:val="73"/>
                    <w:bidi w:val="0"/>
                  </w:pPr>
                  <w:r>
                    <w:t>-35.8</w:t>
                  </w:r>
                </w:p>
              </w:tc>
              <w:tc>
                <w:tcPr>
                  <w:tcW w:w="803" w:type="dxa"/>
                  <w:shd w:val="clear" w:color="auto" w:fill="auto"/>
                  <w:vAlign w:val="center"/>
                </w:tcPr>
                <w:p>
                  <w:pPr>
                    <w:pStyle w:val="73"/>
                    <w:bidi w:val="0"/>
                  </w:pPr>
                  <w:r>
                    <w:t>1.2</w:t>
                  </w:r>
                </w:p>
              </w:tc>
              <w:tc>
                <w:tcPr>
                  <w:tcW w:w="993" w:type="dxa"/>
                  <w:shd w:val="clear" w:color="auto" w:fill="auto"/>
                  <w:vAlign w:val="center"/>
                </w:tcPr>
                <w:p>
                  <w:pPr>
                    <w:pStyle w:val="73"/>
                    <w:bidi w:val="0"/>
                  </w:pPr>
                  <w:r>
                    <w:t>昼间</w:t>
                  </w:r>
                </w:p>
              </w:tc>
              <w:tc>
                <w:tcPr>
                  <w:tcW w:w="1417" w:type="dxa"/>
                  <w:shd w:val="clear" w:color="auto" w:fill="auto"/>
                  <w:vAlign w:val="center"/>
                </w:tcPr>
                <w:p>
                  <w:pPr>
                    <w:pStyle w:val="73"/>
                    <w:bidi w:val="0"/>
                  </w:pPr>
                  <w:r>
                    <w:t>44.1</w:t>
                  </w:r>
                </w:p>
              </w:tc>
              <w:tc>
                <w:tcPr>
                  <w:tcW w:w="1418" w:type="dxa"/>
                  <w:shd w:val="clear" w:color="auto" w:fill="auto"/>
                  <w:vAlign w:val="center"/>
                </w:tcPr>
                <w:p>
                  <w:pPr>
                    <w:pStyle w:val="73"/>
                    <w:bidi w:val="0"/>
                  </w:pPr>
                  <w:r>
                    <w:t>60</w:t>
                  </w:r>
                </w:p>
              </w:tc>
              <w:tc>
                <w:tcPr>
                  <w:tcW w:w="1188" w:type="dxa"/>
                  <w:shd w:val="clear" w:color="auto" w:fill="auto"/>
                  <w:vAlign w:val="center"/>
                </w:tcPr>
                <w:p>
                  <w:pPr>
                    <w:pStyle w:val="73"/>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1101" w:type="dxa"/>
                  <w:vMerge w:val="continue"/>
                  <w:shd w:val="clear" w:color="auto" w:fill="auto"/>
                  <w:vAlign w:val="center"/>
                </w:tcPr>
                <w:p>
                  <w:pPr>
                    <w:pStyle w:val="73"/>
                    <w:bidi w:val="0"/>
                  </w:pPr>
                </w:p>
              </w:tc>
              <w:tc>
                <w:tcPr>
                  <w:tcW w:w="803" w:type="dxa"/>
                  <w:shd w:val="clear" w:color="auto" w:fill="auto"/>
                  <w:vAlign w:val="center"/>
                </w:tcPr>
                <w:p>
                  <w:pPr>
                    <w:pStyle w:val="73"/>
                    <w:bidi w:val="0"/>
                  </w:pPr>
                  <w:r>
                    <w:t>23.9</w:t>
                  </w:r>
                </w:p>
              </w:tc>
              <w:tc>
                <w:tcPr>
                  <w:tcW w:w="803" w:type="dxa"/>
                  <w:shd w:val="clear" w:color="auto" w:fill="auto"/>
                  <w:vAlign w:val="center"/>
                </w:tcPr>
                <w:p>
                  <w:pPr>
                    <w:pStyle w:val="73"/>
                    <w:bidi w:val="0"/>
                  </w:pPr>
                  <w:r>
                    <w:t>-35.8</w:t>
                  </w:r>
                </w:p>
              </w:tc>
              <w:tc>
                <w:tcPr>
                  <w:tcW w:w="803" w:type="dxa"/>
                  <w:shd w:val="clear" w:color="auto" w:fill="auto"/>
                  <w:vAlign w:val="center"/>
                </w:tcPr>
                <w:p>
                  <w:pPr>
                    <w:pStyle w:val="73"/>
                    <w:bidi w:val="0"/>
                  </w:pPr>
                  <w:r>
                    <w:t>1.2</w:t>
                  </w:r>
                </w:p>
              </w:tc>
              <w:tc>
                <w:tcPr>
                  <w:tcW w:w="993" w:type="dxa"/>
                  <w:shd w:val="clear" w:color="auto" w:fill="auto"/>
                  <w:vAlign w:val="center"/>
                </w:tcPr>
                <w:p>
                  <w:pPr>
                    <w:pStyle w:val="73"/>
                    <w:bidi w:val="0"/>
                  </w:pPr>
                  <w:r>
                    <w:t>夜间</w:t>
                  </w:r>
                </w:p>
              </w:tc>
              <w:tc>
                <w:tcPr>
                  <w:tcW w:w="1417" w:type="dxa"/>
                  <w:shd w:val="clear" w:color="auto" w:fill="auto"/>
                  <w:vAlign w:val="center"/>
                </w:tcPr>
                <w:p>
                  <w:pPr>
                    <w:pStyle w:val="73"/>
                    <w:bidi w:val="0"/>
                  </w:pPr>
                  <w:r>
                    <w:t>44.1</w:t>
                  </w:r>
                </w:p>
              </w:tc>
              <w:tc>
                <w:tcPr>
                  <w:tcW w:w="1418" w:type="dxa"/>
                  <w:shd w:val="clear" w:color="auto" w:fill="auto"/>
                  <w:vAlign w:val="center"/>
                </w:tcPr>
                <w:p>
                  <w:pPr>
                    <w:pStyle w:val="73"/>
                    <w:bidi w:val="0"/>
                  </w:pPr>
                  <w:r>
                    <w:t>50</w:t>
                  </w:r>
                </w:p>
              </w:tc>
              <w:tc>
                <w:tcPr>
                  <w:tcW w:w="1188" w:type="dxa"/>
                  <w:shd w:val="clear" w:color="auto" w:fill="auto"/>
                  <w:vAlign w:val="center"/>
                </w:tcPr>
                <w:p>
                  <w:pPr>
                    <w:pStyle w:val="73"/>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restart"/>
                  <w:shd w:val="clear" w:color="auto" w:fill="auto"/>
                  <w:vAlign w:val="center"/>
                </w:tcPr>
                <w:p>
                  <w:pPr>
                    <w:pStyle w:val="73"/>
                    <w:bidi w:val="0"/>
                  </w:pPr>
                  <w:r>
                    <w:t>西侧</w:t>
                  </w:r>
                </w:p>
              </w:tc>
              <w:tc>
                <w:tcPr>
                  <w:tcW w:w="803" w:type="dxa"/>
                  <w:shd w:val="clear" w:color="auto" w:fill="auto"/>
                  <w:vAlign w:val="center"/>
                </w:tcPr>
                <w:p>
                  <w:pPr>
                    <w:pStyle w:val="73"/>
                    <w:bidi w:val="0"/>
                  </w:pPr>
                  <w:r>
                    <w:t>4.8</w:t>
                  </w:r>
                </w:p>
              </w:tc>
              <w:tc>
                <w:tcPr>
                  <w:tcW w:w="803" w:type="dxa"/>
                  <w:shd w:val="clear" w:color="auto" w:fill="auto"/>
                  <w:vAlign w:val="center"/>
                </w:tcPr>
                <w:p>
                  <w:pPr>
                    <w:pStyle w:val="73"/>
                    <w:bidi w:val="0"/>
                  </w:pPr>
                  <w:r>
                    <w:t>-14.4</w:t>
                  </w:r>
                </w:p>
              </w:tc>
              <w:tc>
                <w:tcPr>
                  <w:tcW w:w="803" w:type="dxa"/>
                  <w:shd w:val="clear" w:color="auto" w:fill="auto"/>
                  <w:vAlign w:val="center"/>
                </w:tcPr>
                <w:p>
                  <w:pPr>
                    <w:pStyle w:val="73"/>
                    <w:bidi w:val="0"/>
                  </w:pPr>
                  <w:r>
                    <w:t>1.2</w:t>
                  </w:r>
                </w:p>
              </w:tc>
              <w:tc>
                <w:tcPr>
                  <w:tcW w:w="993" w:type="dxa"/>
                  <w:shd w:val="clear" w:color="auto" w:fill="auto"/>
                  <w:vAlign w:val="center"/>
                </w:tcPr>
                <w:p>
                  <w:pPr>
                    <w:pStyle w:val="73"/>
                    <w:bidi w:val="0"/>
                  </w:pPr>
                  <w:r>
                    <w:t>昼间</w:t>
                  </w:r>
                </w:p>
              </w:tc>
              <w:tc>
                <w:tcPr>
                  <w:tcW w:w="1417" w:type="dxa"/>
                  <w:shd w:val="clear" w:color="auto" w:fill="auto"/>
                  <w:vAlign w:val="center"/>
                </w:tcPr>
                <w:p>
                  <w:pPr>
                    <w:pStyle w:val="73"/>
                    <w:bidi w:val="0"/>
                  </w:pPr>
                  <w:r>
                    <w:t>49.1</w:t>
                  </w:r>
                </w:p>
              </w:tc>
              <w:tc>
                <w:tcPr>
                  <w:tcW w:w="1418" w:type="dxa"/>
                  <w:shd w:val="clear" w:color="auto" w:fill="auto"/>
                  <w:vAlign w:val="center"/>
                </w:tcPr>
                <w:p>
                  <w:pPr>
                    <w:pStyle w:val="73"/>
                    <w:bidi w:val="0"/>
                  </w:pPr>
                  <w:r>
                    <w:t>60</w:t>
                  </w:r>
                </w:p>
              </w:tc>
              <w:tc>
                <w:tcPr>
                  <w:tcW w:w="1188" w:type="dxa"/>
                  <w:shd w:val="clear" w:color="auto" w:fill="auto"/>
                  <w:vAlign w:val="center"/>
                </w:tcPr>
                <w:p>
                  <w:pPr>
                    <w:pStyle w:val="73"/>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1101" w:type="dxa"/>
                  <w:vMerge w:val="continue"/>
                  <w:shd w:val="clear" w:color="auto" w:fill="auto"/>
                  <w:vAlign w:val="center"/>
                </w:tcPr>
                <w:p>
                  <w:pPr>
                    <w:pStyle w:val="73"/>
                    <w:bidi w:val="0"/>
                  </w:pPr>
                </w:p>
              </w:tc>
              <w:tc>
                <w:tcPr>
                  <w:tcW w:w="803" w:type="dxa"/>
                  <w:shd w:val="clear" w:color="auto" w:fill="auto"/>
                  <w:vAlign w:val="center"/>
                </w:tcPr>
                <w:p>
                  <w:pPr>
                    <w:pStyle w:val="73"/>
                    <w:bidi w:val="0"/>
                  </w:pPr>
                  <w:r>
                    <w:t>4.8</w:t>
                  </w:r>
                </w:p>
              </w:tc>
              <w:tc>
                <w:tcPr>
                  <w:tcW w:w="803" w:type="dxa"/>
                  <w:shd w:val="clear" w:color="auto" w:fill="auto"/>
                  <w:vAlign w:val="center"/>
                </w:tcPr>
                <w:p>
                  <w:pPr>
                    <w:pStyle w:val="73"/>
                    <w:bidi w:val="0"/>
                  </w:pPr>
                  <w:r>
                    <w:t>-14.4</w:t>
                  </w:r>
                </w:p>
              </w:tc>
              <w:tc>
                <w:tcPr>
                  <w:tcW w:w="803" w:type="dxa"/>
                  <w:shd w:val="clear" w:color="auto" w:fill="auto"/>
                  <w:vAlign w:val="center"/>
                </w:tcPr>
                <w:p>
                  <w:pPr>
                    <w:pStyle w:val="73"/>
                    <w:bidi w:val="0"/>
                  </w:pPr>
                  <w:r>
                    <w:t>1.2</w:t>
                  </w:r>
                </w:p>
              </w:tc>
              <w:tc>
                <w:tcPr>
                  <w:tcW w:w="993" w:type="dxa"/>
                  <w:shd w:val="clear" w:color="auto" w:fill="auto"/>
                  <w:vAlign w:val="center"/>
                </w:tcPr>
                <w:p>
                  <w:pPr>
                    <w:pStyle w:val="73"/>
                    <w:bidi w:val="0"/>
                  </w:pPr>
                  <w:r>
                    <w:t>夜间</w:t>
                  </w:r>
                </w:p>
              </w:tc>
              <w:tc>
                <w:tcPr>
                  <w:tcW w:w="1417" w:type="dxa"/>
                  <w:shd w:val="clear" w:color="auto" w:fill="auto"/>
                  <w:vAlign w:val="center"/>
                </w:tcPr>
                <w:p>
                  <w:pPr>
                    <w:pStyle w:val="73"/>
                    <w:bidi w:val="0"/>
                  </w:pPr>
                  <w:r>
                    <w:t>49.1</w:t>
                  </w:r>
                </w:p>
              </w:tc>
              <w:tc>
                <w:tcPr>
                  <w:tcW w:w="1418" w:type="dxa"/>
                  <w:shd w:val="clear" w:color="auto" w:fill="auto"/>
                  <w:vAlign w:val="center"/>
                </w:tcPr>
                <w:p>
                  <w:pPr>
                    <w:pStyle w:val="73"/>
                    <w:bidi w:val="0"/>
                  </w:pPr>
                  <w:r>
                    <w:t>50</w:t>
                  </w:r>
                </w:p>
              </w:tc>
              <w:tc>
                <w:tcPr>
                  <w:tcW w:w="1188" w:type="dxa"/>
                  <w:shd w:val="clear" w:color="auto" w:fill="auto"/>
                  <w:vAlign w:val="center"/>
                </w:tcPr>
                <w:p>
                  <w:pPr>
                    <w:pStyle w:val="73"/>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restart"/>
                  <w:shd w:val="clear" w:color="auto" w:fill="auto"/>
                  <w:vAlign w:val="center"/>
                </w:tcPr>
                <w:p>
                  <w:pPr>
                    <w:pStyle w:val="73"/>
                    <w:bidi w:val="0"/>
                  </w:pPr>
                  <w:r>
                    <w:t>北侧</w:t>
                  </w:r>
                </w:p>
              </w:tc>
              <w:tc>
                <w:tcPr>
                  <w:tcW w:w="803" w:type="dxa"/>
                  <w:shd w:val="clear" w:color="auto" w:fill="auto"/>
                  <w:vAlign w:val="center"/>
                </w:tcPr>
                <w:p>
                  <w:pPr>
                    <w:pStyle w:val="73"/>
                    <w:bidi w:val="0"/>
                  </w:pPr>
                  <w:r>
                    <w:t>-2.8</w:t>
                  </w:r>
                </w:p>
              </w:tc>
              <w:tc>
                <w:tcPr>
                  <w:tcW w:w="803" w:type="dxa"/>
                  <w:shd w:val="clear" w:color="auto" w:fill="auto"/>
                  <w:vAlign w:val="center"/>
                </w:tcPr>
                <w:p>
                  <w:pPr>
                    <w:pStyle w:val="73"/>
                    <w:bidi w:val="0"/>
                  </w:pPr>
                  <w:r>
                    <w:t>8.5</w:t>
                  </w:r>
                </w:p>
              </w:tc>
              <w:tc>
                <w:tcPr>
                  <w:tcW w:w="803" w:type="dxa"/>
                  <w:shd w:val="clear" w:color="auto" w:fill="auto"/>
                  <w:vAlign w:val="center"/>
                </w:tcPr>
                <w:p>
                  <w:pPr>
                    <w:pStyle w:val="73"/>
                    <w:bidi w:val="0"/>
                  </w:pPr>
                  <w:r>
                    <w:t>1.2</w:t>
                  </w:r>
                </w:p>
              </w:tc>
              <w:tc>
                <w:tcPr>
                  <w:tcW w:w="993" w:type="dxa"/>
                  <w:shd w:val="clear" w:color="auto" w:fill="auto"/>
                  <w:vAlign w:val="center"/>
                </w:tcPr>
                <w:p>
                  <w:pPr>
                    <w:pStyle w:val="73"/>
                    <w:bidi w:val="0"/>
                  </w:pPr>
                  <w:r>
                    <w:t>昼间</w:t>
                  </w:r>
                </w:p>
              </w:tc>
              <w:tc>
                <w:tcPr>
                  <w:tcW w:w="1417" w:type="dxa"/>
                  <w:shd w:val="clear" w:color="auto" w:fill="auto"/>
                  <w:vAlign w:val="center"/>
                </w:tcPr>
                <w:p>
                  <w:pPr>
                    <w:pStyle w:val="73"/>
                    <w:bidi w:val="0"/>
                  </w:pPr>
                  <w:r>
                    <w:t>49.8</w:t>
                  </w:r>
                </w:p>
              </w:tc>
              <w:tc>
                <w:tcPr>
                  <w:tcW w:w="1418" w:type="dxa"/>
                  <w:shd w:val="clear" w:color="auto" w:fill="auto"/>
                  <w:vAlign w:val="center"/>
                </w:tcPr>
                <w:p>
                  <w:pPr>
                    <w:pStyle w:val="73"/>
                    <w:bidi w:val="0"/>
                  </w:pPr>
                  <w:r>
                    <w:t>60</w:t>
                  </w:r>
                </w:p>
              </w:tc>
              <w:tc>
                <w:tcPr>
                  <w:tcW w:w="1188" w:type="dxa"/>
                  <w:shd w:val="clear" w:color="auto" w:fill="auto"/>
                  <w:vAlign w:val="center"/>
                </w:tcPr>
                <w:p>
                  <w:pPr>
                    <w:pStyle w:val="73"/>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1101" w:type="dxa"/>
                  <w:vMerge w:val="continue"/>
                  <w:shd w:val="clear" w:color="auto" w:fill="auto"/>
                  <w:vAlign w:val="center"/>
                </w:tcPr>
                <w:p>
                  <w:pPr>
                    <w:pStyle w:val="73"/>
                    <w:bidi w:val="0"/>
                  </w:pPr>
                </w:p>
              </w:tc>
              <w:tc>
                <w:tcPr>
                  <w:tcW w:w="803" w:type="dxa"/>
                  <w:shd w:val="clear" w:color="auto" w:fill="auto"/>
                  <w:vAlign w:val="center"/>
                </w:tcPr>
                <w:p>
                  <w:pPr>
                    <w:pStyle w:val="73"/>
                    <w:bidi w:val="0"/>
                  </w:pPr>
                  <w:r>
                    <w:t>-2.8</w:t>
                  </w:r>
                </w:p>
              </w:tc>
              <w:tc>
                <w:tcPr>
                  <w:tcW w:w="803" w:type="dxa"/>
                  <w:shd w:val="clear" w:color="auto" w:fill="auto"/>
                  <w:vAlign w:val="center"/>
                </w:tcPr>
                <w:p>
                  <w:pPr>
                    <w:pStyle w:val="73"/>
                    <w:bidi w:val="0"/>
                  </w:pPr>
                  <w:r>
                    <w:t>8.5</w:t>
                  </w:r>
                </w:p>
              </w:tc>
              <w:tc>
                <w:tcPr>
                  <w:tcW w:w="803" w:type="dxa"/>
                  <w:shd w:val="clear" w:color="auto" w:fill="auto"/>
                  <w:vAlign w:val="center"/>
                </w:tcPr>
                <w:p>
                  <w:pPr>
                    <w:pStyle w:val="73"/>
                    <w:bidi w:val="0"/>
                  </w:pPr>
                  <w:r>
                    <w:t>1.2</w:t>
                  </w:r>
                </w:p>
              </w:tc>
              <w:tc>
                <w:tcPr>
                  <w:tcW w:w="993" w:type="dxa"/>
                  <w:shd w:val="clear" w:color="auto" w:fill="auto"/>
                  <w:vAlign w:val="center"/>
                </w:tcPr>
                <w:p>
                  <w:pPr>
                    <w:pStyle w:val="73"/>
                    <w:bidi w:val="0"/>
                  </w:pPr>
                  <w:r>
                    <w:t>夜间</w:t>
                  </w:r>
                </w:p>
              </w:tc>
              <w:tc>
                <w:tcPr>
                  <w:tcW w:w="1417" w:type="dxa"/>
                  <w:shd w:val="clear" w:color="auto" w:fill="auto"/>
                  <w:vAlign w:val="center"/>
                </w:tcPr>
                <w:p>
                  <w:pPr>
                    <w:pStyle w:val="73"/>
                    <w:bidi w:val="0"/>
                  </w:pPr>
                  <w:r>
                    <w:t>49.8</w:t>
                  </w:r>
                </w:p>
              </w:tc>
              <w:tc>
                <w:tcPr>
                  <w:tcW w:w="1418" w:type="dxa"/>
                  <w:shd w:val="clear" w:color="auto" w:fill="auto"/>
                  <w:vAlign w:val="center"/>
                </w:tcPr>
                <w:p>
                  <w:pPr>
                    <w:pStyle w:val="73"/>
                    <w:bidi w:val="0"/>
                  </w:pPr>
                  <w:r>
                    <w:t>50</w:t>
                  </w:r>
                </w:p>
              </w:tc>
              <w:tc>
                <w:tcPr>
                  <w:tcW w:w="1188" w:type="dxa"/>
                  <w:shd w:val="clear" w:color="auto" w:fill="auto"/>
                  <w:vAlign w:val="center"/>
                </w:tcPr>
                <w:p>
                  <w:pPr>
                    <w:pStyle w:val="73"/>
                    <w:bidi w:val="0"/>
                  </w:pPr>
                  <w:r>
                    <w:t>达标</w:t>
                  </w:r>
                </w:p>
              </w:tc>
            </w:tr>
          </w:tbl>
          <w:p>
            <w:pPr>
              <w:pStyle w:val="71"/>
              <w:bidi w:val="0"/>
              <w:rPr>
                <w:rFonts w:hint="default"/>
                <w:lang w:val="en-US" w:eastAsia="zh-CN"/>
              </w:rPr>
            </w:pPr>
            <w:r>
              <w:rPr>
                <w:rFonts w:hint="default"/>
              </w:rPr>
              <w:t>由上表</w:t>
            </w:r>
            <w:r>
              <w:rPr>
                <w:rFonts w:hint="default"/>
                <w:lang w:eastAsia="zh-CN"/>
              </w:rPr>
              <w:t>可知</w:t>
            </w:r>
            <w:r>
              <w:rPr>
                <w:rFonts w:hint="default"/>
              </w:rPr>
              <w:t>，本项目采取控制措施后，可以满足《工业企业厂界环境噪声排放标准》（GB12348–2008）中</w:t>
            </w:r>
            <w:r>
              <w:rPr>
                <w:rFonts w:hint="default"/>
                <w:lang w:val="en-US" w:eastAsia="zh-CN"/>
              </w:rPr>
              <w:t>2</w:t>
            </w:r>
            <w:r>
              <w:rPr>
                <w:rFonts w:hint="default"/>
              </w:rPr>
              <w:t>类标准，即昼间≤6</w:t>
            </w:r>
            <w:r>
              <w:rPr>
                <w:rFonts w:hint="default"/>
                <w:lang w:val="en-US" w:eastAsia="zh-CN"/>
              </w:rPr>
              <w:t>0</w:t>
            </w:r>
            <w:r>
              <w:rPr>
                <w:rFonts w:hint="default"/>
              </w:rPr>
              <w:t>B(A)，夜间≤5</w:t>
            </w:r>
            <w:r>
              <w:rPr>
                <w:rFonts w:hint="default"/>
                <w:lang w:val="en-US" w:eastAsia="zh-CN"/>
              </w:rPr>
              <w:t>0</w:t>
            </w:r>
            <w:r>
              <w:rPr>
                <w:rFonts w:hint="default"/>
              </w:rPr>
              <w:t>dB(A)。</w:t>
            </w:r>
            <w:r>
              <w:rPr>
                <w:rFonts w:hint="default"/>
                <w:lang w:val="en-US" w:eastAsia="zh-CN"/>
              </w:rPr>
              <w:t>本项目周边无</w:t>
            </w:r>
            <w:r>
              <w:rPr>
                <w:rFonts w:hint="eastAsia"/>
                <w:lang w:val="en-US" w:eastAsia="zh-CN"/>
              </w:rPr>
              <w:t>声</w:t>
            </w:r>
            <w:r>
              <w:rPr>
                <w:rFonts w:hint="default"/>
                <w:lang w:val="en-US" w:eastAsia="zh-CN"/>
              </w:rPr>
              <w:t>环境敏感目标，因此本项目运营期噪声影响主要表现为对厂区员工的影响。</w:t>
            </w:r>
          </w:p>
          <w:p>
            <w:pPr>
              <w:pStyle w:val="71"/>
              <w:bidi w:val="0"/>
              <w:rPr>
                <w:rFonts w:hint="default"/>
                <w:lang w:val="en-US" w:eastAsia="zh-CN"/>
              </w:rPr>
            </w:pPr>
            <w:r>
              <w:rPr>
                <w:rFonts w:hint="default"/>
                <w:lang w:val="en-US" w:eastAsia="zh-CN"/>
              </w:rPr>
              <w:t>本环评要求采取以下措施：</w:t>
            </w:r>
          </w:p>
          <w:p>
            <w:pPr>
              <w:pStyle w:val="71"/>
              <w:bidi w:val="0"/>
              <w:rPr>
                <w:rFonts w:hint="default"/>
                <w:lang w:val="en-US" w:eastAsia="zh-CN"/>
              </w:rPr>
            </w:pPr>
            <w:r>
              <w:rPr>
                <w:rFonts w:hint="default"/>
                <w:lang w:val="en-US" w:eastAsia="zh-CN"/>
              </w:rPr>
              <w:t>（1）在设备的选型中要注意选用低噪声的设备，以降低声源噪声。</w:t>
            </w:r>
          </w:p>
          <w:p>
            <w:pPr>
              <w:pStyle w:val="71"/>
              <w:keepNext w:val="0"/>
              <w:keepLines w:val="0"/>
              <w:pageBreakBefore w:val="0"/>
              <w:widowControl w:val="0"/>
              <w:kinsoku/>
              <w:wordWrap w:val="0"/>
              <w:overflowPunct/>
              <w:topLinePunct w:val="0"/>
              <w:autoSpaceDE/>
              <w:autoSpaceDN/>
              <w:bidi w:val="0"/>
              <w:adjustRightInd w:val="0"/>
              <w:snapToGrid w:val="0"/>
              <w:textAlignment w:val="auto"/>
              <w:rPr>
                <w:rFonts w:hint="default"/>
                <w:lang w:val="en-US" w:eastAsia="zh-CN"/>
              </w:rPr>
            </w:pPr>
            <w:r>
              <w:rPr>
                <w:rFonts w:hint="default"/>
                <w:lang w:val="en-US" w:eastAsia="zh-CN"/>
              </w:rPr>
              <w:t>（2）在总图布局上根据工艺流程要求，尽可能将高噪设备集中，还应根据高噪声设备所在位置，充分利用噪声的指向性，利用建筑物的阻隔效应，科学布置以保证厂界噪声达标。</w:t>
            </w:r>
          </w:p>
          <w:p>
            <w:pPr>
              <w:pStyle w:val="71"/>
              <w:bidi w:val="0"/>
              <w:rPr>
                <w:rFonts w:hint="default"/>
                <w:lang w:val="en-US" w:eastAsia="zh-CN"/>
              </w:rPr>
            </w:pPr>
            <w:r>
              <w:rPr>
                <w:rFonts w:hint="default"/>
                <w:lang w:val="en-US" w:eastAsia="zh-CN"/>
              </w:rPr>
              <w:t>（3）对高噪声设备采用基础减振、消声器、隔声罩等措施，以降低噪声。</w:t>
            </w:r>
          </w:p>
          <w:p>
            <w:pPr>
              <w:pStyle w:val="71"/>
              <w:bidi w:val="0"/>
              <w:rPr>
                <w:rFonts w:hint="default" w:ascii="Times New Roman" w:hAnsi="Times New Roman" w:cs="Times New Roman"/>
                <w:szCs w:val="24"/>
              </w:rPr>
            </w:pPr>
            <w:r>
              <w:rPr>
                <w:rFonts w:hint="default"/>
                <w:lang w:val="en-US" w:eastAsia="zh-CN"/>
              </w:rPr>
              <w:t>（4）加强管理，经常对产噪设备的性能进行检查，保持设备平衡，以减少振动的产生，平时要对防噪设施经常维护，确保其发挥正常功能。</w:t>
            </w:r>
          </w:p>
          <w:p>
            <w:pPr>
              <w:pStyle w:val="2"/>
              <w:bidi w:val="0"/>
              <w:rPr>
                <w:rFonts w:hint="default" w:ascii="Times New Roman" w:hAnsi="Times New Roman" w:cs="Times New Roman"/>
                <w:bCs/>
                <w:sz w:val="24"/>
                <w:szCs w:val="24"/>
              </w:rPr>
            </w:pPr>
            <w:r>
              <w:rPr>
                <w:rFonts w:hint="default"/>
                <w:lang w:val="en-US" w:eastAsia="zh-CN"/>
              </w:rPr>
              <w:t>3.4监测要求</w:t>
            </w:r>
          </w:p>
          <w:p>
            <w:pPr>
              <w:pStyle w:val="71"/>
              <w:bidi w:val="0"/>
              <w:rPr>
                <w:rFonts w:hint="default"/>
                <w:lang w:val="en-US" w:eastAsia="zh-CN"/>
              </w:rPr>
            </w:pPr>
            <w:bookmarkStart w:id="36" w:name="_Toc22566"/>
            <w:r>
              <w:rPr>
                <w:rFonts w:hint="default"/>
                <w:lang w:val="en-US" w:eastAsia="zh-CN"/>
              </w:rPr>
              <w:t>参照《排污单位自行监测技术指南 总则》（HJ819-2017）的相关要求，本项目噪声监测计划详见下表。</w:t>
            </w:r>
          </w:p>
          <w:p>
            <w:pPr>
              <w:pStyle w:val="72"/>
              <w:bidi w:val="0"/>
              <w:rPr>
                <w:rFonts w:hint="default"/>
              </w:rPr>
            </w:pPr>
            <w:r>
              <w:rPr>
                <w:rFonts w:hint="default"/>
              </w:rPr>
              <w:t>表</w:t>
            </w:r>
            <w:r>
              <w:rPr>
                <w:rFonts w:hint="default"/>
                <w:highlight w:val="none"/>
                <w:lang w:val="en-US" w:eastAsia="zh-CN"/>
              </w:rPr>
              <w:t>4-1</w:t>
            </w:r>
            <w:r>
              <w:rPr>
                <w:rFonts w:hint="eastAsia"/>
                <w:highlight w:val="none"/>
                <w:lang w:val="en-US" w:eastAsia="zh-CN"/>
              </w:rPr>
              <w:t xml:space="preserve">1  </w:t>
            </w:r>
            <w:r>
              <w:rPr>
                <w:rFonts w:hint="eastAsia"/>
                <w:lang w:val="en-US" w:eastAsia="zh-CN"/>
              </w:rPr>
              <w:t xml:space="preserve"> </w:t>
            </w:r>
            <w:r>
              <w:rPr>
                <w:rFonts w:hint="default"/>
              </w:rPr>
              <w:t>噪声监测计划</w:t>
            </w:r>
            <w:bookmarkEnd w:id="36"/>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588"/>
              <w:gridCol w:w="1313"/>
              <w:gridCol w:w="1502"/>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shd w:val="clear" w:color="auto" w:fill="auto"/>
                  <w:noWrap w:val="0"/>
                  <w:vAlign w:val="center"/>
                </w:tcPr>
                <w:p>
                  <w:pPr>
                    <w:pStyle w:val="69"/>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项目</w:t>
                  </w:r>
                </w:p>
              </w:tc>
              <w:tc>
                <w:tcPr>
                  <w:tcW w:w="992" w:type="pct"/>
                  <w:shd w:val="clear" w:color="auto" w:fill="auto"/>
                  <w:noWrap w:val="0"/>
                  <w:vAlign w:val="center"/>
                </w:tcPr>
                <w:p>
                  <w:pPr>
                    <w:pStyle w:val="69"/>
                    <w:bidi w:val="0"/>
                    <w:rPr>
                      <w:rFonts w:hint="eastAsia" w:ascii="Times New Roman" w:hAnsi="Times New Roman" w:eastAsia="宋体" w:cs="Times New Roman"/>
                      <w:kern w:val="2"/>
                      <w:sz w:val="21"/>
                      <w:szCs w:val="21"/>
                      <w:lang w:val="en-US" w:eastAsia="zh-CN" w:bidi="ar-SA"/>
                    </w:rPr>
                  </w:pPr>
                  <w:r>
                    <w:rPr>
                      <w:rFonts w:hint="eastAsia"/>
                      <w:lang w:val="en-US" w:eastAsia="zh-CN"/>
                    </w:rPr>
                    <w:t>指标</w:t>
                  </w:r>
                </w:p>
              </w:tc>
              <w:tc>
                <w:tcPr>
                  <w:tcW w:w="820" w:type="pct"/>
                  <w:shd w:val="clear" w:color="auto" w:fill="auto"/>
                  <w:noWrap w:val="0"/>
                  <w:vAlign w:val="center"/>
                </w:tcPr>
                <w:p>
                  <w:pPr>
                    <w:pStyle w:val="69"/>
                    <w:bidi w:val="0"/>
                    <w:rPr>
                      <w:rFonts w:hint="eastAsia" w:ascii="Times New Roman" w:hAnsi="Times New Roman" w:eastAsia="宋体" w:cs="Times New Roman"/>
                      <w:kern w:val="2"/>
                      <w:sz w:val="21"/>
                      <w:szCs w:val="21"/>
                      <w:lang w:val="en-US" w:eastAsia="zh-CN" w:bidi="ar-SA"/>
                    </w:rPr>
                  </w:pPr>
                  <w:r>
                    <w:rPr>
                      <w:rFonts w:hint="eastAsia"/>
                      <w:lang w:val="en-US" w:eastAsia="zh-CN"/>
                    </w:rPr>
                    <w:t>点位</w:t>
                  </w:r>
                </w:p>
              </w:tc>
              <w:tc>
                <w:tcPr>
                  <w:tcW w:w="938" w:type="pct"/>
                  <w:noWrap w:val="0"/>
                  <w:vAlign w:val="center"/>
                </w:tcPr>
                <w:p>
                  <w:pPr>
                    <w:pStyle w:val="69"/>
                    <w:bidi w:val="0"/>
                    <w:rPr>
                      <w:rFonts w:hint="default"/>
                    </w:rPr>
                  </w:pPr>
                  <w:r>
                    <w:rPr>
                      <w:rFonts w:hint="default"/>
                    </w:rPr>
                    <w:t>监测频次</w:t>
                  </w:r>
                </w:p>
              </w:tc>
              <w:tc>
                <w:tcPr>
                  <w:tcW w:w="1779" w:type="pct"/>
                  <w:noWrap w:val="0"/>
                  <w:vAlign w:val="center"/>
                </w:tcPr>
                <w:p>
                  <w:pPr>
                    <w:pStyle w:val="69"/>
                    <w:bidi w:val="0"/>
                    <w:rPr>
                      <w:rFonts w:hint="default"/>
                    </w:rPr>
                  </w:pPr>
                  <w:r>
                    <w:rPr>
                      <w:rFonts w:hint="default"/>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9" w:type="pct"/>
                  <w:shd w:val="clear" w:color="auto" w:fill="auto"/>
                  <w:noWrap w:val="0"/>
                  <w:vAlign w:val="center"/>
                </w:tcPr>
                <w:p>
                  <w:pPr>
                    <w:pStyle w:val="69"/>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噪声</w:t>
                  </w:r>
                </w:p>
              </w:tc>
              <w:tc>
                <w:tcPr>
                  <w:tcW w:w="992" w:type="pct"/>
                  <w:shd w:val="clear" w:color="auto" w:fill="auto"/>
                  <w:noWrap w:val="0"/>
                  <w:vAlign w:val="center"/>
                </w:tcPr>
                <w:p>
                  <w:pPr>
                    <w:pStyle w:val="69"/>
                    <w:bidi w:val="0"/>
                    <w:rPr>
                      <w:rFonts w:hint="eastAsia" w:ascii="Times New Roman" w:hAnsi="Times New Roman" w:eastAsia="宋体" w:cs="Times New Roman"/>
                      <w:kern w:val="2"/>
                      <w:sz w:val="21"/>
                      <w:szCs w:val="21"/>
                      <w:lang w:val="en-US" w:eastAsia="zh-CN" w:bidi="ar-SA"/>
                    </w:rPr>
                  </w:pPr>
                  <w:r>
                    <w:rPr>
                      <w:rFonts w:hint="eastAsia"/>
                    </w:rPr>
                    <w:t>连续等效A声级</w:t>
                  </w:r>
                </w:p>
              </w:tc>
              <w:tc>
                <w:tcPr>
                  <w:tcW w:w="820" w:type="pct"/>
                  <w:shd w:val="clear" w:color="auto" w:fill="auto"/>
                  <w:noWrap w:val="0"/>
                  <w:vAlign w:val="center"/>
                </w:tcPr>
                <w:p>
                  <w:pPr>
                    <w:pStyle w:val="69"/>
                    <w:bidi w:val="0"/>
                    <w:rPr>
                      <w:rFonts w:hint="default" w:ascii="Times New Roman" w:hAnsi="Times New Roman" w:eastAsia="宋体" w:cs="Times New Roman"/>
                      <w:kern w:val="2"/>
                      <w:sz w:val="21"/>
                      <w:szCs w:val="21"/>
                      <w:lang w:val="en-US" w:eastAsia="zh-CN" w:bidi="ar-SA"/>
                    </w:rPr>
                  </w:pPr>
                  <w:r>
                    <w:rPr>
                      <w:rFonts w:hint="eastAsia"/>
                      <w:lang w:val="en-US" w:eastAsia="zh-CN"/>
                    </w:rPr>
                    <w:t>四周</w:t>
                  </w:r>
                  <w:r>
                    <w:rPr>
                      <w:rFonts w:hint="eastAsia"/>
                    </w:rPr>
                    <w:t>厂界外1米</w:t>
                  </w:r>
                </w:p>
              </w:tc>
              <w:tc>
                <w:tcPr>
                  <w:tcW w:w="938" w:type="pct"/>
                  <w:noWrap w:val="0"/>
                  <w:vAlign w:val="center"/>
                </w:tcPr>
                <w:p>
                  <w:pPr>
                    <w:pStyle w:val="69"/>
                    <w:bidi w:val="0"/>
                    <w:rPr>
                      <w:rFonts w:hint="default"/>
                    </w:rPr>
                  </w:pPr>
                  <w:r>
                    <w:rPr>
                      <w:rFonts w:hint="default"/>
                    </w:rPr>
                    <w:t>1次/</w:t>
                  </w:r>
                  <w:r>
                    <w:rPr>
                      <w:rFonts w:hint="eastAsia"/>
                    </w:rPr>
                    <w:t>季度</w:t>
                  </w:r>
                </w:p>
              </w:tc>
              <w:tc>
                <w:tcPr>
                  <w:tcW w:w="1779" w:type="pct"/>
                  <w:noWrap w:val="0"/>
                  <w:vAlign w:val="center"/>
                </w:tcPr>
                <w:p>
                  <w:pPr>
                    <w:pStyle w:val="69"/>
                    <w:bidi w:val="0"/>
                    <w:rPr>
                      <w:rFonts w:hint="default"/>
                    </w:rPr>
                  </w:pPr>
                  <w:r>
                    <w:rPr>
                      <w:rFonts w:hint="default"/>
                    </w:rPr>
                    <w:t>《工业企业厂界环境噪声排放标准》（GB12348-2008）中的</w:t>
                  </w:r>
                  <w:r>
                    <w:rPr>
                      <w:rFonts w:hint="default"/>
                      <w:lang w:val="en-US" w:eastAsia="zh-CN"/>
                    </w:rPr>
                    <w:t>2</w:t>
                  </w:r>
                  <w:r>
                    <w:rPr>
                      <w:rFonts w:hint="default"/>
                    </w:rPr>
                    <w:t>类标准</w:t>
                  </w:r>
                </w:p>
              </w:tc>
            </w:tr>
          </w:tbl>
          <w:p>
            <w:pPr>
              <w:pStyle w:val="2"/>
              <w:bidi w:val="0"/>
              <w:rPr>
                <w:rFonts w:hint="eastAsia"/>
                <w:lang w:val="en-US" w:eastAsia="zh-CN"/>
              </w:rPr>
            </w:pPr>
            <w:r>
              <w:rPr>
                <w:rFonts w:hint="eastAsia"/>
                <w:lang w:val="en-US" w:eastAsia="zh-CN"/>
              </w:rPr>
              <w:t>4.固体废物环境影响和保护措施</w:t>
            </w:r>
          </w:p>
          <w:p>
            <w:pPr>
              <w:pStyle w:val="2"/>
              <w:bidi w:val="0"/>
              <w:rPr>
                <w:rFonts w:hint="eastAsia" w:cs="Times New Roman"/>
                <w:b/>
                <w:bCs/>
                <w:szCs w:val="24"/>
                <w:lang w:val="en-US" w:eastAsia="zh-CN"/>
              </w:rPr>
            </w:pPr>
            <w:r>
              <w:rPr>
                <w:rFonts w:hint="eastAsia"/>
                <w:lang w:val="en-US" w:eastAsia="zh-CN"/>
              </w:rPr>
              <w:t>4.1固体废物产生及处置情况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480" w:firstLineChars="200"/>
              <w:jc w:val="left"/>
              <w:textAlignment w:val="auto"/>
              <w:rPr>
                <w:rFonts w:hint="eastAsia" w:cs="Times New Roman"/>
                <w:sz w:val="24"/>
                <w:szCs w:val="24"/>
                <w:lang w:val="en-US" w:eastAsia="zh-CN"/>
              </w:rPr>
            </w:pPr>
            <w:r>
              <w:rPr>
                <w:rFonts w:hint="eastAsia" w:cs="Times New Roman"/>
                <w:sz w:val="24"/>
                <w:szCs w:val="24"/>
                <w:lang w:val="en-US" w:eastAsia="zh-CN"/>
              </w:rPr>
              <w:t>可综合利用的一般固废</w:t>
            </w:r>
          </w:p>
          <w:p>
            <w:pPr>
              <w:pStyle w:val="71"/>
              <w:bidi w:val="0"/>
              <w:rPr>
                <w:rFonts w:hint="eastAsia"/>
                <w:lang w:val="en-US" w:eastAsia="zh-CN"/>
              </w:rPr>
            </w:pPr>
            <w:r>
              <w:rPr>
                <w:rFonts w:hint="eastAsia"/>
                <w:lang w:val="en-US" w:eastAsia="zh-CN"/>
              </w:rPr>
              <w:t>①待宰间及屠宰过程产生的粪便及垫料；</w:t>
            </w:r>
          </w:p>
          <w:p>
            <w:pPr>
              <w:pStyle w:val="71"/>
              <w:bidi w:val="0"/>
              <w:rPr>
                <w:rFonts w:hint="eastAsia"/>
                <w:lang w:val="en-US" w:eastAsia="zh-CN"/>
              </w:rPr>
            </w:pPr>
            <w:r>
              <w:rPr>
                <w:rFonts w:hint="default"/>
                <w:lang w:val="en-US" w:eastAsia="zh-CN"/>
              </w:rPr>
              <w:t>本项目牛羊待宰圈采用生态垫料养殖工艺，待宰牛羊仅在待宰圈实行12~24h的待宰管理，只进水不喂食，产生的粪便较少。本项目年屠宰肉牛1</w:t>
            </w:r>
            <w:r>
              <w:rPr>
                <w:rFonts w:hint="eastAsia"/>
                <w:lang w:val="en-US" w:eastAsia="zh-CN"/>
              </w:rPr>
              <w:t>8</w:t>
            </w:r>
            <w:r>
              <w:rPr>
                <w:rFonts w:hint="default"/>
                <w:lang w:val="en-US" w:eastAsia="zh-CN"/>
              </w:rPr>
              <w:t>00头，肉羊</w:t>
            </w:r>
            <w:r>
              <w:rPr>
                <w:rFonts w:hint="eastAsia"/>
                <w:lang w:val="en-US" w:eastAsia="zh-CN"/>
              </w:rPr>
              <w:t>18</w:t>
            </w:r>
            <w:r>
              <w:rPr>
                <w:rFonts w:hint="default"/>
                <w:lang w:val="en-US" w:eastAsia="zh-CN"/>
              </w:rPr>
              <w:t>000只，则项目待宰圈每天最大存栏肉牛</w:t>
            </w:r>
            <w:r>
              <w:rPr>
                <w:rFonts w:hint="eastAsia"/>
                <w:lang w:val="en-US" w:eastAsia="zh-CN"/>
              </w:rPr>
              <w:t>6</w:t>
            </w:r>
            <w:r>
              <w:rPr>
                <w:rFonts w:hint="default"/>
                <w:lang w:val="en-US" w:eastAsia="zh-CN"/>
              </w:rPr>
              <w:t>头，肉羊6</w:t>
            </w:r>
            <w:r>
              <w:rPr>
                <w:rFonts w:hint="eastAsia"/>
                <w:lang w:val="en-US" w:eastAsia="zh-CN"/>
              </w:rPr>
              <w:t>0</w:t>
            </w:r>
            <w:r>
              <w:rPr>
                <w:rFonts w:hint="default"/>
                <w:lang w:val="en-US" w:eastAsia="zh-CN"/>
              </w:rPr>
              <w:t>只。根据《排污许可申请与核发技术规范</w:t>
            </w:r>
            <w:r>
              <w:rPr>
                <w:rFonts w:hint="eastAsia"/>
                <w:lang w:val="en-US" w:eastAsia="zh-CN"/>
              </w:rPr>
              <w:t xml:space="preserve"> </w:t>
            </w:r>
            <w:r>
              <w:rPr>
                <w:rFonts w:hint="default"/>
                <w:lang w:val="en-US" w:eastAsia="zh-CN"/>
              </w:rPr>
              <w:t>畜禽养殖行业》（HJ1029-2019）中畜禽污染物产生量，肉牛粪便产生量为10.88kg/d·头，肉羊折合后为0.41kg/d·只，由于本项目待宰圈内牛羊不再进食，因此本评价按上述产物量的10%计，则一天产生牛粪为</w:t>
            </w:r>
            <w:r>
              <w:rPr>
                <w:rFonts w:hint="eastAsia"/>
                <w:lang w:val="en-US" w:eastAsia="zh-CN"/>
              </w:rPr>
              <w:t>6.528</w:t>
            </w:r>
            <w:r>
              <w:rPr>
                <w:rFonts w:hint="default"/>
                <w:lang w:val="en-US" w:eastAsia="zh-CN"/>
              </w:rPr>
              <w:t>kg，羊粪为2.</w:t>
            </w:r>
            <w:r>
              <w:rPr>
                <w:rFonts w:hint="eastAsia"/>
                <w:lang w:val="en-US" w:eastAsia="zh-CN"/>
              </w:rPr>
              <w:t>46</w:t>
            </w:r>
            <w:r>
              <w:rPr>
                <w:rFonts w:hint="default"/>
                <w:lang w:val="en-US" w:eastAsia="zh-CN"/>
              </w:rPr>
              <w:t>kg</w:t>
            </w:r>
            <w:r>
              <w:rPr>
                <w:rFonts w:hint="eastAsia"/>
                <w:lang w:val="en-US" w:eastAsia="zh-CN"/>
              </w:rPr>
              <w:t>，年产生粪便为2.7t/a。</w:t>
            </w:r>
            <w:r>
              <w:rPr>
                <w:rFonts w:hint="default"/>
                <w:lang w:val="en-US" w:eastAsia="zh-CN"/>
              </w:rPr>
              <w:t>项目待宰圈产生的粪便</w:t>
            </w:r>
            <w:r>
              <w:rPr>
                <w:rFonts w:hint="eastAsia"/>
                <w:lang w:val="en-US" w:eastAsia="zh-CN"/>
              </w:rPr>
              <w:t>日产日清，并</w:t>
            </w:r>
            <w:r>
              <w:rPr>
                <w:rFonts w:hint="default"/>
                <w:lang w:val="en-US" w:eastAsia="zh-CN"/>
              </w:rPr>
              <w:t>采用干清粪方式进行清理，作为有机肥原料外售综合利用</w:t>
            </w:r>
            <w:r>
              <w:rPr>
                <w:rFonts w:hint="eastAsia"/>
                <w:lang w:val="en-US" w:eastAsia="zh-CN"/>
              </w:rPr>
              <w:t>。</w:t>
            </w:r>
          </w:p>
          <w:p>
            <w:pPr>
              <w:pStyle w:val="71"/>
              <w:bidi w:val="0"/>
              <w:rPr>
                <w:rFonts w:hint="eastAsia"/>
                <w:lang w:val="en-US" w:eastAsia="zh-CN"/>
              </w:rPr>
            </w:pPr>
            <w:r>
              <w:rPr>
                <w:rFonts w:hint="eastAsia"/>
                <w:lang w:val="en-US" w:eastAsia="zh-CN"/>
              </w:rPr>
              <w:t>项目牛羊待宰圈采用生态垫料养殖工艺，待宰圈地面为混凝土地面，上端覆盖35cm厚垫料，铺设垫床一般采用废弃杂草、农作物秸秆粉、锯末等农业材料，牛羊排泄的尿液和粪便进入垫料。一般垫料约2.5kg/m</w:t>
            </w:r>
            <w:r>
              <w:rPr>
                <w:rFonts w:hint="eastAsia"/>
                <w:vertAlign w:val="superscript"/>
                <w:lang w:val="en-US" w:eastAsia="zh-CN"/>
              </w:rPr>
              <w:t>2</w:t>
            </w:r>
            <w:r>
              <w:rPr>
                <w:rFonts w:hint="eastAsia"/>
                <w:lang w:val="en-US" w:eastAsia="zh-CN"/>
              </w:rPr>
              <w:t>，待宰圈总建筑面积88.5m</w:t>
            </w:r>
            <w:r>
              <w:rPr>
                <w:rFonts w:hint="eastAsia"/>
                <w:vertAlign w:val="superscript"/>
                <w:lang w:val="en-US" w:eastAsia="zh-CN"/>
              </w:rPr>
              <w:t>2</w:t>
            </w:r>
            <w:r>
              <w:rPr>
                <w:rFonts w:hint="eastAsia"/>
                <w:lang w:val="en-US" w:eastAsia="zh-CN"/>
              </w:rPr>
              <w:t>，由于待宰圈内牛羊不再进食，粪便产生量较少，通过人工干清粪的方式将粪便与垫料分开清理，粪便日产日清，垫料可重复利用直至板结后清理更换。垫料可每三个月清理一次，因此项目废弃垫料的产生量为0.89t/a。</w:t>
            </w:r>
          </w:p>
          <w:p>
            <w:pPr>
              <w:pStyle w:val="71"/>
              <w:bidi w:val="0"/>
              <w:rPr>
                <w:rFonts w:hint="eastAsia"/>
                <w:lang w:val="en-US" w:eastAsia="zh-CN"/>
              </w:rPr>
            </w:pPr>
            <w:r>
              <w:rPr>
                <w:rFonts w:hint="eastAsia"/>
                <w:lang w:val="en-US" w:eastAsia="zh-CN"/>
              </w:rPr>
              <w:t>②屠宰过程中产生的碎肉、碎骨料和肠胃内容物等；</w:t>
            </w:r>
          </w:p>
          <w:p>
            <w:pPr>
              <w:pStyle w:val="71"/>
              <w:bidi w:val="0"/>
              <w:rPr>
                <w:rFonts w:hint="eastAsia"/>
                <w:lang w:val="en-US" w:eastAsia="zh-CN"/>
              </w:rPr>
            </w:pPr>
            <w:r>
              <w:rPr>
                <w:rFonts w:hint="eastAsia"/>
                <w:lang w:val="en-US" w:eastAsia="zh-CN"/>
              </w:rPr>
              <w:t>根据类比同类型牛羊屠宰项目，在内脏清理过程中，肠胃内容物产生量按照50kg/头牛和4kg/头羊进行计算，则项目牛内容物产生量为90t/a，羊内容物产生量为72t/a。</w:t>
            </w:r>
          </w:p>
          <w:p>
            <w:pPr>
              <w:pStyle w:val="71"/>
              <w:bidi w:val="0"/>
              <w:rPr>
                <w:rFonts w:hint="eastAsia"/>
                <w:lang w:val="en-US" w:eastAsia="zh-CN"/>
              </w:rPr>
            </w:pPr>
            <w:r>
              <w:rPr>
                <w:rFonts w:hint="eastAsia"/>
                <w:lang w:val="en-US" w:eastAsia="zh-CN"/>
              </w:rPr>
              <w:t>项目屠宰过程中产生的废碎骨、牛羊蹄壳、牛羊角、胴体修整杂物等废弃物，根据建设单位提供的资料，产生量约为牛3t/a，羊5t/a。暂存于屠宰车间内的固废暂存间，密闭的容器内暂存，集中收集后外售综合利用。</w:t>
            </w:r>
          </w:p>
          <w:p>
            <w:pPr>
              <w:pStyle w:val="71"/>
              <w:bidi w:val="0"/>
              <w:rPr>
                <w:rFonts w:hint="eastAsia"/>
                <w:lang w:val="en-US" w:eastAsia="zh-CN"/>
              </w:rPr>
            </w:pPr>
            <w:r>
              <w:rPr>
                <w:rFonts w:hint="eastAsia"/>
                <w:lang w:val="en-US" w:eastAsia="zh-CN"/>
              </w:rPr>
              <w:t>③污水处理站产生的污泥、栅渣。</w:t>
            </w:r>
          </w:p>
          <w:p>
            <w:pPr>
              <w:pStyle w:val="71"/>
              <w:bidi w:val="0"/>
              <w:rPr>
                <w:rFonts w:hint="default"/>
                <w:lang w:val="en-US" w:eastAsia="zh-CN"/>
              </w:rPr>
            </w:pPr>
            <w:r>
              <w:rPr>
                <w:rFonts w:hint="default" w:ascii="Times New Roman" w:hAnsi="Times New Roman" w:cs="Times New Roman"/>
                <w:sz w:val="24"/>
                <w:szCs w:val="24"/>
                <w:lang w:val="en-US" w:eastAsia="zh-CN"/>
              </w:rPr>
              <w:t>通过类比同类型企业，本项目污水处理设施污泥、栅渣产生量按0.1~0.2kg/kgBOD</w:t>
            </w:r>
            <w:r>
              <w:rPr>
                <w:rFonts w:hint="default" w:ascii="Times New Roman" w:hAnsi="Times New Roman" w:cs="Times New Roman"/>
                <w:sz w:val="24"/>
                <w:szCs w:val="24"/>
                <w:vertAlign w:val="subscript"/>
                <w:lang w:val="en-US" w:eastAsia="zh-CN"/>
              </w:rPr>
              <w:t>5</w:t>
            </w:r>
            <w:r>
              <w:rPr>
                <w:rFonts w:hint="default" w:ascii="Times New Roman" w:hAnsi="Times New Roman" w:cs="Times New Roman"/>
                <w:sz w:val="24"/>
                <w:szCs w:val="24"/>
                <w:lang w:val="en-US" w:eastAsia="zh-CN"/>
              </w:rPr>
              <w:t>去除量进行计算，本次评价取平均值，即0.15kg/kgBOD</w:t>
            </w:r>
            <w:r>
              <w:rPr>
                <w:rFonts w:hint="default" w:ascii="Times New Roman" w:hAnsi="Times New Roman" w:cs="Times New Roman"/>
                <w:sz w:val="24"/>
                <w:szCs w:val="24"/>
                <w:vertAlign w:val="subscript"/>
                <w:lang w:val="en-US" w:eastAsia="zh-CN"/>
              </w:rPr>
              <w:t>5</w:t>
            </w:r>
            <w:r>
              <w:rPr>
                <w:rFonts w:hint="default" w:ascii="Times New Roman" w:hAnsi="Times New Roman" w:cs="Times New Roman"/>
                <w:sz w:val="24"/>
              </w:rPr>
              <w:t>。</w:t>
            </w:r>
            <w:r>
              <w:rPr>
                <w:rFonts w:hint="default" w:ascii="Times New Roman" w:hAnsi="Times New Roman" w:cs="Times New Roman"/>
                <w:sz w:val="24"/>
                <w:highlight w:val="none"/>
                <w:lang w:val="en-US" w:eastAsia="zh-CN"/>
              </w:rPr>
              <w:t>本项目</w:t>
            </w:r>
            <w:r>
              <w:rPr>
                <w:rFonts w:hint="default" w:ascii="Times New Roman" w:hAnsi="Times New Roman" w:cs="Times New Roman"/>
                <w:sz w:val="24"/>
                <w:szCs w:val="24"/>
                <w:highlight w:val="none"/>
                <w:lang w:val="en-US" w:eastAsia="zh-CN"/>
              </w:rPr>
              <w:t>BOD</w:t>
            </w:r>
            <w:r>
              <w:rPr>
                <w:rFonts w:hint="default" w:ascii="Times New Roman" w:hAnsi="Times New Roman" w:cs="Times New Roman"/>
                <w:sz w:val="24"/>
                <w:szCs w:val="24"/>
                <w:highlight w:val="none"/>
                <w:vertAlign w:val="subscript"/>
                <w:lang w:val="en-US" w:eastAsia="zh-CN"/>
              </w:rPr>
              <w:t>5</w:t>
            </w:r>
            <w:r>
              <w:rPr>
                <w:rFonts w:hint="default" w:ascii="Times New Roman" w:hAnsi="Times New Roman" w:cs="Times New Roman"/>
                <w:sz w:val="24"/>
                <w:szCs w:val="24"/>
                <w:highlight w:val="none"/>
                <w:vertAlign w:val="baseline"/>
                <w:lang w:val="en-US" w:eastAsia="zh-CN"/>
              </w:rPr>
              <w:t>去除量为5.</w:t>
            </w:r>
            <w:r>
              <w:rPr>
                <w:rFonts w:hint="eastAsia" w:cs="Times New Roman"/>
                <w:sz w:val="24"/>
                <w:szCs w:val="24"/>
                <w:highlight w:val="none"/>
                <w:vertAlign w:val="baseline"/>
                <w:lang w:val="en-US" w:eastAsia="zh-CN"/>
              </w:rPr>
              <w:t>54</w:t>
            </w:r>
            <w:r>
              <w:rPr>
                <w:rFonts w:hint="default" w:ascii="Times New Roman" w:hAnsi="Times New Roman" w:cs="Times New Roman"/>
                <w:sz w:val="24"/>
                <w:szCs w:val="24"/>
                <w:highlight w:val="none"/>
                <w:vertAlign w:val="baseline"/>
                <w:lang w:val="en-US" w:eastAsia="zh-CN"/>
              </w:rPr>
              <w:t>t/a，则污泥、栅渣产生量为0.8</w:t>
            </w:r>
            <w:r>
              <w:rPr>
                <w:rFonts w:hint="eastAsia" w:cs="Times New Roman"/>
                <w:sz w:val="24"/>
                <w:szCs w:val="24"/>
                <w:highlight w:val="none"/>
                <w:vertAlign w:val="baseline"/>
                <w:lang w:val="en-US" w:eastAsia="zh-CN"/>
              </w:rPr>
              <w:t>31</w:t>
            </w:r>
            <w:r>
              <w:rPr>
                <w:rFonts w:hint="default" w:ascii="Times New Roman" w:hAnsi="Times New Roman" w:cs="Times New Roman"/>
                <w:sz w:val="24"/>
                <w:szCs w:val="24"/>
                <w:highlight w:val="none"/>
                <w:vertAlign w:val="baseline"/>
                <w:lang w:val="en-US" w:eastAsia="zh-CN"/>
              </w:rPr>
              <w:t>t/a</w:t>
            </w:r>
            <w:r>
              <w:rPr>
                <w:rFonts w:hint="default" w:ascii="Times New Roman" w:hAnsi="Times New Roman" w:cs="Times New Roman"/>
                <w:sz w:val="24"/>
                <w:szCs w:val="24"/>
                <w:vertAlign w:val="baseline"/>
                <w:lang w:val="en-US" w:eastAsia="zh-CN"/>
              </w:rPr>
              <w:t>，作为</w:t>
            </w:r>
            <w:r>
              <w:rPr>
                <w:rFonts w:hint="eastAsia" w:cs="Times New Roman"/>
                <w:sz w:val="24"/>
                <w:szCs w:val="24"/>
                <w:vertAlign w:val="baseline"/>
                <w:lang w:val="en-US" w:eastAsia="zh-CN"/>
              </w:rPr>
              <w:t>农家肥</w:t>
            </w:r>
            <w:r>
              <w:rPr>
                <w:rFonts w:hint="default" w:ascii="Times New Roman" w:hAnsi="Times New Roman" w:cs="Times New Roman"/>
                <w:sz w:val="24"/>
                <w:szCs w:val="24"/>
                <w:vertAlign w:val="baseline"/>
                <w:lang w:val="en-US" w:eastAsia="zh-CN"/>
              </w:rPr>
              <w:t>外售综合利用。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left"/>
              <w:textAlignment w:val="auto"/>
              <w:rPr>
                <w:rFonts w:hint="default" w:cs="Times New Roman"/>
                <w:color w:val="auto"/>
                <w:sz w:val="24"/>
                <w:lang w:val="en-US" w:eastAsia="zh-CN"/>
              </w:rPr>
            </w:pPr>
            <w:r>
              <w:rPr>
                <w:rFonts w:hint="eastAsia" w:cs="Times New Roman"/>
                <w:color w:val="auto"/>
                <w:sz w:val="24"/>
                <w:lang w:val="en-US" w:eastAsia="zh-CN"/>
              </w:rPr>
              <w:t>（2）无害化处理的一般固废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left"/>
              <w:textAlignment w:val="auto"/>
              <w:rPr>
                <w:rFonts w:hint="default" w:cs="Times New Roman"/>
                <w:color w:val="auto"/>
                <w:sz w:val="24"/>
                <w:lang w:val="en-US" w:eastAsia="zh-CN"/>
              </w:rPr>
            </w:pPr>
            <w:r>
              <w:rPr>
                <w:rFonts w:hint="eastAsia" w:cs="Times New Roman"/>
                <w:color w:val="auto"/>
                <w:sz w:val="24"/>
                <w:lang w:val="en-US" w:eastAsia="zh-CN"/>
              </w:rPr>
              <w:t>项目产生的病死牛羊、检疫残肉及不可食用内脏等采用深埋法无害化处理。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left"/>
              <w:textAlignment w:val="auto"/>
              <w:rPr>
                <w:rFonts w:hint="default" w:ascii="Times New Roman" w:hAnsi="Times New Roman" w:cs="Times New Roman"/>
                <w:sz w:val="24"/>
                <w:szCs w:val="24"/>
                <w:lang w:val="en-US" w:eastAsia="zh-CN"/>
              </w:rPr>
            </w:pPr>
            <w:r>
              <w:rPr>
                <w:rFonts w:hint="eastAsia" w:cs="Times New Roman"/>
                <w:color w:val="auto"/>
                <w:sz w:val="24"/>
                <w:lang w:val="en-US" w:eastAsia="zh-CN"/>
              </w:rPr>
              <w:t>①病死牛羊</w:t>
            </w:r>
            <w:r>
              <w:rPr>
                <w:rFonts w:hint="default" w:ascii="Times New Roman" w:hAnsi="Times New Roman" w:cs="Times New Roman"/>
                <w:color w:val="auto"/>
                <w:sz w:val="24"/>
                <w:lang w:val="en-US" w:eastAsia="zh-CN"/>
              </w:rPr>
              <w:t>：</w:t>
            </w:r>
            <w:r>
              <w:rPr>
                <w:rFonts w:hint="default" w:ascii="Times New Roman" w:hAnsi="Times New Roman" w:cs="Times New Roman"/>
                <w:sz w:val="24"/>
                <w:szCs w:val="24"/>
                <w:lang w:val="en-US" w:eastAsia="zh-CN"/>
              </w:rPr>
              <w:t>一般情况下</w:t>
            </w:r>
            <w:r>
              <w:rPr>
                <w:rFonts w:hint="eastAsia" w:cs="Times New Roman"/>
                <w:sz w:val="24"/>
                <w:szCs w:val="24"/>
                <w:lang w:val="en-US" w:eastAsia="zh-CN"/>
              </w:rPr>
              <w:t>病死牛羊</w:t>
            </w:r>
            <w:r>
              <w:rPr>
                <w:rFonts w:hint="default" w:ascii="Times New Roman" w:hAnsi="Times New Roman" w:cs="Times New Roman"/>
                <w:sz w:val="24"/>
                <w:szCs w:val="24"/>
                <w:lang w:val="en-US" w:eastAsia="zh-CN"/>
              </w:rPr>
              <w:t>产生量极小，约为总量的万分之一，本项目年最大生产能力为屠宰肉羊</w:t>
            </w:r>
            <w:r>
              <w:rPr>
                <w:rFonts w:hint="eastAsia" w:cs="Times New Roman"/>
                <w:sz w:val="24"/>
                <w:szCs w:val="24"/>
                <w:lang w:val="en-US" w:eastAsia="zh-CN"/>
              </w:rPr>
              <w:t>18</w:t>
            </w:r>
            <w:r>
              <w:rPr>
                <w:rFonts w:hint="default" w:ascii="Times New Roman" w:hAnsi="Times New Roman" w:cs="Times New Roman"/>
                <w:sz w:val="24"/>
                <w:szCs w:val="24"/>
                <w:lang w:val="en-US" w:eastAsia="zh-CN"/>
              </w:rPr>
              <w:t>000只，肉牛1</w:t>
            </w:r>
            <w:r>
              <w:rPr>
                <w:rFonts w:hint="eastAsia" w:cs="Times New Roman"/>
                <w:sz w:val="24"/>
                <w:szCs w:val="24"/>
                <w:lang w:val="en-US" w:eastAsia="zh-CN"/>
              </w:rPr>
              <w:t>8</w:t>
            </w:r>
            <w:r>
              <w:rPr>
                <w:rFonts w:hint="default" w:ascii="Times New Roman" w:hAnsi="Times New Roman" w:cs="Times New Roman"/>
                <w:sz w:val="24"/>
                <w:szCs w:val="24"/>
                <w:lang w:val="en-US" w:eastAsia="zh-CN"/>
              </w:rPr>
              <w:t>00头，则本项目每年最多产生2</w:t>
            </w:r>
            <w:r>
              <w:rPr>
                <w:rFonts w:hint="default" w:ascii="Times New Roman" w:hAnsi="Times New Roman" w:cs="Times New Roman"/>
                <w:sz w:val="24"/>
                <w:szCs w:val="24"/>
                <w:highlight w:val="none"/>
                <w:lang w:val="en-US" w:eastAsia="zh-CN"/>
              </w:rPr>
              <w:t>只</w:t>
            </w:r>
            <w:r>
              <w:rPr>
                <w:rFonts w:hint="eastAsia" w:cs="Times New Roman"/>
                <w:sz w:val="24"/>
                <w:szCs w:val="24"/>
                <w:highlight w:val="none"/>
                <w:lang w:val="en-US" w:eastAsia="zh-CN"/>
              </w:rPr>
              <w:t>病死</w:t>
            </w:r>
            <w:r>
              <w:rPr>
                <w:rFonts w:hint="default" w:ascii="Times New Roman" w:hAnsi="Times New Roman" w:cs="Times New Roman"/>
                <w:sz w:val="24"/>
                <w:szCs w:val="24"/>
                <w:highlight w:val="none"/>
                <w:lang w:val="en-US" w:eastAsia="zh-CN"/>
              </w:rPr>
              <w:t>羊（约0.1t/a）</w:t>
            </w:r>
            <w:r>
              <w:rPr>
                <w:rFonts w:hint="default" w:ascii="Times New Roman" w:hAnsi="Times New Roman" w:cs="Times New Roman"/>
                <w:sz w:val="24"/>
                <w:szCs w:val="24"/>
                <w:lang w:val="en-US" w:eastAsia="zh-CN"/>
              </w:rPr>
              <w:t>，采用进行无害化处理。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left"/>
              <w:textAlignment w:val="auto"/>
              <w:rPr>
                <w:rFonts w:hint="eastAsia" w:cs="Times New Roman"/>
                <w:sz w:val="24"/>
                <w:szCs w:val="24"/>
                <w:lang w:val="en-US" w:eastAsia="zh-CN"/>
              </w:rPr>
            </w:pPr>
            <w:r>
              <w:rPr>
                <w:rFonts w:hint="eastAsia" w:cs="Times New Roman"/>
                <w:sz w:val="24"/>
                <w:szCs w:val="24"/>
                <w:lang w:val="en-US" w:eastAsia="zh-CN"/>
              </w:rPr>
              <w:t>②检疫残肉：项目检疫过程对牛羊肉抽检，每只抽检的牛、羊取肉量约为5g，牛检疫残肉产生量约为0.009t/a，羊检疫残肉产生量约为0.09t/a。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left"/>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③不可食用内脏：项目屠宰过程中会产生淋巴组织、坏死组织及三腺等不可食用内脏，通过类比同类型企业，项目屠宰过程中产生的不可食用内脏共计25t/a。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left"/>
              <w:textAlignment w:val="auto"/>
              <w:rPr>
                <w:rFonts w:hint="default" w:cs="Times New Roman"/>
                <w:sz w:val="24"/>
                <w:szCs w:val="24"/>
                <w:lang w:val="en-US" w:eastAsia="zh-CN"/>
              </w:rPr>
            </w:pPr>
            <w:r>
              <w:rPr>
                <w:rFonts w:hint="eastAsia" w:cs="Times New Roman"/>
                <w:sz w:val="24"/>
                <w:szCs w:val="24"/>
                <w:lang w:val="en-US" w:eastAsia="zh-CN"/>
              </w:rPr>
              <w:t>（3）</w:t>
            </w:r>
            <w:r>
              <w:rPr>
                <w:rFonts w:hint="eastAsia" w:cs="Times New Roman"/>
                <w:sz w:val="24"/>
                <w:szCs w:val="24"/>
                <w:vertAlign w:val="baseline"/>
                <w:lang w:val="en-US" w:eastAsia="zh-CN"/>
              </w:rPr>
              <w:t>废弃卫生检疫用品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left"/>
              <w:textAlignment w:val="auto"/>
              <w:rPr>
                <w:rFonts w:hint="eastAsia" w:cs="Times New Roman"/>
                <w:sz w:val="24"/>
                <w:szCs w:val="24"/>
                <w:vertAlign w:val="baseline"/>
                <w:lang w:val="en-US" w:eastAsia="zh-CN"/>
              </w:rPr>
            </w:pPr>
            <w:r>
              <w:rPr>
                <w:rFonts w:hint="eastAsia" w:cs="Times New Roman"/>
                <w:sz w:val="24"/>
                <w:szCs w:val="24"/>
                <w:vertAlign w:val="baseline"/>
                <w:lang w:val="en-US" w:eastAsia="zh-CN"/>
              </w:rPr>
              <w:t>废弃卫生检疫用品：本项目待宰前日常检疫产生的检疫医疗废物，如针头、消毒棉纱等，按照《医疗废物集中处置技术规范（试行）》规定，本项目产生的废弃卫生检疫用品分类暂</w:t>
            </w:r>
            <w:r>
              <w:rPr>
                <w:rFonts w:hint="eastAsia" w:ascii="Times New Roman" w:hAnsi="Times New Roman" w:eastAsia="宋体" w:cs="Times New Roman"/>
                <w:sz w:val="24"/>
                <w:szCs w:val="24"/>
                <w:vertAlign w:val="baseline"/>
                <w:lang w:val="en-US" w:eastAsia="zh-CN"/>
              </w:rPr>
              <w:t>存，拉运至一般固废处置场所。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left"/>
              <w:textAlignment w:val="auto"/>
              <w:rPr>
                <w:rFonts w:hint="eastAsia" w:cs="Times New Roman"/>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bidi="ar-SA"/>
              </w:rPr>
              <w:t>（</w:t>
            </w:r>
            <w:r>
              <w:rPr>
                <w:rFonts w:hint="eastAsia" w:cs="Times New Roman"/>
                <w:kern w:val="2"/>
                <w:sz w:val="24"/>
                <w:szCs w:val="24"/>
                <w:vertAlign w:val="baseline"/>
                <w:lang w:val="en-US" w:eastAsia="zh-CN" w:bidi="ar-SA"/>
              </w:rPr>
              <w:t>4</w:t>
            </w:r>
            <w:r>
              <w:rPr>
                <w:rFonts w:hint="eastAsia" w:ascii="Times New Roman" w:hAnsi="Times New Roman" w:eastAsia="宋体" w:cs="Times New Roman"/>
                <w:kern w:val="2"/>
                <w:sz w:val="24"/>
                <w:szCs w:val="24"/>
                <w:vertAlign w:val="baseline"/>
                <w:lang w:val="en-US" w:eastAsia="zh-CN" w:bidi="ar-SA"/>
              </w:rPr>
              <w:t>）</w:t>
            </w:r>
            <w:r>
              <w:rPr>
                <w:rFonts w:hint="eastAsia" w:cs="Times New Roman"/>
                <w:sz w:val="24"/>
                <w:szCs w:val="24"/>
                <w:vertAlign w:val="baseline"/>
                <w:lang w:val="en-US" w:eastAsia="zh-CN"/>
              </w:rPr>
              <w:t>生活垃圾</w:t>
            </w:r>
          </w:p>
          <w:p>
            <w:pPr>
              <w:pStyle w:val="71"/>
              <w:bidi w:val="0"/>
              <w:rPr>
                <w:rFonts w:hint="default"/>
                <w:lang w:val="en-US" w:eastAsia="zh-CN"/>
              </w:rPr>
            </w:pPr>
            <w:r>
              <w:rPr>
                <w:rFonts w:hint="default"/>
                <w:lang w:val="en-US" w:eastAsia="zh-CN"/>
              </w:rPr>
              <w:t>本项目职工人数</w:t>
            </w:r>
            <w:r>
              <w:rPr>
                <w:rFonts w:hint="eastAsia"/>
                <w:lang w:val="en-US" w:eastAsia="zh-CN"/>
              </w:rPr>
              <w:t>20</w:t>
            </w:r>
            <w:r>
              <w:rPr>
                <w:rFonts w:hint="default"/>
                <w:lang w:val="en-US" w:eastAsia="zh-CN"/>
              </w:rPr>
              <w:t>人，生活垃圾按每人每天产生0.5kg/d计，则产生量为</w:t>
            </w:r>
            <w:r>
              <w:rPr>
                <w:rFonts w:hint="eastAsia"/>
                <w:lang w:val="en-US" w:eastAsia="zh-CN"/>
              </w:rPr>
              <w:t>3</w:t>
            </w:r>
            <w:r>
              <w:rPr>
                <w:rFonts w:hint="default"/>
                <w:lang w:val="en-US" w:eastAsia="zh-CN"/>
              </w:rPr>
              <w:t>t/a，生活垃圾分类收集后由环卫部门定期清运处理。</w:t>
            </w:r>
          </w:p>
          <w:p>
            <w:pPr>
              <w:pStyle w:val="7"/>
              <w:numPr>
                <w:ilvl w:val="0"/>
                <w:numId w:val="0"/>
              </w:numPr>
              <w:bidi w:val="0"/>
              <w:ind w:leftChars="200" w:right="0" w:rightChars="0"/>
              <w:rPr>
                <w:rFonts w:hint="eastAsia"/>
                <w:lang w:val="en-US" w:eastAsia="zh-CN"/>
              </w:rPr>
            </w:pPr>
            <w:r>
              <w:rPr>
                <w:rFonts w:hint="eastAsia"/>
                <w:lang w:val="en-US" w:eastAsia="zh-CN"/>
              </w:rPr>
              <w:t>（5）危险废物</w:t>
            </w:r>
          </w:p>
          <w:p>
            <w:pPr>
              <w:pStyle w:val="7"/>
              <w:bidi w:val="0"/>
              <w:rPr>
                <w:rFonts w:hint="default"/>
                <w:lang w:val="en-US" w:eastAsia="zh-CN"/>
              </w:rPr>
            </w:pPr>
            <w:r>
              <w:rPr>
                <w:rFonts w:hint="eastAsia"/>
                <w:lang w:val="en-US" w:eastAsia="zh-CN"/>
              </w:rPr>
              <w:t>①</w:t>
            </w:r>
            <w:r>
              <w:rPr>
                <w:rFonts w:hint="default"/>
                <w:lang w:val="en-US" w:eastAsia="zh-CN"/>
              </w:rPr>
              <w:t>废润滑油及废润滑油桶</w:t>
            </w:r>
          </w:p>
          <w:p>
            <w:pPr>
              <w:pStyle w:val="7"/>
              <w:bidi w:val="0"/>
              <w:rPr>
                <w:rFonts w:hint="default"/>
                <w:lang w:val="en-US" w:eastAsia="zh-CN"/>
              </w:rPr>
            </w:pPr>
            <w:r>
              <w:rPr>
                <w:rFonts w:hint="eastAsia"/>
                <w:lang w:val="en-US" w:eastAsia="zh-CN"/>
              </w:rPr>
              <w:t>本</w:t>
            </w:r>
            <w:r>
              <w:rPr>
                <w:rFonts w:hint="default"/>
                <w:lang w:val="en-US" w:eastAsia="zh-CN"/>
              </w:rPr>
              <w:t>项目设备</w:t>
            </w:r>
            <w:r>
              <w:rPr>
                <w:rFonts w:hint="eastAsia"/>
                <w:lang w:val="en-US" w:eastAsia="zh-CN"/>
              </w:rPr>
              <w:t>较多，在设备运行维护过程中</w:t>
            </w:r>
            <w:r>
              <w:rPr>
                <w:rFonts w:hint="default"/>
                <w:lang w:val="en-US" w:eastAsia="zh-CN"/>
              </w:rPr>
              <w:t>会产生少量废润滑油（HW08 900-214-08）</w:t>
            </w:r>
            <w:r>
              <w:rPr>
                <w:rFonts w:hint="eastAsia"/>
                <w:lang w:val="en-US" w:eastAsia="zh-CN"/>
              </w:rPr>
              <w:t>及废润滑油桶（HW08 900-249-08），产生量约为0.5t/a。经收集后</w:t>
            </w:r>
            <w:r>
              <w:rPr>
                <w:rFonts w:hint="default"/>
                <w:lang w:val="en-US" w:eastAsia="zh-CN"/>
              </w:rPr>
              <w:t>暂存于危废</w:t>
            </w:r>
            <w:r>
              <w:rPr>
                <w:rFonts w:hint="eastAsia"/>
                <w:lang w:val="en-US" w:eastAsia="zh-CN"/>
              </w:rPr>
              <w:t>贮存点</w:t>
            </w:r>
            <w:r>
              <w:rPr>
                <w:rFonts w:hint="default"/>
                <w:lang w:val="en-US" w:eastAsia="zh-CN"/>
              </w:rPr>
              <w:t>内，定期交由有资质单位进行无害化处置。</w:t>
            </w:r>
          </w:p>
          <w:p>
            <w:pPr>
              <w:pStyle w:val="72"/>
              <w:bidi w:val="0"/>
              <w:rPr>
                <w:rFonts w:hint="default" w:ascii="Times New Roman" w:hAnsi="Times New Roman" w:cs="Times New Roman"/>
                <w:highlight w:val="none"/>
              </w:rPr>
            </w:pPr>
            <w:r>
              <w:rPr>
                <w:rFonts w:hint="default" w:ascii="Times New Roman" w:hAnsi="Times New Roman" w:cs="Times New Roman"/>
                <w:highlight w:val="none"/>
              </w:rPr>
              <w:t>表</w:t>
            </w:r>
            <w:r>
              <w:rPr>
                <w:rFonts w:hint="default" w:ascii="Times New Roman" w:hAnsi="Times New Roman" w:cs="Times New Roman"/>
                <w:highlight w:val="none"/>
                <w:lang w:val="en-US" w:eastAsia="zh-CN"/>
              </w:rPr>
              <w:t>4-1</w:t>
            </w:r>
            <w:r>
              <w:rPr>
                <w:rFonts w:hint="eastAsia" w:cs="Times New Roman"/>
                <w:highlight w:val="none"/>
                <w:lang w:val="en-US" w:eastAsia="zh-CN"/>
              </w:rPr>
              <w:t>2</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项目固体废物产</w:t>
            </w:r>
            <w:r>
              <w:rPr>
                <w:rFonts w:hint="default" w:ascii="Times New Roman" w:hAnsi="Times New Roman" w:cs="Times New Roman"/>
                <w:highlight w:val="none"/>
                <w:lang w:val="en-US" w:eastAsia="zh-CN"/>
              </w:rPr>
              <w:t>排</w:t>
            </w:r>
            <w:r>
              <w:rPr>
                <w:rFonts w:hint="default" w:ascii="Times New Roman" w:hAnsi="Times New Roman" w:cs="Times New Roman"/>
                <w:highlight w:val="none"/>
              </w:rPr>
              <w:t>情况明细</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57"/>
              <w:gridCol w:w="686"/>
              <w:gridCol w:w="1821"/>
              <w:gridCol w:w="1384"/>
              <w:gridCol w:w="723"/>
              <w:gridCol w:w="848"/>
              <w:gridCol w:w="17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473" w:type="pct"/>
                  <w:tcBorders>
                    <w:tl2br w:val="nil"/>
                    <w:tr2bl w:val="nil"/>
                  </w:tcBorders>
                  <w:noWrap w:val="0"/>
                  <w:vAlign w:val="center"/>
                </w:tcPr>
                <w:p>
                  <w:pPr>
                    <w:pStyle w:val="69"/>
                    <w:bidi w:val="0"/>
                    <w:rPr>
                      <w:rFonts w:hint="default"/>
                      <w:lang w:val="en-US" w:eastAsia="zh-CN"/>
                    </w:rPr>
                  </w:pPr>
                  <w:r>
                    <w:rPr>
                      <w:rFonts w:hint="default"/>
                      <w:lang w:val="en-US" w:eastAsia="zh-CN"/>
                    </w:rPr>
                    <w:t>产污环节</w:t>
                  </w:r>
                </w:p>
              </w:tc>
              <w:tc>
                <w:tcPr>
                  <w:tcW w:w="429" w:type="pct"/>
                  <w:tcBorders>
                    <w:tl2br w:val="nil"/>
                    <w:tr2bl w:val="nil"/>
                  </w:tcBorders>
                  <w:noWrap w:val="0"/>
                  <w:vAlign w:val="center"/>
                </w:tcPr>
                <w:p>
                  <w:pPr>
                    <w:pStyle w:val="69"/>
                    <w:bidi w:val="0"/>
                    <w:rPr>
                      <w:rFonts w:hint="default"/>
                      <w:lang w:val="en-US" w:eastAsia="zh-CN"/>
                    </w:rPr>
                  </w:pPr>
                  <w:r>
                    <w:rPr>
                      <w:rFonts w:hint="default"/>
                      <w:lang w:val="en-US" w:eastAsia="zh-CN"/>
                    </w:rPr>
                    <w:t>固废性质</w:t>
                  </w:r>
                </w:p>
              </w:tc>
              <w:tc>
                <w:tcPr>
                  <w:tcW w:w="1138" w:type="pct"/>
                  <w:tcBorders>
                    <w:tl2br w:val="nil"/>
                    <w:tr2bl w:val="nil"/>
                  </w:tcBorders>
                  <w:noWrap w:val="0"/>
                  <w:vAlign w:val="center"/>
                </w:tcPr>
                <w:p>
                  <w:pPr>
                    <w:pStyle w:val="69"/>
                    <w:bidi w:val="0"/>
                    <w:rPr>
                      <w:rFonts w:hint="default"/>
                      <w:lang w:val="en-US" w:eastAsia="zh-CN"/>
                    </w:rPr>
                  </w:pPr>
                  <w:r>
                    <w:rPr>
                      <w:rFonts w:hint="default"/>
                      <w:lang w:val="en-US" w:eastAsia="zh-CN"/>
                    </w:rPr>
                    <w:t>固体废物名称</w:t>
                  </w:r>
                </w:p>
              </w:tc>
              <w:tc>
                <w:tcPr>
                  <w:tcW w:w="865" w:type="pct"/>
                  <w:tcBorders>
                    <w:tl2br w:val="nil"/>
                    <w:tr2bl w:val="nil"/>
                  </w:tcBorders>
                  <w:noWrap w:val="0"/>
                  <w:vAlign w:val="center"/>
                </w:tcPr>
                <w:p>
                  <w:pPr>
                    <w:pStyle w:val="69"/>
                    <w:bidi w:val="0"/>
                    <w:rPr>
                      <w:rFonts w:hint="default"/>
                      <w:lang w:val="en-US" w:eastAsia="zh-CN"/>
                    </w:rPr>
                  </w:pPr>
                  <w:r>
                    <w:rPr>
                      <w:rFonts w:hint="default"/>
                      <w:lang w:val="en-US" w:eastAsia="zh-CN"/>
                    </w:rPr>
                    <w:t>废物代码</w:t>
                  </w:r>
                </w:p>
              </w:tc>
              <w:tc>
                <w:tcPr>
                  <w:tcW w:w="452" w:type="pct"/>
                  <w:tcBorders>
                    <w:tl2br w:val="nil"/>
                    <w:tr2bl w:val="nil"/>
                  </w:tcBorders>
                  <w:noWrap w:val="0"/>
                  <w:vAlign w:val="center"/>
                </w:tcPr>
                <w:p>
                  <w:pPr>
                    <w:pStyle w:val="69"/>
                    <w:bidi w:val="0"/>
                    <w:rPr>
                      <w:rFonts w:hint="default"/>
                      <w:lang w:val="en-US" w:eastAsia="zh-CN"/>
                    </w:rPr>
                  </w:pPr>
                  <w:r>
                    <w:rPr>
                      <w:rFonts w:hint="default"/>
                      <w:lang w:val="en-US" w:eastAsia="zh-CN"/>
                    </w:rPr>
                    <w:t>危险特性</w:t>
                  </w:r>
                </w:p>
              </w:tc>
              <w:tc>
                <w:tcPr>
                  <w:tcW w:w="530" w:type="pct"/>
                  <w:tcBorders>
                    <w:tl2br w:val="nil"/>
                    <w:tr2bl w:val="nil"/>
                  </w:tcBorders>
                  <w:noWrap w:val="0"/>
                  <w:vAlign w:val="center"/>
                </w:tcPr>
                <w:p>
                  <w:pPr>
                    <w:pStyle w:val="69"/>
                    <w:bidi w:val="0"/>
                    <w:rPr>
                      <w:rFonts w:hint="default"/>
                      <w:lang w:val="en-US" w:eastAsia="zh-CN"/>
                    </w:rPr>
                  </w:pPr>
                  <w:r>
                    <w:rPr>
                      <w:rFonts w:hint="default"/>
                      <w:lang w:val="en-US" w:eastAsia="zh-CN"/>
                    </w:rPr>
                    <w:t>产生量（t/a）</w:t>
                  </w:r>
                </w:p>
              </w:tc>
              <w:tc>
                <w:tcPr>
                  <w:tcW w:w="1110" w:type="pct"/>
                  <w:tcBorders>
                    <w:tl2br w:val="nil"/>
                    <w:tr2bl w:val="nil"/>
                  </w:tcBorders>
                  <w:noWrap w:val="0"/>
                  <w:vAlign w:val="center"/>
                </w:tcPr>
                <w:p>
                  <w:pPr>
                    <w:pStyle w:val="69"/>
                    <w:bidi w:val="0"/>
                    <w:rPr>
                      <w:rFonts w:hint="default"/>
                      <w:lang w:val="en-US" w:eastAsia="zh-CN"/>
                    </w:rPr>
                  </w:pPr>
                  <w:r>
                    <w:rPr>
                      <w:rFonts w:hint="default"/>
                      <w:lang w:val="en-US" w:eastAsia="zh-CN"/>
                    </w:rPr>
                    <w:t>处理去向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jc w:val="center"/>
              </w:trPr>
              <w:tc>
                <w:tcPr>
                  <w:tcW w:w="473" w:type="pct"/>
                  <w:vMerge w:val="restart"/>
                  <w:tcBorders>
                    <w:tl2br w:val="nil"/>
                    <w:tr2bl w:val="nil"/>
                  </w:tcBorders>
                  <w:noWrap w:val="0"/>
                  <w:vAlign w:val="center"/>
                </w:tcPr>
                <w:p>
                  <w:pPr>
                    <w:pStyle w:val="69"/>
                    <w:bidi w:val="0"/>
                    <w:rPr>
                      <w:rFonts w:hint="default"/>
                      <w:lang w:val="en-US" w:eastAsia="zh-CN"/>
                    </w:rPr>
                  </w:pPr>
                  <w:r>
                    <w:rPr>
                      <w:rFonts w:hint="default"/>
                      <w:lang w:val="en-US" w:eastAsia="zh-CN"/>
                    </w:rPr>
                    <w:t>生产环节</w:t>
                  </w:r>
                </w:p>
              </w:tc>
              <w:tc>
                <w:tcPr>
                  <w:tcW w:w="429" w:type="pct"/>
                  <w:vMerge w:val="restart"/>
                  <w:tcBorders>
                    <w:tl2br w:val="nil"/>
                    <w:tr2bl w:val="nil"/>
                  </w:tcBorders>
                  <w:noWrap w:val="0"/>
                  <w:vAlign w:val="center"/>
                </w:tcPr>
                <w:p>
                  <w:pPr>
                    <w:pStyle w:val="69"/>
                    <w:bidi w:val="0"/>
                    <w:rPr>
                      <w:rFonts w:hint="default"/>
                      <w:lang w:val="en-US" w:eastAsia="zh-CN"/>
                    </w:rPr>
                  </w:pPr>
                  <w:r>
                    <w:rPr>
                      <w:rFonts w:hint="default"/>
                      <w:lang w:val="en-US" w:eastAsia="zh-CN"/>
                    </w:rPr>
                    <w:t>一般固废</w:t>
                  </w:r>
                </w:p>
              </w:tc>
              <w:tc>
                <w:tcPr>
                  <w:tcW w:w="1138"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牛羊</w:t>
                  </w:r>
                  <w:r>
                    <w:rPr>
                      <w:rFonts w:hint="default"/>
                    </w:rPr>
                    <w:t>粪便</w:t>
                  </w:r>
                  <w:r>
                    <w:rPr>
                      <w:rFonts w:hint="eastAsia"/>
                      <w:lang w:val="en-US" w:eastAsia="zh-CN"/>
                    </w:rPr>
                    <w:t>及垫料</w:t>
                  </w:r>
                </w:p>
              </w:tc>
              <w:tc>
                <w:tcPr>
                  <w:tcW w:w="865" w:type="pct"/>
                  <w:tcBorders>
                    <w:tl2br w:val="nil"/>
                    <w:tr2bl w:val="nil"/>
                  </w:tcBorders>
                  <w:noWrap w:val="0"/>
                  <w:vAlign w:val="center"/>
                </w:tcPr>
                <w:p>
                  <w:pPr>
                    <w:pStyle w:val="69"/>
                    <w:bidi w:val="0"/>
                    <w:rPr>
                      <w:rFonts w:hint="default"/>
                      <w:lang w:val="en-US" w:eastAsia="zh-CN"/>
                    </w:rPr>
                  </w:pPr>
                  <w:r>
                    <w:rPr>
                      <w:rFonts w:hint="default"/>
                      <w:lang w:val="en-US" w:eastAsia="zh-CN"/>
                    </w:rPr>
                    <w:t>030-001-S82</w:t>
                  </w:r>
                </w:p>
              </w:tc>
              <w:tc>
                <w:tcPr>
                  <w:tcW w:w="452" w:type="pct"/>
                  <w:tcBorders>
                    <w:tl2br w:val="nil"/>
                    <w:tr2bl w:val="nil"/>
                  </w:tcBorders>
                  <w:shd w:val="clear" w:color="auto" w:fill="auto"/>
                  <w:noWrap w:val="0"/>
                  <w:vAlign w:val="center"/>
                </w:tcPr>
                <w:p>
                  <w:pPr>
                    <w:pStyle w:val="69"/>
                    <w:bidi w:val="0"/>
                    <w:rPr>
                      <w:rFonts w:hint="default" w:ascii="Times New Roman" w:hAnsi="Times New Roman" w:eastAsia="宋体" w:cs="Times New Roman"/>
                      <w:kern w:val="2"/>
                      <w:sz w:val="21"/>
                      <w:szCs w:val="21"/>
                      <w:lang w:val="en-US" w:eastAsia="zh-CN" w:bidi="ar-SA"/>
                    </w:rPr>
                  </w:pPr>
                  <w:r>
                    <w:rPr>
                      <w:rFonts w:hint="default"/>
                      <w:lang w:val="en-US" w:eastAsia="zh-CN"/>
                    </w:rPr>
                    <w:t>/</w:t>
                  </w:r>
                </w:p>
              </w:tc>
              <w:tc>
                <w:tcPr>
                  <w:tcW w:w="530" w:type="pct"/>
                  <w:tcBorders>
                    <w:tl2br w:val="nil"/>
                    <w:tr2bl w:val="nil"/>
                  </w:tcBorders>
                  <w:shd w:val="clear" w:color="auto" w:fill="auto"/>
                  <w:noWrap w:val="0"/>
                  <w:vAlign w:val="center"/>
                </w:tcPr>
                <w:p>
                  <w:pPr>
                    <w:pStyle w:val="69"/>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3.59</w:t>
                  </w:r>
                </w:p>
              </w:tc>
              <w:tc>
                <w:tcPr>
                  <w:tcW w:w="1110" w:type="pct"/>
                  <w:vMerge w:val="restart"/>
                  <w:tcBorders>
                    <w:tl2br w:val="nil"/>
                    <w:tr2bl w:val="nil"/>
                  </w:tcBorders>
                  <w:shd w:val="clear" w:color="auto" w:fill="auto"/>
                  <w:noWrap w:val="0"/>
                  <w:vAlign w:val="center"/>
                </w:tcPr>
                <w:p>
                  <w:pPr>
                    <w:pStyle w:val="69"/>
                    <w:bidi w:val="0"/>
                    <w:rPr>
                      <w:rFonts w:hint="default" w:ascii="Times New Roman" w:hAnsi="Times New Roman" w:eastAsia="宋体" w:cs="Times New Roman"/>
                      <w:kern w:val="2"/>
                      <w:sz w:val="21"/>
                      <w:szCs w:val="21"/>
                      <w:lang w:val="en-US" w:eastAsia="zh-CN" w:bidi="ar-SA"/>
                    </w:rPr>
                  </w:pPr>
                  <w:r>
                    <w:rPr>
                      <w:rFonts w:hint="default"/>
                      <w:lang w:val="en-US" w:eastAsia="zh-CN"/>
                    </w:rPr>
                    <w:t>作为有机肥原料外售综合利用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73" w:type="pct"/>
                  <w:vMerge w:val="continue"/>
                  <w:tcBorders>
                    <w:tl2br w:val="nil"/>
                    <w:tr2bl w:val="nil"/>
                  </w:tcBorders>
                  <w:noWrap w:val="0"/>
                  <w:vAlign w:val="center"/>
                </w:tcPr>
                <w:p>
                  <w:pPr>
                    <w:pStyle w:val="69"/>
                    <w:bidi w:val="0"/>
                    <w:rPr>
                      <w:rFonts w:hint="default"/>
                      <w:lang w:val="en-US" w:eastAsia="zh-CN"/>
                    </w:rPr>
                  </w:pPr>
                </w:p>
              </w:tc>
              <w:tc>
                <w:tcPr>
                  <w:tcW w:w="429" w:type="pct"/>
                  <w:vMerge w:val="continue"/>
                  <w:tcBorders>
                    <w:tl2br w:val="nil"/>
                    <w:tr2bl w:val="nil"/>
                  </w:tcBorders>
                  <w:noWrap w:val="0"/>
                  <w:vAlign w:val="center"/>
                </w:tcPr>
                <w:p>
                  <w:pPr>
                    <w:pStyle w:val="69"/>
                    <w:bidi w:val="0"/>
                    <w:rPr>
                      <w:rFonts w:hint="default"/>
                      <w:lang w:val="en-US" w:eastAsia="zh-CN"/>
                    </w:rPr>
                  </w:pPr>
                </w:p>
              </w:tc>
              <w:tc>
                <w:tcPr>
                  <w:tcW w:w="1138" w:type="pct"/>
                  <w:tcBorders>
                    <w:tl2br w:val="nil"/>
                    <w:tr2bl w:val="nil"/>
                  </w:tcBorders>
                  <w:noWrap w:val="0"/>
                  <w:vAlign w:val="center"/>
                </w:tcPr>
                <w:p>
                  <w:pPr>
                    <w:pStyle w:val="69"/>
                    <w:bidi w:val="0"/>
                    <w:rPr>
                      <w:rFonts w:hint="default"/>
                      <w:lang w:val="en-US" w:eastAsia="zh-CN"/>
                    </w:rPr>
                  </w:pPr>
                  <w:r>
                    <w:rPr>
                      <w:rFonts w:hint="eastAsia"/>
                      <w:lang w:val="en-US" w:eastAsia="zh-CN"/>
                    </w:rPr>
                    <w:t>屠宰废物、肠胃内容物</w:t>
                  </w:r>
                </w:p>
              </w:tc>
              <w:tc>
                <w:tcPr>
                  <w:tcW w:w="865" w:type="pct"/>
                  <w:tcBorders>
                    <w:tl2br w:val="nil"/>
                    <w:tr2bl w:val="nil"/>
                  </w:tcBorders>
                  <w:noWrap w:val="0"/>
                  <w:vAlign w:val="center"/>
                </w:tcPr>
                <w:p>
                  <w:pPr>
                    <w:pStyle w:val="69"/>
                    <w:bidi w:val="0"/>
                    <w:rPr>
                      <w:rFonts w:hint="default"/>
                      <w:lang w:val="en-US" w:eastAsia="zh-CN"/>
                    </w:rPr>
                  </w:pPr>
                  <w:r>
                    <w:rPr>
                      <w:rFonts w:hint="default"/>
                      <w:lang w:val="en-US" w:eastAsia="zh-CN"/>
                    </w:rPr>
                    <w:t>135-001-S13</w:t>
                  </w:r>
                </w:p>
              </w:tc>
              <w:tc>
                <w:tcPr>
                  <w:tcW w:w="452" w:type="pct"/>
                  <w:tcBorders>
                    <w:tl2br w:val="nil"/>
                    <w:tr2bl w:val="nil"/>
                  </w:tcBorders>
                  <w:noWrap w:val="0"/>
                  <w:vAlign w:val="center"/>
                </w:tcPr>
                <w:p>
                  <w:pPr>
                    <w:pStyle w:val="69"/>
                    <w:bidi w:val="0"/>
                    <w:rPr>
                      <w:rFonts w:hint="default"/>
                      <w:lang w:val="en-US" w:eastAsia="zh-CN"/>
                    </w:rPr>
                  </w:pPr>
                  <w:r>
                    <w:rPr>
                      <w:rFonts w:hint="eastAsia"/>
                      <w:lang w:val="en-US" w:eastAsia="zh-CN"/>
                    </w:rPr>
                    <w:t>/</w:t>
                  </w:r>
                </w:p>
              </w:tc>
              <w:tc>
                <w:tcPr>
                  <w:tcW w:w="530" w:type="pct"/>
                  <w:tcBorders>
                    <w:tl2br w:val="nil"/>
                    <w:tr2bl w:val="nil"/>
                  </w:tcBorders>
                  <w:noWrap w:val="0"/>
                  <w:vAlign w:val="center"/>
                </w:tcPr>
                <w:p>
                  <w:pPr>
                    <w:pStyle w:val="69"/>
                    <w:bidi w:val="0"/>
                    <w:rPr>
                      <w:rFonts w:hint="default"/>
                      <w:lang w:val="en-US" w:eastAsia="zh-CN"/>
                    </w:rPr>
                  </w:pPr>
                  <w:r>
                    <w:rPr>
                      <w:rFonts w:hint="eastAsia"/>
                      <w:lang w:val="en-US" w:eastAsia="zh-CN"/>
                    </w:rPr>
                    <w:t>170</w:t>
                  </w:r>
                </w:p>
              </w:tc>
              <w:tc>
                <w:tcPr>
                  <w:tcW w:w="1110" w:type="pct"/>
                  <w:vMerge w:val="continue"/>
                  <w:tcBorders>
                    <w:bottom w:val="single" w:color="auto" w:sz="4" w:space="0"/>
                    <w:tl2br w:val="nil"/>
                    <w:tr2bl w:val="nil"/>
                  </w:tcBorders>
                  <w:noWrap w:val="0"/>
                  <w:vAlign w:val="center"/>
                </w:tcPr>
                <w:p>
                  <w:pPr>
                    <w:pStyle w:val="69"/>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jc w:val="center"/>
              </w:trPr>
              <w:tc>
                <w:tcPr>
                  <w:tcW w:w="473" w:type="pct"/>
                  <w:vMerge w:val="continue"/>
                  <w:tcBorders>
                    <w:tl2br w:val="nil"/>
                    <w:tr2bl w:val="nil"/>
                  </w:tcBorders>
                  <w:noWrap w:val="0"/>
                  <w:vAlign w:val="center"/>
                </w:tcPr>
                <w:p>
                  <w:pPr>
                    <w:pStyle w:val="69"/>
                    <w:bidi w:val="0"/>
                    <w:rPr>
                      <w:rFonts w:hint="default"/>
                      <w:lang w:val="en-US" w:eastAsia="zh-CN"/>
                    </w:rPr>
                  </w:pPr>
                </w:p>
              </w:tc>
              <w:tc>
                <w:tcPr>
                  <w:tcW w:w="429" w:type="pct"/>
                  <w:vMerge w:val="continue"/>
                  <w:tcBorders>
                    <w:tl2br w:val="nil"/>
                    <w:tr2bl w:val="nil"/>
                  </w:tcBorders>
                  <w:noWrap w:val="0"/>
                  <w:vAlign w:val="center"/>
                </w:tcPr>
                <w:p>
                  <w:pPr>
                    <w:pStyle w:val="69"/>
                    <w:bidi w:val="0"/>
                    <w:rPr>
                      <w:rFonts w:hint="default"/>
                      <w:lang w:val="en-US" w:eastAsia="zh-CN"/>
                    </w:rPr>
                  </w:pPr>
                </w:p>
              </w:tc>
              <w:tc>
                <w:tcPr>
                  <w:tcW w:w="1138" w:type="pct"/>
                  <w:tcBorders>
                    <w:tl2br w:val="nil"/>
                    <w:tr2bl w:val="nil"/>
                  </w:tcBorders>
                  <w:noWrap w:val="0"/>
                  <w:vAlign w:val="center"/>
                </w:tcPr>
                <w:p>
                  <w:pPr>
                    <w:pStyle w:val="69"/>
                    <w:bidi w:val="0"/>
                    <w:rPr>
                      <w:rFonts w:hint="eastAsia"/>
                      <w:lang w:val="en-US" w:eastAsia="zh-CN"/>
                    </w:rPr>
                  </w:pPr>
                  <w:r>
                    <w:rPr>
                      <w:rFonts w:hint="default"/>
                      <w:lang w:val="en-US" w:eastAsia="zh-CN"/>
                    </w:rPr>
                    <w:t>污泥、栅渣</w:t>
                  </w:r>
                </w:p>
              </w:tc>
              <w:tc>
                <w:tcPr>
                  <w:tcW w:w="865" w:type="pct"/>
                  <w:tcBorders>
                    <w:tl2br w:val="nil"/>
                    <w:tr2bl w:val="nil"/>
                  </w:tcBorders>
                  <w:noWrap w:val="0"/>
                  <w:vAlign w:val="center"/>
                </w:tcPr>
                <w:p>
                  <w:pPr>
                    <w:pStyle w:val="69"/>
                    <w:bidi w:val="0"/>
                    <w:rPr>
                      <w:rFonts w:hint="default"/>
                      <w:lang w:val="en-US" w:eastAsia="zh-CN"/>
                    </w:rPr>
                  </w:pPr>
                  <w:r>
                    <w:rPr>
                      <w:rFonts w:hint="eastAsia"/>
                      <w:lang w:val="en-US" w:eastAsia="zh-CN"/>
                    </w:rPr>
                    <w:t>135-001-S07</w:t>
                  </w:r>
                </w:p>
              </w:tc>
              <w:tc>
                <w:tcPr>
                  <w:tcW w:w="452" w:type="pct"/>
                  <w:tcBorders>
                    <w:tl2br w:val="nil"/>
                    <w:tr2bl w:val="nil"/>
                  </w:tcBorders>
                  <w:noWrap w:val="0"/>
                  <w:vAlign w:val="center"/>
                </w:tcPr>
                <w:p>
                  <w:pPr>
                    <w:pStyle w:val="69"/>
                    <w:bidi w:val="0"/>
                    <w:rPr>
                      <w:rFonts w:hint="eastAsia"/>
                      <w:lang w:val="en-US" w:eastAsia="zh-CN"/>
                    </w:rPr>
                  </w:pPr>
                  <w:r>
                    <w:rPr>
                      <w:rFonts w:hint="default"/>
                      <w:lang w:val="en-US" w:eastAsia="zh-CN"/>
                    </w:rPr>
                    <w:t>/</w:t>
                  </w:r>
                </w:p>
              </w:tc>
              <w:tc>
                <w:tcPr>
                  <w:tcW w:w="530" w:type="pct"/>
                  <w:tcBorders>
                    <w:tl2br w:val="nil"/>
                    <w:tr2bl w:val="nil"/>
                  </w:tcBorders>
                  <w:noWrap w:val="0"/>
                  <w:vAlign w:val="center"/>
                </w:tcPr>
                <w:p>
                  <w:pPr>
                    <w:pStyle w:val="69"/>
                    <w:bidi w:val="0"/>
                    <w:rPr>
                      <w:rFonts w:hint="default"/>
                      <w:lang w:val="en-US" w:eastAsia="zh-CN"/>
                    </w:rPr>
                  </w:pPr>
                  <w:r>
                    <w:rPr>
                      <w:rFonts w:hint="eastAsia"/>
                      <w:lang w:val="en-US" w:eastAsia="zh-CN"/>
                    </w:rPr>
                    <w:t>0.831</w:t>
                  </w:r>
                </w:p>
              </w:tc>
              <w:tc>
                <w:tcPr>
                  <w:tcW w:w="1110" w:type="pct"/>
                  <w:tcBorders>
                    <w:top w:val="single" w:color="auto" w:sz="4" w:space="0"/>
                    <w:tl2br w:val="nil"/>
                    <w:tr2bl w:val="nil"/>
                  </w:tcBorders>
                  <w:noWrap w:val="0"/>
                  <w:vAlign w:val="center"/>
                </w:tcPr>
                <w:p>
                  <w:pPr>
                    <w:pStyle w:val="69"/>
                    <w:bidi w:val="0"/>
                    <w:rPr>
                      <w:rFonts w:hint="default"/>
                      <w:lang w:val="en-US" w:eastAsia="zh-CN"/>
                    </w:rPr>
                  </w:pPr>
                  <w:r>
                    <w:rPr>
                      <w:rFonts w:hint="default"/>
                      <w:lang w:val="en-US" w:eastAsia="zh-CN"/>
                    </w:rPr>
                    <w:t>作为</w:t>
                  </w:r>
                  <w:r>
                    <w:rPr>
                      <w:rFonts w:hint="eastAsia"/>
                      <w:lang w:val="en-US" w:eastAsia="zh-CN"/>
                    </w:rPr>
                    <w:t>农家</w:t>
                  </w:r>
                  <w:r>
                    <w:rPr>
                      <w:rFonts w:hint="default"/>
                      <w:lang w:val="en-US" w:eastAsia="zh-CN"/>
                    </w:rPr>
                    <w:t>肥外售综合利用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73" w:type="pct"/>
                  <w:vMerge w:val="continue"/>
                  <w:tcBorders>
                    <w:tl2br w:val="nil"/>
                    <w:tr2bl w:val="nil"/>
                  </w:tcBorders>
                  <w:noWrap w:val="0"/>
                  <w:vAlign w:val="center"/>
                </w:tcPr>
                <w:p>
                  <w:pPr>
                    <w:pStyle w:val="69"/>
                    <w:bidi w:val="0"/>
                    <w:rPr>
                      <w:rFonts w:hint="default"/>
                      <w:lang w:val="en-US" w:eastAsia="zh-CN"/>
                    </w:rPr>
                  </w:pPr>
                </w:p>
              </w:tc>
              <w:tc>
                <w:tcPr>
                  <w:tcW w:w="429" w:type="pct"/>
                  <w:vMerge w:val="continue"/>
                  <w:tcBorders>
                    <w:tl2br w:val="nil"/>
                    <w:tr2bl w:val="nil"/>
                  </w:tcBorders>
                  <w:noWrap w:val="0"/>
                  <w:vAlign w:val="center"/>
                </w:tcPr>
                <w:p>
                  <w:pPr>
                    <w:pStyle w:val="69"/>
                    <w:bidi w:val="0"/>
                    <w:rPr>
                      <w:rFonts w:hint="default"/>
                      <w:lang w:val="en-US" w:eastAsia="zh-CN"/>
                    </w:rPr>
                  </w:pPr>
                </w:p>
              </w:tc>
              <w:tc>
                <w:tcPr>
                  <w:tcW w:w="1138" w:type="pct"/>
                  <w:tcBorders>
                    <w:tl2br w:val="nil"/>
                    <w:tr2bl w:val="nil"/>
                  </w:tcBorders>
                  <w:noWrap w:val="0"/>
                  <w:vAlign w:val="center"/>
                </w:tcPr>
                <w:p>
                  <w:pPr>
                    <w:pStyle w:val="69"/>
                    <w:bidi w:val="0"/>
                    <w:rPr>
                      <w:rFonts w:hint="default"/>
                      <w:lang w:val="en-US" w:eastAsia="zh-CN"/>
                    </w:rPr>
                  </w:pPr>
                  <w:r>
                    <w:rPr>
                      <w:rFonts w:hint="eastAsia"/>
                      <w:lang w:val="en-US" w:eastAsia="zh-CN"/>
                    </w:rPr>
                    <w:t>病死牛羊</w:t>
                  </w:r>
                </w:p>
              </w:tc>
              <w:tc>
                <w:tcPr>
                  <w:tcW w:w="865" w:type="pct"/>
                  <w:tcBorders>
                    <w:tl2br w:val="nil"/>
                    <w:tr2bl w:val="nil"/>
                  </w:tcBorders>
                  <w:noWrap w:val="0"/>
                  <w:vAlign w:val="center"/>
                </w:tcPr>
                <w:p>
                  <w:pPr>
                    <w:pStyle w:val="69"/>
                    <w:bidi w:val="0"/>
                    <w:rPr>
                      <w:rFonts w:hint="default"/>
                      <w:lang w:val="en-US" w:eastAsia="zh-CN"/>
                    </w:rPr>
                  </w:pPr>
                  <w:r>
                    <w:rPr>
                      <w:rFonts w:hint="default"/>
                      <w:lang w:val="en-US" w:eastAsia="zh-CN"/>
                    </w:rPr>
                    <w:t>030-002-S82</w:t>
                  </w:r>
                </w:p>
              </w:tc>
              <w:tc>
                <w:tcPr>
                  <w:tcW w:w="452" w:type="pct"/>
                  <w:tcBorders>
                    <w:tl2br w:val="nil"/>
                    <w:tr2bl w:val="nil"/>
                  </w:tcBorders>
                  <w:noWrap w:val="0"/>
                  <w:vAlign w:val="center"/>
                </w:tcPr>
                <w:p>
                  <w:pPr>
                    <w:pStyle w:val="69"/>
                    <w:bidi w:val="0"/>
                    <w:rPr>
                      <w:rFonts w:hint="default"/>
                      <w:lang w:val="en-US" w:eastAsia="zh-CN"/>
                    </w:rPr>
                  </w:pPr>
                  <w:r>
                    <w:rPr>
                      <w:rFonts w:hint="default"/>
                      <w:lang w:val="en-US" w:eastAsia="zh-CN"/>
                    </w:rPr>
                    <w:t>/</w:t>
                  </w:r>
                </w:p>
              </w:tc>
              <w:tc>
                <w:tcPr>
                  <w:tcW w:w="530" w:type="pct"/>
                  <w:tcBorders>
                    <w:tl2br w:val="nil"/>
                    <w:tr2bl w:val="nil"/>
                  </w:tcBorders>
                  <w:noWrap w:val="0"/>
                  <w:vAlign w:val="center"/>
                </w:tcPr>
                <w:p>
                  <w:pPr>
                    <w:pStyle w:val="69"/>
                    <w:bidi w:val="0"/>
                    <w:rPr>
                      <w:rFonts w:hint="default"/>
                      <w:lang w:val="en-US" w:eastAsia="zh-CN"/>
                    </w:rPr>
                  </w:pPr>
                  <w:r>
                    <w:rPr>
                      <w:rFonts w:hint="default"/>
                      <w:lang w:val="en-US" w:eastAsia="zh-CN"/>
                    </w:rPr>
                    <w:t>0.1</w:t>
                  </w:r>
                </w:p>
              </w:tc>
              <w:tc>
                <w:tcPr>
                  <w:tcW w:w="1110" w:type="pct"/>
                  <w:vMerge w:val="restart"/>
                  <w:tcBorders>
                    <w:tl2br w:val="nil"/>
                    <w:tr2bl w:val="nil"/>
                  </w:tcBorders>
                  <w:noWrap w:val="0"/>
                  <w:vAlign w:val="center"/>
                </w:tcPr>
                <w:p>
                  <w:pPr>
                    <w:pStyle w:val="69"/>
                    <w:bidi w:val="0"/>
                    <w:rPr>
                      <w:rFonts w:hint="default"/>
                      <w:lang w:val="en-US" w:eastAsia="zh-CN"/>
                    </w:rPr>
                  </w:pPr>
                  <w:r>
                    <w:rPr>
                      <w:rFonts w:hint="default"/>
                      <w:lang w:val="en-US" w:eastAsia="zh-CN"/>
                    </w:rPr>
                    <w:t>采用无害化处理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73" w:type="pct"/>
                  <w:vMerge w:val="continue"/>
                  <w:tcBorders>
                    <w:tl2br w:val="nil"/>
                    <w:tr2bl w:val="nil"/>
                  </w:tcBorders>
                  <w:noWrap w:val="0"/>
                  <w:vAlign w:val="center"/>
                </w:tcPr>
                <w:p>
                  <w:pPr>
                    <w:pStyle w:val="69"/>
                    <w:bidi w:val="0"/>
                    <w:rPr>
                      <w:rFonts w:hint="default"/>
                      <w:lang w:val="en-US" w:eastAsia="zh-CN"/>
                    </w:rPr>
                  </w:pPr>
                </w:p>
              </w:tc>
              <w:tc>
                <w:tcPr>
                  <w:tcW w:w="429" w:type="pct"/>
                  <w:vMerge w:val="continue"/>
                  <w:tcBorders>
                    <w:tl2br w:val="nil"/>
                    <w:tr2bl w:val="nil"/>
                  </w:tcBorders>
                  <w:noWrap w:val="0"/>
                  <w:vAlign w:val="center"/>
                </w:tcPr>
                <w:p>
                  <w:pPr>
                    <w:pStyle w:val="69"/>
                    <w:bidi w:val="0"/>
                    <w:rPr>
                      <w:rFonts w:hint="eastAsia"/>
                      <w:lang w:val="en-US" w:eastAsia="zh-CN"/>
                    </w:rPr>
                  </w:pPr>
                </w:p>
              </w:tc>
              <w:tc>
                <w:tcPr>
                  <w:tcW w:w="1138" w:type="pct"/>
                  <w:tcBorders>
                    <w:tl2br w:val="nil"/>
                    <w:tr2bl w:val="nil"/>
                  </w:tcBorders>
                  <w:noWrap w:val="0"/>
                  <w:vAlign w:val="center"/>
                </w:tcPr>
                <w:p>
                  <w:pPr>
                    <w:pStyle w:val="69"/>
                    <w:bidi w:val="0"/>
                    <w:rPr>
                      <w:rFonts w:hint="default"/>
                      <w:lang w:val="en-US" w:eastAsia="zh-CN"/>
                    </w:rPr>
                  </w:pPr>
                  <w:r>
                    <w:rPr>
                      <w:rFonts w:hint="default"/>
                      <w:lang w:val="en-US" w:eastAsia="zh-CN"/>
                    </w:rPr>
                    <w:t>检疫残肉</w:t>
                  </w:r>
                </w:p>
              </w:tc>
              <w:tc>
                <w:tcPr>
                  <w:tcW w:w="865" w:type="pct"/>
                  <w:tcBorders>
                    <w:tl2br w:val="nil"/>
                    <w:tr2bl w:val="nil"/>
                  </w:tcBorders>
                  <w:noWrap w:val="0"/>
                  <w:vAlign w:val="center"/>
                </w:tcPr>
                <w:p>
                  <w:pPr>
                    <w:pStyle w:val="69"/>
                    <w:bidi w:val="0"/>
                    <w:rPr>
                      <w:rFonts w:hint="default"/>
                      <w:lang w:val="en-US" w:eastAsia="zh-CN"/>
                    </w:rPr>
                  </w:pPr>
                  <w:r>
                    <w:rPr>
                      <w:rFonts w:hint="default"/>
                      <w:lang w:val="en-US" w:eastAsia="zh-CN"/>
                    </w:rPr>
                    <w:t>135-001-S13</w:t>
                  </w:r>
                </w:p>
              </w:tc>
              <w:tc>
                <w:tcPr>
                  <w:tcW w:w="452" w:type="pct"/>
                  <w:tcBorders>
                    <w:tl2br w:val="nil"/>
                    <w:tr2bl w:val="nil"/>
                  </w:tcBorders>
                  <w:noWrap w:val="0"/>
                  <w:vAlign w:val="center"/>
                </w:tcPr>
                <w:p>
                  <w:pPr>
                    <w:pStyle w:val="69"/>
                    <w:bidi w:val="0"/>
                    <w:rPr>
                      <w:rFonts w:hint="default"/>
                      <w:lang w:val="en-US" w:eastAsia="zh-CN"/>
                    </w:rPr>
                  </w:pPr>
                  <w:r>
                    <w:rPr>
                      <w:rFonts w:hint="eastAsia"/>
                      <w:lang w:val="en-US" w:eastAsia="zh-CN"/>
                    </w:rPr>
                    <w:t>/</w:t>
                  </w:r>
                </w:p>
              </w:tc>
              <w:tc>
                <w:tcPr>
                  <w:tcW w:w="530" w:type="pct"/>
                  <w:tcBorders>
                    <w:tl2br w:val="nil"/>
                    <w:tr2bl w:val="nil"/>
                  </w:tcBorders>
                  <w:noWrap w:val="0"/>
                  <w:vAlign w:val="center"/>
                </w:tcPr>
                <w:p>
                  <w:pPr>
                    <w:pStyle w:val="69"/>
                    <w:bidi w:val="0"/>
                    <w:rPr>
                      <w:rFonts w:hint="default"/>
                      <w:lang w:val="en-US" w:eastAsia="zh-CN"/>
                    </w:rPr>
                  </w:pPr>
                  <w:r>
                    <w:rPr>
                      <w:rFonts w:hint="eastAsia"/>
                      <w:lang w:val="en-US" w:eastAsia="zh-CN"/>
                    </w:rPr>
                    <w:t>0.099</w:t>
                  </w:r>
                </w:p>
              </w:tc>
              <w:tc>
                <w:tcPr>
                  <w:tcW w:w="1110" w:type="pct"/>
                  <w:vMerge w:val="continue"/>
                  <w:tcBorders>
                    <w:tl2br w:val="nil"/>
                    <w:tr2bl w:val="nil"/>
                  </w:tcBorders>
                  <w:noWrap w:val="0"/>
                  <w:vAlign w:val="center"/>
                </w:tcPr>
                <w:p>
                  <w:pPr>
                    <w:pStyle w:val="69"/>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73" w:type="pct"/>
                  <w:vMerge w:val="continue"/>
                  <w:tcBorders>
                    <w:tl2br w:val="nil"/>
                    <w:tr2bl w:val="nil"/>
                  </w:tcBorders>
                  <w:noWrap w:val="0"/>
                  <w:vAlign w:val="center"/>
                </w:tcPr>
                <w:p>
                  <w:pPr>
                    <w:pStyle w:val="69"/>
                    <w:bidi w:val="0"/>
                    <w:rPr>
                      <w:rFonts w:hint="default"/>
                      <w:lang w:val="en-US" w:eastAsia="zh-CN"/>
                    </w:rPr>
                  </w:pPr>
                </w:p>
              </w:tc>
              <w:tc>
                <w:tcPr>
                  <w:tcW w:w="429" w:type="pct"/>
                  <w:vMerge w:val="continue"/>
                  <w:tcBorders>
                    <w:tl2br w:val="nil"/>
                    <w:tr2bl w:val="nil"/>
                  </w:tcBorders>
                  <w:noWrap w:val="0"/>
                  <w:vAlign w:val="center"/>
                </w:tcPr>
                <w:p>
                  <w:pPr>
                    <w:pStyle w:val="69"/>
                    <w:bidi w:val="0"/>
                    <w:rPr>
                      <w:rFonts w:hint="default"/>
                      <w:lang w:val="en-US" w:eastAsia="zh-CN"/>
                    </w:rPr>
                  </w:pPr>
                </w:p>
              </w:tc>
              <w:tc>
                <w:tcPr>
                  <w:tcW w:w="1138" w:type="pct"/>
                  <w:tcBorders>
                    <w:tl2br w:val="nil"/>
                    <w:tr2bl w:val="nil"/>
                  </w:tcBorders>
                  <w:noWrap w:val="0"/>
                  <w:vAlign w:val="center"/>
                </w:tcPr>
                <w:p>
                  <w:pPr>
                    <w:pStyle w:val="69"/>
                    <w:bidi w:val="0"/>
                    <w:rPr>
                      <w:rFonts w:hint="eastAsia"/>
                      <w:lang w:val="en-US" w:eastAsia="zh-CN"/>
                    </w:rPr>
                  </w:pPr>
                  <w:r>
                    <w:rPr>
                      <w:rFonts w:hint="eastAsia"/>
                      <w:lang w:val="en-US" w:eastAsia="zh-CN"/>
                    </w:rPr>
                    <w:t>不可食用内脏</w:t>
                  </w:r>
                </w:p>
              </w:tc>
              <w:tc>
                <w:tcPr>
                  <w:tcW w:w="865" w:type="pct"/>
                  <w:tcBorders>
                    <w:tl2br w:val="nil"/>
                    <w:tr2bl w:val="nil"/>
                  </w:tcBorders>
                  <w:noWrap w:val="0"/>
                  <w:vAlign w:val="center"/>
                </w:tcPr>
                <w:p>
                  <w:pPr>
                    <w:pStyle w:val="69"/>
                    <w:bidi w:val="0"/>
                    <w:rPr>
                      <w:rFonts w:hint="eastAsia"/>
                      <w:lang w:val="en-US" w:eastAsia="zh-CN"/>
                    </w:rPr>
                  </w:pPr>
                  <w:r>
                    <w:rPr>
                      <w:rFonts w:hint="eastAsia"/>
                      <w:lang w:val="en-US" w:eastAsia="zh-CN"/>
                    </w:rPr>
                    <w:t>135-001-S13</w:t>
                  </w:r>
                </w:p>
              </w:tc>
              <w:tc>
                <w:tcPr>
                  <w:tcW w:w="452" w:type="pct"/>
                  <w:tcBorders>
                    <w:tl2br w:val="nil"/>
                    <w:tr2bl w:val="nil"/>
                  </w:tcBorders>
                  <w:noWrap w:val="0"/>
                  <w:vAlign w:val="center"/>
                </w:tcPr>
                <w:p>
                  <w:pPr>
                    <w:pStyle w:val="69"/>
                    <w:bidi w:val="0"/>
                    <w:rPr>
                      <w:rFonts w:hint="default"/>
                      <w:lang w:val="en-US" w:eastAsia="zh-CN"/>
                    </w:rPr>
                  </w:pPr>
                  <w:r>
                    <w:rPr>
                      <w:rFonts w:hint="eastAsia"/>
                      <w:lang w:val="en-US" w:eastAsia="zh-CN"/>
                    </w:rPr>
                    <w:t>/</w:t>
                  </w:r>
                </w:p>
              </w:tc>
              <w:tc>
                <w:tcPr>
                  <w:tcW w:w="530" w:type="pct"/>
                  <w:tcBorders>
                    <w:tl2br w:val="nil"/>
                    <w:tr2bl w:val="nil"/>
                  </w:tcBorders>
                  <w:noWrap w:val="0"/>
                  <w:vAlign w:val="center"/>
                </w:tcPr>
                <w:p>
                  <w:pPr>
                    <w:pStyle w:val="69"/>
                    <w:bidi w:val="0"/>
                    <w:rPr>
                      <w:rFonts w:hint="default"/>
                      <w:lang w:val="en-US" w:eastAsia="zh-CN"/>
                    </w:rPr>
                  </w:pPr>
                  <w:r>
                    <w:rPr>
                      <w:rFonts w:hint="eastAsia"/>
                      <w:lang w:val="en-US" w:eastAsia="zh-CN"/>
                    </w:rPr>
                    <w:t>25</w:t>
                  </w:r>
                </w:p>
              </w:tc>
              <w:tc>
                <w:tcPr>
                  <w:tcW w:w="1110" w:type="pct"/>
                  <w:vMerge w:val="continue"/>
                  <w:tcBorders>
                    <w:tl2br w:val="nil"/>
                    <w:tr2bl w:val="nil"/>
                  </w:tcBorders>
                  <w:noWrap w:val="0"/>
                  <w:vAlign w:val="center"/>
                </w:tcPr>
                <w:p>
                  <w:pPr>
                    <w:pStyle w:val="69"/>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1" w:hRule="atLeast"/>
                <w:jc w:val="center"/>
              </w:trPr>
              <w:tc>
                <w:tcPr>
                  <w:tcW w:w="473" w:type="pct"/>
                  <w:vMerge w:val="continue"/>
                  <w:tcBorders>
                    <w:tl2br w:val="nil"/>
                    <w:tr2bl w:val="nil"/>
                  </w:tcBorders>
                  <w:noWrap w:val="0"/>
                  <w:vAlign w:val="center"/>
                </w:tcPr>
                <w:p>
                  <w:pPr>
                    <w:pStyle w:val="69"/>
                    <w:bidi w:val="0"/>
                    <w:rPr>
                      <w:rFonts w:hint="default"/>
                      <w:lang w:val="en-US" w:eastAsia="zh-CN"/>
                    </w:rPr>
                  </w:pPr>
                </w:p>
              </w:tc>
              <w:tc>
                <w:tcPr>
                  <w:tcW w:w="429" w:type="pct"/>
                  <w:tcBorders>
                    <w:left w:val="single" w:color="auto" w:sz="4" w:space="0"/>
                    <w:right w:val="single" w:color="auto" w:sz="4" w:space="0"/>
                    <w:tl2br w:val="nil"/>
                    <w:tr2bl w:val="nil"/>
                  </w:tcBorders>
                  <w:noWrap w:val="0"/>
                  <w:vAlign w:val="center"/>
                </w:tcPr>
                <w:p>
                  <w:pPr>
                    <w:pStyle w:val="69"/>
                    <w:bidi w:val="0"/>
                    <w:rPr>
                      <w:rFonts w:hint="default"/>
                      <w:lang w:val="en-US" w:eastAsia="zh-CN"/>
                    </w:rPr>
                  </w:pPr>
                  <w:r>
                    <w:rPr>
                      <w:rFonts w:hint="eastAsia"/>
                      <w:lang w:val="en-US" w:eastAsia="zh-CN"/>
                    </w:rPr>
                    <w:t>危险废物</w:t>
                  </w:r>
                </w:p>
              </w:tc>
              <w:tc>
                <w:tcPr>
                  <w:tcW w:w="1138" w:type="pct"/>
                  <w:tcBorders>
                    <w:left w:val="single" w:color="auto" w:sz="4" w:space="0"/>
                    <w:tl2br w:val="nil"/>
                    <w:tr2bl w:val="nil"/>
                  </w:tcBorders>
                  <w:noWrap w:val="0"/>
                  <w:vAlign w:val="center"/>
                </w:tcPr>
                <w:p>
                  <w:pPr>
                    <w:keepNext w:val="0"/>
                    <w:keepLines w:val="0"/>
                    <w:suppressLineNumbers w:val="0"/>
                    <w:bidi w:val="0"/>
                    <w:spacing w:before="0" w:beforeAutospacing="0" w:after="0" w:afterAutospacing="0"/>
                    <w:ind w:left="0" w:leftChars="0" w:right="0" w:rightChars="0"/>
                    <w:jc w:val="center"/>
                    <w:rPr>
                      <w:rFonts w:hint="eastAsia"/>
                      <w:lang w:val="en-US" w:eastAsia="zh-CN"/>
                    </w:rPr>
                  </w:pPr>
                  <w:r>
                    <w:rPr>
                      <w:rFonts w:hint="default"/>
                      <w:lang w:val="en-US" w:eastAsia="zh-CN"/>
                    </w:rPr>
                    <w:t>废润滑油及废润滑油桶</w:t>
                  </w:r>
                </w:p>
              </w:tc>
              <w:tc>
                <w:tcPr>
                  <w:tcW w:w="865" w:type="pct"/>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jc w:val="center"/>
                    <w:rPr>
                      <w:rFonts w:hint="default" w:cs="Times New Roman"/>
                      <w:lang w:val="en-US" w:eastAsia="zh-CN"/>
                    </w:rPr>
                  </w:pPr>
                  <w:r>
                    <w:rPr>
                      <w:rFonts w:hint="default" w:cs="Times New Roman"/>
                      <w:lang w:val="en-US" w:eastAsia="zh-CN"/>
                    </w:rPr>
                    <w:t>HW08</w:t>
                  </w:r>
                  <w:r>
                    <w:rPr>
                      <w:rFonts w:hint="eastAsia" w:cs="Times New Roman"/>
                      <w:lang w:val="en-US" w:eastAsia="zh-CN"/>
                    </w:rPr>
                    <w:t xml:space="preserve"> </w:t>
                  </w:r>
                  <w:r>
                    <w:rPr>
                      <w:rFonts w:hint="default" w:cs="Times New Roman"/>
                      <w:lang w:val="en-US" w:eastAsia="zh-CN"/>
                    </w:rPr>
                    <w:t>900-214-08</w:t>
                  </w:r>
                </w:p>
                <w:p>
                  <w:pPr>
                    <w:keepNext w:val="0"/>
                    <w:keepLines w:val="0"/>
                    <w:suppressLineNumbers w:val="0"/>
                    <w:bidi w:val="0"/>
                    <w:spacing w:before="0" w:beforeAutospacing="0" w:after="0" w:afterAutospacing="0"/>
                    <w:ind w:left="0" w:leftChars="0" w:right="0" w:rightChars="0"/>
                    <w:jc w:val="center"/>
                    <w:rPr>
                      <w:rFonts w:hint="eastAsia" w:cs="Times New Roman"/>
                      <w:lang w:val="en-US" w:eastAsia="zh-CN"/>
                    </w:rPr>
                  </w:pPr>
                  <w:r>
                    <w:rPr>
                      <w:rFonts w:hint="default" w:cs="Times New Roman"/>
                      <w:lang w:val="en-US" w:eastAsia="zh-CN"/>
                    </w:rPr>
                    <w:t>HW08</w:t>
                  </w:r>
                  <w:r>
                    <w:rPr>
                      <w:rFonts w:hint="eastAsia" w:cs="Times New Roman"/>
                      <w:lang w:val="en-US" w:eastAsia="zh-CN"/>
                    </w:rPr>
                    <w:t xml:space="preserve"> 900-249-08</w:t>
                  </w:r>
                </w:p>
              </w:tc>
              <w:tc>
                <w:tcPr>
                  <w:tcW w:w="452" w:type="pct"/>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jc w:val="center"/>
                    <w:rPr>
                      <w:rFonts w:hint="default"/>
                      <w:lang w:val="en-US" w:eastAsia="zh-CN"/>
                    </w:rPr>
                  </w:pPr>
                  <w:r>
                    <w:rPr>
                      <w:rFonts w:hint="default" w:ascii="Times New Roman" w:hAnsi="Times New Roman" w:eastAsia="宋体" w:cs="Times New Roman"/>
                      <w:color w:val="000000"/>
                      <w:kern w:val="0"/>
                      <w:sz w:val="21"/>
                      <w:szCs w:val="21"/>
                      <w:lang w:val="en-US" w:eastAsia="zh-CN" w:bidi="ar"/>
                    </w:rPr>
                    <w:t>T</w:t>
                  </w:r>
                  <w:r>
                    <w:rPr>
                      <w:rFonts w:hint="eastAsia"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I</w:t>
                  </w:r>
                </w:p>
              </w:tc>
              <w:tc>
                <w:tcPr>
                  <w:tcW w:w="530" w:type="pct"/>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jc w:val="center"/>
                    <w:rPr>
                      <w:rFonts w:hint="default"/>
                      <w:lang w:val="en-US" w:eastAsia="zh-CN"/>
                    </w:rPr>
                  </w:pPr>
                  <w:r>
                    <w:rPr>
                      <w:rFonts w:hint="eastAsia"/>
                      <w:lang w:val="en-US" w:eastAsia="zh-CN"/>
                    </w:rPr>
                    <w:t>0.5</w:t>
                  </w:r>
                </w:p>
              </w:tc>
              <w:tc>
                <w:tcPr>
                  <w:tcW w:w="1110" w:type="pct"/>
                  <w:tcBorders>
                    <w:tl2br w:val="nil"/>
                    <w:tr2bl w:val="nil"/>
                  </w:tcBorders>
                  <w:noWrap w:val="0"/>
                  <w:vAlign w:val="center"/>
                </w:tcPr>
                <w:p>
                  <w:pPr>
                    <w:pStyle w:val="69"/>
                    <w:bidi w:val="0"/>
                    <w:rPr>
                      <w:rFonts w:hint="default"/>
                      <w:lang w:val="en-US" w:eastAsia="zh-CN"/>
                    </w:rPr>
                  </w:pPr>
                  <w:r>
                    <w:rPr>
                      <w:rFonts w:hint="eastAsia" w:cs="Times New Roman"/>
                      <w:lang w:val="en-US" w:eastAsia="zh-CN"/>
                    </w:rPr>
                    <w:t>暂存于危险废物贮存点，定期交由有资质单位处置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73" w:type="pct"/>
                  <w:vMerge w:val="continue"/>
                  <w:tcBorders>
                    <w:tl2br w:val="nil"/>
                    <w:tr2bl w:val="nil"/>
                  </w:tcBorders>
                  <w:noWrap w:val="0"/>
                  <w:vAlign w:val="center"/>
                </w:tcPr>
                <w:p>
                  <w:pPr>
                    <w:pStyle w:val="69"/>
                    <w:bidi w:val="0"/>
                    <w:rPr>
                      <w:rFonts w:hint="default"/>
                      <w:lang w:val="en-US" w:eastAsia="zh-CN"/>
                    </w:rPr>
                  </w:pPr>
                </w:p>
              </w:tc>
              <w:tc>
                <w:tcPr>
                  <w:tcW w:w="1567" w:type="pct"/>
                  <w:gridSpan w:val="2"/>
                  <w:tcBorders>
                    <w:left w:val="single" w:color="auto" w:sz="4" w:space="0"/>
                    <w:tl2br w:val="nil"/>
                    <w:tr2bl w:val="nil"/>
                  </w:tcBorders>
                  <w:noWrap w:val="0"/>
                  <w:vAlign w:val="center"/>
                </w:tcPr>
                <w:p>
                  <w:pPr>
                    <w:pStyle w:val="69"/>
                    <w:bidi w:val="0"/>
                    <w:rPr>
                      <w:rFonts w:hint="eastAsia"/>
                      <w:lang w:val="en-US" w:eastAsia="zh-CN"/>
                    </w:rPr>
                  </w:pPr>
                  <w:r>
                    <w:rPr>
                      <w:rFonts w:hint="eastAsia"/>
                      <w:lang w:val="en-US" w:eastAsia="zh-CN"/>
                    </w:rPr>
                    <w:t>生活垃圾</w:t>
                  </w:r>
                </w:p>
              </w:tc>
              <w:tc>
                <w:tcPr>
                  <w:tcW w:w="865" w:type="pct"/>
                  <w:tcBorders>
                    <w:tl2br w:val="nil"/>
                    <w:tr2bl w:val="nil"/>
                  </w:tcBorders>
                  <w:noWrap w:val="0"/>
                  <w:vAlign w:val="center"/>
                </w:tcPr>
                <w:p>
                  <w:pPr>
                    <w:pStyle w:val="69"/>
                    <w:bidi w:val="0"/>
                    <w:rPr>
                      <w:rFonts w:hint="eastAsia"/>
                      <w:lang w:val="en-US" w:eastAsia="zh-CN"/>
                    </w:rPr>
                  </w:pPr>
                  <w:r>
                    <w:rPr>
                      <w:rFonts w:hint="eastAsia"/>
                      <w:lang w:val="en-US" w:eastAsia="zh-CN"/>
                    </w:rPr>
                    <w:t>900-001-S61</w:t>
                  </w:r>
                </w:p>
                <w:p>
                  <w:pPr>
                    <w:pStyle w:val="69"/>
                    <w:bidi w:val="0"/>
                    <w:rPr>
                      <w:rFonts w:hint="eastAsia"/>
                      <w:lang w:val="en-US" w:eastAsia="zh-CN"/>
                    </w:rPr>
                  </w:pPr>
                  <w:r>
                    <w:rPr>
                      <w:rFonts w:hint="eastAsia"/>
                      <w:lang w:val="en-US" w:eastAsia="zh-CN"/>
                    </w:rPr>
                    <w:t>900-001-S62</w:t>
                  </w:r>
                </w:p>
                <w:p>
                  <w:pPr>
                    <w:pStyle w:val="69"/>
                    <w:bidi w:val="0"/>
                    <w:rPr>
                      <w:rFonts w:hint="default"/>
                      <w:lang w:val="en-US" w:eastAsia="zh-CN"/>
                    </w:rPr>
                  </w:pPr>
                  <w:r>
                    <w:rPr>
                      <w:rFonts w:hint="eastAsia"/>
                      <w:lang w:val="en-US" w:eastAsia="zh-CN"/>
                    </w:rPr>
                    <w:t>900-002-S62</w:t>
                  </w:r>
                </w:p>
              </w:tc>
              <w:tc>
                <w:tcPr>
                  <w:tcW w:w="452" w:type="pct"/>
                  <w:tcBorders>
                    <w:tl2br w:val="nil"/>
                    <w:tr2bl w:val="nil"/>
                  </w:tcBorders>
                  <w:noWrap w:val="0"/>
                  <w:vAlign w:val="center"/>
                </w:tcPr>
                <w:p>
                  <w:pPr>
                    <w:pStyle w:val="69"/>
                    <w:bidi w:val="0"/>
                    <w:rPr>
                      <w:rFonts w:hint="default"/>
                      <w:lang w:val="en-US" w:eastAsia="zh-CN"/>
                    </w:rPr>
                  </w:pPr>
                  <w:r>
                    <w:rPr>
                      <w:rFonts w:hint="eastAsia"/>
                      <w:lang w:val="en-US" w:eastAsia="zh-CN"/>
                    </w:rPr>
                    <w:t>/</w:t>
                  </w:r>
                </w:p>
              </w:tc>
              <w:tc>
                <w:tcPr>
                  <w:tcW w:w="530" w:type="pct"/>
                  <w:tcBorders>
                    <w:tl2br w:val="nil"/>
                    <w:tr2bl w:val="nil"/>
                  </w:tcBorders>
                  <w:noWrap w:val="0"/>
                  <w:vAlign w:val="center"/>
                </w:tcPr>
                <w:p>
                  <w:pPr>
                    <w:pStyle w:val="69"/>
                    <w:bidi w:val="0"/>
                    <w:rPr>
                      <w:rFonts w:hint="default"/>
                      <w:lang w:val="en-US" w:eastAsia="zh-CN"/>
                    </w:rPr>
                  </w:pPr>
                  <w:r>
                    <w:rPr>
                      <w:rFonts w:hint="eastAsia"/>
                      <w:lang w:val="en-US" w:eastAsia="zh-CN"/>
                    </w:rPr>
                    <w:t>3</w:t>
                  </w:r>
                </w:p>
              </w:tc>
              <w:tc>
                <w:tcPr>
                  <w:tcW w:w="1110" w:type="pct"/>
                  <w:tcBorders>
                    <w:tl2br w:val="nil"/>
                    <w:tr2bl w:val="nil"/>
                  </w:tcBorders>
                  <w:noWrap w:val="0"/>
                  <w:vAlign w:val="center"/>
                </w:tcPr>
                <w:p>
                  <w:pPr>
                    <w:pStyle w:val="69"/>
                    <w:bidi w:val="0"/>
                    <w:rPr>
                      <w:rFonts w:hint="default"/>
                      <w:lang w:val="en-US" w:eastAsia="zh-CN"/>
                    </w:rPr>
                  </w:pPr>
                  <w:r>
                    <w:rPr>
                      <w:rFonts w:hint="default"/>
                      <w:lang w:val="en-US" w:eastAsia="zh-CN"/>
                    </w:rPr>
                    <w:t>收集后由环卫部门定期清运处理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73" w:type="pct"/>
                  <w:vMerge w:val="continue"/>
                  <w:tcBorders>
                    <w:tl2br w:val="nil"/>
                    <w:tr2bl w:val="nil"/>
                  </w:tcBorders>
                  <w:noWrap w:val="0"/>
                  <w:vAlign w:val="center"/>
                </w:tcPr>
                <w:p>
                  <w:pPr>
                    <w:pStyle w:val="69"/>
                    <w:bidi w:val="0"/>
                    <w:rPr>
                      <w:rFonts w:hint="default"/>
                      <w:lang w:val="en-US" w:eastAsia="zh-CN"/>
                    </w:rPr>
                  </w:pPr>
                </w:p>
              </w:tc>
              <w:tc>
                <w:tcPr>
                  <w:tcW w:w="1567" w:type="pct"/>
                  <w:gridSpan w:val="2"/>
                  <w:tcBorders>
                    <w:left w:val="single" w:color="auto" w:sz="4" w:space="0"/>
                    <w:tl2br w:val="nil"/>
                    <w:tr2bl w:val="nil"/>
                  </w:tcBorders>
                  <w:noWrap w:val="0"/>
                  <w:vAlign w:val="center"/>
                </w:tcPr>
                <w:p>
                  <w:pPr>
                    <w:pStyle w:val="69"/>
                    <w:bidi w:val="0"/>
                    <w:rPr>
                      <w:rFonts w:hint="eastAsia"/>
                      <w:lang w:val="en-US" w:eastAsia="zh-CN"/>
                    </w:rPr>
                  </w:pPr>
                  <w:r>
                    <w:rPr>
                      <w:rFonts w:hint="eastAsia"/>
                      <w:lang w:val="en-US" w:eastAsia="zh-CN"/>
                    </w:rPr>
                    <w:t>废弃卫生检疫用品</w:t>
                  </w:r>
                </w:p>
              </w:tc>
              <w:tc>
                <w:tcPr>
                  <w:tcW w:w="865" w:type="pct"/>
                  <w:tcBorders>
                    <w:tl2br w:val="nil"/>
                    <w:tr2bl w:val="nil"/>
                  </w:tcBorders>
                  <w:noWrap w:val="0"/>
                  <w:vAlign w:val="center"/>
                </w:tcPr>
                <w:p>
                  <w:pPr>
                    <w:pStyle w:val="69"/>
                    <w:bidi w:val="0"/>
                    <w:rPr>
                      <w:rFonts w:hint="eastAsia"/>
                      <w:lang w:val="en-US" w:eastAsia="zh-CN"/>
                    </w:rPr>
                  </w:pPr>
                  <w:r>
                    <w:rPr>
                      <w:rFonts w:hint="eastAsia"/>
                      <w:lang w:val="en-US" w:eastAsia="zh-CN"/>
                    </w:rPr>
                    <w:t>/</w:t>
                  </w:r>
                </w:p>
              </w:tc>
              <w:tc>
                <w:tcPr>
                  <w:tcW w:w="452" w:type="pct"/>
                  <w:tcBorders>
                    <w:tl2br w:val="nil"/>
                    <w:tr2bl w:val="nil"/>
                  </w:tcBorders>
                  <w:noWrap w:val="0"/>
                  <w:vAlign w:val="center"/>
                </w:tcPr>
                <w:p>
                  <w:pPr>
                    <w:pStyle w:val="69"/>
                    <w:bidi w:val="0"/>
                    <w:rPr>
                      <w:rFonts w:hint="eastAsia"/>
                      <w:lang w:val="en-US" w:eastAsia="zh-CN"/>
                    </w:rPr>
                  </w:pPr>
                  <w:r>
                    <w:rPr>
                      <w:rFonts w:hint="eastAsia"/>
                      <w:lang w:val="en-US" w:eastAsia="zh-CN"/>
                    </w:rPr>
                    <w:t>/</w:t>
                  </w:r>
                </w:p>
              </w:tc>
              <w:tc>
                <w:tcPr>
                  <w:tcW w:w="530" w:type="pct"/>
                  <w:tcBorders>
                    <w:tl2br w:val="nil"/>
                    <w:tr2bl w:val="nil"/>
                  </w:tcBorders>
                  <w:noWrap w:val="0"/>
                  <w:vAlign w:val="center"/>
                </w:tcPr>
                <w:p>
                  <w:pPr>
                    <w:pStyle w:val="69"/>
                    <w:bidi w:val="0"/>
                    <w:rPr>
                      <w:rFonts w:hint="eastAsia"/>
                      <w:lang w:val="en-US" w:eastAsia="zh-CN"/>
                    </w:rPr>
                  </w:pPr>
                  <w:r>
                    <w:rPr>
                      <w:rFonts w:hint="eastAsia"/>
                      <w:lang w:val="en-US" w:eastAsia="zh-CN"/>
                    </w:rPr>
                    <w:t>0.1</w:t>
                  </w:r>
                </w:p>
              </w:tc>
              <w:tc>
                <w:tcPr>
                  <w:tcW w:w="1110" w:type="pct"/>
                  <w:tcBorders>
                    <w:tl2br w:val="nil"/>
                    <w:tr2bl w:val="nil"/>
                  </w:tcBorders>
                  <w:noWrap w:val="0"/>
                  <w:vAlign w:val="center"/>
                </w:tcPr>
                <w:p>
                  <w:pPr>
                    <w:pStyle w:val="69"/>
                    <w:bidi w:val="0"/>
                    <w:rPr>
                      <w:rFonts w:hint="default"/>
                      <w:lang w:val="en-US" w:eastAsia="zh-CN"/>
                    </w:rPr>
                  </w:pPr>
                  <w:r>
                    <w:rPr>
                      <w:rFonts w:hint="eastAsia" w:ascii="Times New Roman" w:hAnsi="Times New Roman" w:eastAsia="宋体" w:cs="Times New Roman"/>
                      <w:lang w:val="en-US" w:eastAsia="zh-CN"/>
                    </w:rPr>
                    <w:t>分类暂存集中拉运至一般固废处置场所</w:t>
                  </w:r>
                </w:p>
              </w:tc>
            </w:tr>
          </w:tbl>
          <w:p>
            <w:pPr>
              <w:pStyle w:val="2"/>
              <w:bidi w:val="0"/>
              <w:rPr>
                <w:rFonts w:hint="default"/>
                <w:lang w:val="en-US" w:eastAsia="zh-CN"/>
              </w:rPr>
            </w:pPr>
            <w:r>
              <w:rPr>
                <w:rFonts w:hint="eastAsia"/>
                <w:lang w:val="en-US" w:eastAsia="zh-CN"/>
              </w:rPr>
              <w:t>‌4.2一般固废暂存</w:t>
            </w:r>
            <w:r>
              <w:rPr>
                <w:rFonts w:hint="default"/>
                <w:lang w:val="en-US" w:eastAsia="zh-CN"/>
              </w:rPr>
              <w:t>场所环境影响分析</w:t>
            </w:r>
          </w:p>
          <w:p>
            <w:pPr>
              <w:pStyle w:val="71"/>
              <w:bidi w:val="0"/>
              <w:rPr>
                <w:rFonts w:hint="eastAsia"/>
                <w:lang w:val="en-US" w:eastAsia="zh-CN"/>
              </w:rPr>
            </w:pPr>
            <w:r>
              <w:rPr>
                <w:rFonts w:hint="eastAsia"/>
                <w:lang w:val="en-US" w:eastAsia="zh-CN"/>
              </w:rPr>
              <w:t>本项目产生的固体废物对环境的影响主要表现在固废厂内处理、周转及临时贮存过程。</w:t>
            </w:r>
          </w:p>
          <w:p>
            <w:pPr>
              <w:pStyle w:val="71"/>
              <w:numPr>
                <w:ilvl w:val="0"/>
                <w:numId w:val="3"/>
              </w:numPr>
              <w:bidi w:val="0"/>
              <w:rPr>
                <w:rFonts w:hint="eastAsia"/>
                <w:lang w:val="en-US" w:eastAsia="zh-CN"/>
              </w:rPr>
            </w:pPr>
            <w:r>
              <w:rPr>
                <w:rFonts w:hint="eastAsia"/>
                <w:lang w:val="en-US" w:eastAsia="zh-CN"/>
              </w:rPr>
              <w:t>贮存过程对环境的影响</w:t>
            </w:r>
          </w:p>
          <w:p>
            <w:pPr>
              <w:pStyle w:val="71"/>
              <w:bidi w:val="0"/>
              <w:rPr>
                <w:rFonts w:hint="default"/>
                <w:lang w:val="en-US" w:eastAsia="zh-CN"/>
              </w:rPr>
            </w:pPr>
            <w:r>
              <w:rPr>
                <w:rFonts w:hint="default"/>
                <w:lang w:val="en-US" w:eastAsia="zh-CN"/>
              </w:rPr>
              <w:t>牛羊粪便和肠胃内容物、污泥、栅渣等固废容易散发恶臭，如不及时清运，遇水容易糊状，容易流失，容易产生渗滤液，其中的污染物容易进入地表水、地下水和土壤。</w:t>
            </w:r>
          </w:p>
          <w:p>
            <w:pPr>
              <w:pStyle w:val="71"/>
              <w:bidi w:val="0"/>
              <w:rPr>
                <w:rFonts w:hint="default"/>
                <w:lang w:val="en-US" w:eastAsia="zh-CN"/>
              </w:rPr>
            </w:pPr>
            <w:r>
              <w:rPr>
                <w:rFonts w:hint="default"/>
                <w:lang w:val="en-US" w:eastAsia="zh-CN"/>
              </w:rPr>
              <w:t>本项目对产生各类废物的收集、分类、贮存、运输等环节均应按照《一般工业固体废物贮存和填埋污染控制标准》（GB18599-2020）的要求，采取相应的防范措施</w:t>
            </w:r>
            <w:r>
              <w:rPr>
                <w:rFonts w:hint="eastAsia"/>
                <w:lang w:val="en-US" w:eastAsia="zh-CN"/>
              </w:rPr>
              <w:t>：</w:t>
            </w:r>
            <w:r>
              <w:rPr>
                <w:rFonts w:hint="default"/>
                <w:lang w:val="en-US" w:eastAsia="zh-CN"/>
              </w:rPr>
              <w:t>如对产生的废物，实行登记制度，建立台账，杜绝随意丢弃；设置专门容器收集贮存，容器满足不易破损、变形、老化，能有效</w:t>
            </w:r>
            <w:r>
              <w:rPr>
                <w:rFonts w:hint="eastAsia"/>
                <w:lang w:val="en-US" w:eastAsia="zh-CN"/>
              </w:rPr>
              <w:t>地</w:t>
            </w:r>
            <w:r>
              <w:rPr>
                <w:rFonts w:hint="default"/>
                <w:lang w:val="en-US" w:eastAsia="zh-CN"/>
              </w:rPr>
              <w:t>防止渗漏、扩散等要求；运输系统安全可靠等。从控制污染源头、阻断污染途径等方面最大限度地减少了有毒有害物质释放进入地下水和土壤的总量，起到了防范固体废物污染环境的作用。</w:t>
            </w:r>
          </w:p>
          <w:p>
            <w:pPr>
              <w:pStyle w:val="71"/>
              <w:bidi w:val="0"/>
              <w:rPr>
                <w:rFonts w:hint="default"/>
                <w:lang w:val="en-US" w:eastAsia="zh-CN"/>
              </w:rPr>
            </w:pPr>
            <w:r>
              <w:rPr>
                <w:rFonts w:hint="default"/>
                <w:lang w:val="en-US" w:eastAsia="zh-CN"/>
              </w:rPr>
              <w:t>因此，产生固废应及时妥当处理，对于不能及时运走的应采取防渗措施，在夏季应定期对贮存场所喷洒除臭剂。</w:t>
            </w:r>
          </w:p>
          <w:p>
            <w:pPr>
              <w:pStyle w:val="71"/>
              <w:bidi w:val="0"/>
              <w:rPr>
                <w:rFonts w:hint="eastAsia"/>
                <w:lang w:val="en-US" w:eastAsia="zh-CN"/>
              </w:rPr>
            </w:pPr>
            <w:r>
              <w:rPr>
                <w:rFonts w:hint="eastAsia"/>
                <w:lang w:val="en-US" w:eastAsia="zh-CN"/>
              </w:rPr>
              <w:t>（2）运输过程对环境的影响</w:t>
            </w:r>
          </w:p>
          <w:p>
            <w:pPr>
              <w:pStyle w:val="71"/>
              <w:bidi w:val="0"/>
              <w:rPr>
                <w:rFonts w:hint="eastAsia"/>
                <w:lang w:val="en-US" w:eastAsia="zh-CN"/>
              </w:rPr>
            </w:pPr>
            <w:r>
              <w:rPr>
                <w:rFonts w:hint="eastAsia"/>
                <w:lang w:val="en-US" w:eastAsia="zh-CN"/>
              </w:rPr>
              <w:t>固废在运输过程中，对固废运输车辆底部加装防漏衬垫，避免渗滤液渗出造成二次污染。车辆尽量密闭，既可避免影响城市景观，又可避免遗洒。同时，要求合理选择运输路线和时间，尽量减少对环境和沿线居民生活的影响。</w:t>
            </w:r>
          </w:p>
          <w:p>
            <w:pPr>
              <w:pStyle w:val="71"/>
              <w:bidi w:val="0"/>
              <w:rPr>
                <w:rFonts w:hint="eastAsia"/>
                <w:lang w:val="en-US" w:eastAsia="zh-CN"/>
              </w:rPr>
            </w:pPr>
            <w:r>
              <w:rPr>
                <w:rFonts w:hint="eastAsia"/>
                <w:lang w:val="en-US" w:eastAsia="zh-CN"/>
              </w:rPr>
              <w:t>（3）处置环节对环境影响</w:t>
            </w:r>
          </w:p>
          <w:p>
            <w:pPr>
              <w:pStyle w:val="71"/>
              <w:bidi w:val="0"/>
              <w:rPr>
                <w:rFonts w:hint="eastAsia"/>
                <w:lang w:val="en-US" w:eastAsia="zh-CN"/>
              </w:rPr>
            </w:pPr>
            <w:r>
              <w:rPr>
                <w:rFonts w:hint="eastAsia"/>
                <w:lang w:val="en-US" w:eastAsia="zh-CN"/>
              </w:rPr>
              <w:t>项目产生的检疫不合格的病害体、检疫残肉及不可食用内脏采用深埋法进行无害化处理。本项目位于若羌县瓦石峡镇苏贝什路以西，G315国道以南1.7公里处，属于边远区域，且项目产生的病死牛羊极少，符合深埋法处理要求。</w:t>
            </w:r>
          </w:p>
          <w:p>
            <w:pPr>
              <w:pStyle w:val="71"/>
              <w:bidi w:val="0"/>
              <w:rPr>
                <w:rFonts w:hint="eastAsia"/>
                <w:lang w:val="en-US" w:eastAsia="zh-CN"/>
              </w:rPr>
            </w:pPr>
            <w:r>
              <w:rPr>
                <w:rFonts w:hint="eastAsia"/>
                <w:lang w:val="en-US" w:eastAsia="zh-CN"/>
              </w:rPr>
              <w:t>①选址分析：深埋井坐标为：</w:t>
            </w:r>
            <w:r>
              <w:rPr>
                <w:rFonts w:hint="default" w:ascii="Times New Roman" w:hAnsi="Times New Roman" w:cs="Times New Roman"/>
                <w:lang w:val="en-US" w:eastAsia="zh-CN"/>
              </w:rPr>
              <w:t>E87°21′5.932″，N38°39′51.166″</w:t>
            </w:r>
            <w:r>
              <w:rPr>
                <w:rFonts w:hint="eastAsia"/>
                <w:lang w:val="en-US" w:eastAsia="zh-CN"/>
              </w:rPr>
              <w:t>，设置在地势高燥，下风向的位置，且远离学校、公共场所、居民住宅区、村庄、动物饲养和屠宰场所、饮用水源地、河流等地区。坑体宽度不小于1.2米，深度为2米。坑底需铺设2-5厘米厚的生石灰或漂白粉进行消毒，并确保防渗、防漏。尸体投入深埋井后，需用土覆盖至距离地表1.5米以上，并持续消毒。</w:t>
            </w:r>
          </w:p>
          <w:p>
            <w:pPr>
              <w:pStyle w:val="71"/>
              <w:bidi w:val="0"/>
              <w:rPr>
                <w:rFonts w:hint="eastAsia"/>
                <w:lang w:val="en-US" w:eastAsia="zh-CN"/>
              </w:rPr>
            </w:pPr>
            <w:r>
              <w:rPr>
                <w:rFonts w:hint="eastAsia"/>
                <w:lang w:val="en-US" w:eastAsia="zh-CN"/>
              </w:rPr>
              <w:t>②操作规范：尸体投入深埋井后，需用土覆盖至距离地表1.5米以上，并持续消毒。覆盖土层厚度不少于1-1.2米，且覆土不宜过实，避免腐败气体逸出。处理后需每日巡查并消毒至少三周。</w:t>
            </w:r>
          </w:p>
          <w:p>
            <w:pPr>
              <w:pStyle w:val="71"/>
              <w:bidi w:val="0"/>
              <w:rPr>
                <w:rFonts w:hint="eastAsia"/>
                <w:lang w:val="en-US" w:eastAsia="zh-CN"/>
              </w:rPr>
            </w:pPr>
            <w:r>
              <w:rPr>
                <w:rFonts w:hint="eastAsia"/>
                <w:lang w:val="en-US" w:eastAsia="zh-CN"/>
              </w:rPr>
              <w:t>③维护：深埋后需设置警示标识，并在第一周内每日巡查，后续每周巡查一次，持续三个月。若发现塌陷或渗漏，需及时加盖覆土并重新消毒。</w:t>
            </w:r>
          </w:p>
          <w:p>
            <w:pPr>
              <w:pStyle w:val="71"/>
              <w:bidi w:val="0"/>
              <w:rPr>
                <w:rFonts w:hint="eastAsia"/>
                <w:lang w:val="en-US" w:eastAsia="zh-CN"/>
              </w:rPr>
            </w:pPr>
            <w:r>
              <w:rPr>
                <w:rFonts w:hint="eastAsia"/>
                <w:lang w:val="en-US" w:eastAsia="zh-CN"/>
              </w:rPr>
              <w:t>项目无害化处理符合《病死及病害动物无害化处理技术规范》（农医发〔2017〕25号，2017年7月3日），《畜禽病害肉尸及其产品无害化处理规程》（GB 16548-1996）及《病害动物和病害动物产品生物安全处理规程》（GB 16548-2006）的要求。无害化处理处置遵循环境健康风险预防、安全无害以及固体废物减量化、资源化及无害化的原则，安全处置后减少了对周边环境的污染危害。</w:t>
            </w:r>
          </w:p>
          <w:p>
            <w:pPr>
              <w:pStyle w:val="71"/>
              <w:bidi w:val="0"/>
              <w:rPr>
                <w:rFonts w:hint="default"/>
                <w:lang w:val="en-US" w:eastAsia="zh-CN"/>
              </w:rPr>
            </w:pPr>
            <w:r>
              <w:rPr>
                <w:rFonts w:hint="eastAsia"/>
                <w:lang w:val="en-US" w:eastAsia="zh-CN"/>
              </w:rPr>
              <w:t>本项目固体废物全部进行综合利用和安全处置，对生态环境及人的健康影响较小。</w:t>
            </w:r>
          </w:p>
          <w:p>
            <w:pPr>
              <w:pStyle w:val="2"/>
              <w:bidi w:val="0"/>
              <w:rPr>
                <w:rFonts w:hint="default"/>
                <w:lang w:val="en-US" w:eastAsia="zh-CN"/>
              </w:rPr>
            </w:pPr>
            <w:r>
              <w:rPr>
                <w:rFonts w:hint="default"/>
                <w:lang w:val="en-US" w:eastAsia="zh-CN"/>
              </w:rPr>
              <w:t>4.</w:t>
            </w:r>
            <w:r>
              <w:rPr>
                <w:rFonts w:hint="eastAsia"/>
                <w:lang w:val="en-US" w:eastAsia="zh-CN"/>
              </w:rPr>
              <w:t>3</w:t>
            </w:r>
            <w:r>
              <w:rPr>
                <w:rFonts w:hint="default"/>
                <w:lang w:val="en-US" w:eastAsia="zh-CN"/>
              </w:rPr>
              <w:t>危险固废包装及储存场所环境影响分析</w:t>
            </w:r>
          </w:p>
          <w:p>
            <w:pPr>
              <w:pStyle w:val="7"/>
              <w:bidi w:val="0"/>
              <w:rPr>
                <w:rFonts w:hint="default"/>
                <w:lang w:val="en-US" w:eastAsia="zh-CN"/>
              </w:rPr>
            </w:pPr>
            <w:r>
              <w:rPr>
                <w:rFonts w:hint="default"/>
                <w:lang w:val="en-US" w:eastAsia="zh-CN"/>
              </w:rPr>
              <w:t>厂区拟建一座</w:t>
            </w:r>
            <w:r>
              <w:rPr>
                <w:rFonts w:hint="eastAsia"/>
                <w:lang w:val="en-US" w:eastAsia="zh-CN"/>
              </w:rPr>
              <w:t>10</w:t>
            </w:r>
            <w:r>
              <w:rPr>
                <w:rFonts w:hint="default"/>
                <w:lang w:val="en-US" w:eastAsia="zh-CN"/>
              </w:rPr>
              <w:t>m</w:t>
            </w:r>
            <w:r>
              <w:rPr>
                <w:rFonts w:hint="default"/>
                <w:vertAlign w:val="superscript"/>
                <w:lang w:val="en-US" w:eastAsia="zh-CN"/>
              </w:rPr>
              <w:t>2</w:t>
            </w:r>
            <w:r>
              <w:rPr>
                <w:rFonts w:hint="default"/>
                <w:lang w:val="en-US" w:eastAsia="zh-CN"/>
              </w:rPr>
              <w:t>危险废物</w:t>
            </w:r>
            <w:r>
              <w:rPr>
                <w:rFonts w:hint="eastAsia"/>
                <w:lang w:val="en-US" w:eastAsia="zh-CN"/>
              </w:rPr>
              <w:t>贮存点</w:t>
            </w:r>
            <w:r>
              <w:rPr>
                <w:rFonts w:hint="default"/>
                <w:lang w:val="en-US" w:eastAsia="zh-CN"/>
              </w:rPr>
              <w:t>用于危险废物的收集暂存。厂区产生的固体废物将按环评提出的污染防治措施进行收集、暂存、处置或利用。</w:t>
            </w:r>
          </w:p>
          <w:p>
            <w:pPr>
              <w:pStyle w:val="7"/>
              <w:bidi w:val="0"/>
              <w:rPr>
                <w:rFonts w:hint="default"/>
                <w:lang w:val="en-US" w:eastAsia="zh-CN"/>
              </w:rPr>
            </w:pPr>
            <w:r>
              <w:rPr>
                <w:rFonts w:hint="default"/>
                <w:lang w:val="en-US" w:eastAsia="zh-CN"/>
              </w:rPr>
              <w:t>（1）危险废物运行环境管理要求</w:t>
            </w:r>
          </w:p>
          <w:p>
            <w:pPr>
              <w:pStyle w:val="7"/>
              <w:bidi w:val="0"/>
              <w:rPr>
                <w:rFonts w:hint="default"/>
                <w:lang w:val="en-US" w:eastAsia="zh-CN"/>
              </w:rPr>
            </w:pPr>
            <w:r>
              <w:rPr>
                <w:rFonts w:hint="default"/>
                <w:lang w:val="en-US" w:eastAsia="zh-CN"/>
              </w:rPr>
              <w:t>危险废物临时存放于指定的危废贮存点，不得露天堆放，危险废物的地坪要符合防腐防渗要求，避免产生渗透、雨水淋溶及大风吹扬及外水入侵冲洗等二次污染；贮存点的设置须满足《危险废物贮存污染控制标准》（GB18597-2023）、《危险废物收集贮存 运输技术规范》（HJ2025-2012）中相关要求。</w:t>
            </w:r>
          </w:p>
          <w:p>
            <w:pPr>
              <w:pStyle w:val="7"/>
              <w:keepNext w:val="0"/>
              <w:keepLines w:val="0"/>
              <w:pageBreakBefore w:val="0"/>
              <w:widowControl/>
              <w:kinsoku/>
              <w:wordWrap w:val="0"/>
              <w:overflowPunct/>
              <w:topLinePunct w:val="0"/>
              <w:autoSpaceDE/>
              <w:autoSpaceDN/>
              <w:bidi w:val="0"/>
              <w:adjustRightInd/>
              <w:snapToGrid w:val="0"/>
              <w:textAlignment w:val="auto"/>
              <w:rPr>
                <w:rFonts w:hint="default"/>
                <w:lang w:val="en-US" w:eastAsia="zh-CN"/>
              </w:rPr>
            </w:pPr>
            <w:r>
              <w:rPr>
                <w:rFonts w:hint="default"/>
                <w:lang w:val="en-US" w:eastAsia="zh-CN"/>
              </w:rPr>
              <w:t>①危险废物</w:t>
            </w:r>
            <w:r>
              <w:rPr>
                <w:rFonts w:hint="eastAsia"/>
                <w:lang w:val="en-US" w:eastAsia="zh-CN"/>
              </w:rPr>
              <w:t>贮存点</w:t>
            </w:r>
            <w:r>
              <w:rPr>
                <w:rFonts w:hint="default"/>
                <w:lang w:val="en-US" w:eastAsia="zh-CN"/>
              </w:rPr>
              <w:t>应按照《危险废物贮存污染控制标准》（GB18597-2023）的要求进行建设，贮存的危险废物直接接触地面的，还应进行基础防渗，防渗层为至少1m厚黏土层（渗透系数不大于10</w:t>
            </w:r>
            <w:r>
              <w:rPr>
                <w:rFonts w:hint="default"/>
                <w:vertAlign w:val="superscript"/>
                <w:lang w:val="en-US" w:eastAsia="zh-CN"/>
              </w:rPr>
              <w:t>-7</w:t>
            </w:r>
            <w:r>
              <w:rPr>
                <w:rFonts w:hint="default"/>
                <w:lang w:val="en-US" w:eastAsia="zh-CN"/>
              </w:rPr>
              <w:t>cm/s），或至少2mm厚高密度聚乙烯膜等人工防渗材料（渗透系数不大于10</w:t>
            </w:r>
            <w:r>
              <w:rPr>
                <w:rFonts w:hint="default"/>
                <w:vertAlign w:val="superscript"/>
                <w:lang w:val="en-US" w:eastAsia="zh-CN"/>
              </w:rPr>
              <w:t>-10</w:t>
            </w:r>
            <w:r>
              <w:rPr>
                <w:rFonts w:hint="default"/>
                <w:lang w:val="en-US" w:eastAsia="zh-CN"/>
              </w:rPr>
              <w:t>cm/s），或其他防渗性能等效的材料。</w:t>
            </w:r>
          </w:p>
          <w:p>
            <w:pPr>
              <w:pStyle w:val="7"/>
              <w:bidi w:val="0"/>
              <w:rPr>
                <w:rFonts w:hint="default"/>
                <w:lang w:val="en-US" w:eastAsia="zh-CN"/>
              </w:rPr>
            </w:pPr>
            <w:r>
              <w:rPr>
                <w:rFonts w:hint="default"/>
                <w:lang w:val="en-US" w:eastAsia="zh-CN"/>
              </w:rPr>
              <w:t>②应定期检查危险废物的贮存状况，及时清理贮存设施地面，更换破损泄漏的危险废物贮存容器和包装物，保证堆存危险废物的防雨、防风、防扬尘等设施功能完好。</w:t>
            </w:r>
          </w:p>
          <w:p>
            <w:pPr>
              <w:pStyle w:val="7"/>
              <w:bidi w:val="0"/>
              <w:rPr>
                <w:rFonts w:hint="default"/>
                <w:lang w:val="en-US" w:eastAsia="zh-CN"/>
              </w:rPr>
            </w:pPr>
            <w:r>
              <w:rPr>
                <w:rFonts w:hint="default"/>
                <w:lang w:val="en-US" w:eastAsia="zh-CN"/>
              </w:rPr>
              <w:t>③作业设备及车辆等结束作业离开贮存设施时，应对其残留的危险废物进行清理，清理的废物或清洗废水应收集处理。</w:t>
            </w:r>
          </w:p>
          <w:p>
            <w:pPr>
              <w:pStyle w:val="7"/>
              <w:bidi w:val="0"/>
              <w:rPr>
                <w:rFonts w:hint="default"/>
                <w:lang w:val="en-US" w:eastAsia="zh-CN"/>
              </w:rPr>
            </w:pPr>
            <w:r>
              <w:rPr>
                <w:rFonts w:hint="default"/>
                <w:lang w:val="en-US" w:eastAsia="zh-CN"/>
              </w:rPr>
              <w:t>④贮存设施运行期间，应按国家有关标准和规定建立危险废物管理台账并保存。</w:t>
            </w:r>
          </w:p>
          <w:p>
            <w:pPr>
              <w:pStyle w:val="7"/>
              <w:bidi w:val="0"/>
              <w:rPr>
                <w:rFonts w:hint="default"/>
                <w:lang w:val="en-US" w:eastAsia="zh-CN"/>
              </w:rPr>
            </w:pPr>
            <w:r>
              <w:rPr>
                <w:rFonts w:hint="default"/>
                <w:lang w:val="en-US" w:eastAsia="zh-CN"/>
              </w:rPr>
              <w:t>⑤贮存设施所有者或运营者应建立贮存设施环境管理制度、管理人员岗位职责制度、设施运行操作制度、人员岗位培训制度等。</w:t>
            </w:r>
          </w:p>
          <w:p>
            <w:pPr>
              <w:pStyle w:val="7"/>
              <w:bidi w:val="0"/>
              <w:rPr>
                <w:rFonts w:hint="default"/>
                <w:lang w:val="en-US" w:eastAsia="zh-CN"/>
              </w:rPr>
            </w:pPr>
            <w:r>
              <w:rPr>
                <w:rFonts w:hint="default"/>
                <w:lang w:val="en-US" w:eastAsia="zh-CN"/>
              </w:rPr>
              <w:t>（2）危险废物运输措施</w:t>
            </w:r>
          </w:p>
          <w:p>
            <w:pPr>
              <w:pStyle w:val="7"/>
              <w:bidi w:val="0"/>
              <w:rPr>
                <w:rFonts w:hint="default"/>
                <w:lang w:val="en-US" w:eastAsia="zh-CN"/>
              </w:rPr>
            </w:pPr>
            <w:r>
              <w:rPr>
                <w:rFonts w:hint="default"/>
                <w:lang w:val="en-US" w:eastAsia="zh-CN"/>
              </w:rPr>
              <w:t>防止运输过程中危险废物的污染损害是防止危险废物污染损害的主要环节之一。在运输过程中，如果管理不当或未采取适当的污染防治和安全防护措施，则极易造成污染。我国每年都发生危险废物运输事故，并造成了严重的污染危害。因此，必须对危险废物的运输加以控制和管理。运输危险废物，必须同时符合两个要求，一是必须采取防止污染环境的措施，符合环境保护的要求，做到无害化的运输；二是必须将所运输的危险废物作为危险货物对待，遵守国家有关危险货物运输管理的规定，符合危险货物运输的安全防护要求，做到安全运输。具体的防治污染环境的措施有：</w:t>
            </w:r>
          </w:p>
          <w:p>
            <w:pPr>
              <w:pStyle w:val="7"/>
              <w:bidi w:val="0"/>
              <w:rPr>
                <w:rFonts w:hint="default"/>
                <w:lang w:val="en-US" w:eastAsia="zh-CN"/>
              </w:rPr>
            </w:pPr>
            <w:r>
              <w:rPr>
                <w:rFonts w:hint="default"/>
                <w:lang w:val="en-US" w:eastAsia="zh-CN"/>
              </w:rPr>
              <w:t>①对运输危险废物的设施和设备应当加强管理和维护，保证其正常运行和使用。</w:t>
            </w:r>
          </w:p>
          <w:p>
            <w:pPr>
              <w:pStyle w:val="7"/>
              <w:bidi w:val="0"/>
              <w:rPr>
                <w:rFonts w:hint="default"/>
                <w:lang w:val="en-US" w:eastAsia="zh-CN"/>
              </w:rPr>
            </w:pPr>
            <w:r>
              <w:rPr>
                <w:rFonts w:hint="default"/>
                <w:lang w:val="en-US" w:eastAsia="zh-CN"/>
              </w:rPr>
              <w:t>②不能混合运输性质不相容而又未经安全性处置的危险废物。</w:t>
            </w:r>
          </w:p>
          <w:p>
            <w:pPr>
              <w:pStyle w:val="7"/>
              <w:bidi w:val="0"/>
              <w:rPr>
                <w:rFonts w:hint="default"/>
                <w:lang w:val="en-US" w:eastAsia="zh-CN"/>
              </w:rPr>
            </w:pPr>
            <w:r>
              <w:rPr>
                <w:rFonts w:hint="default"/>
                <w:lang w:val="en-US" w:eastAsia="zh-CN"/>
              </w:rPr>
              <w:t>③禁止将危险废物与旅客在同一运输工具上载运。</w:t>
            </w:r>
          </w:p>
          <w:p>
            <w:pPr>
              <w:pStyle w:val="7"/>
              <w:bidi w:val="0"/>
              <w:rPr>
                <w:rFonts w:hint="default"/>
                <w:lang w:val="en-US" w:eastAsia="zh-CN"/>
              </w:rPr>
            </w:pPr>
            <w:r>
              <w:rPr>
                <w:rFonts w:hint="default"/>
                <w:lang w:val="en-US" w:eastAsia="zh-CN"/>
              </w:rPr>
              <w:t>④运输危险废物的设施和设备在转作他用时，必须经过消除污染的处理，方可使用。</w:t>
            </w:r>
          </w:p>
          <w:p>
            <w:pPr>
              <w:pStyle w:val="7"/>
              <w:bidi w:val="0"/>
              <w:rPr>
                <w:rFonts w:hint="default"/>
                <w:lang w:val="en-US" w:eastAsia="zh-CN"/>
              </w:rPr>
            </w:pPr>
            <w:r>
              <w:rPr>
                <w:rFonts w:hint="default"/>
                <w:lang w:val="en-US" w:eastAsia="zh-CN"/>
              </w:rPr>
              <w:t>⑤运输危险废物的人员，应当接受专业培训；经考核合格后，方可从事运输危险废物的工作。</w:t>
            </w:r>
          </w:p>
          <w:p>
            <w:pPr>
              <w:pStyle w:val="7"/>
              <w:bidi w:val="0"/>
              <w:rPr>
                <w:rFonts w:hint="default"/>
                <w:lang w:val="en-US" w:eastAsia="zh-CN"/>
              </w:rPr>
            </w:pPr>
            <w:r>
              <w:rPr>
                <w:rFonts w:hint="default"/>
                <w:lang w:val="en-US" w:eastAsia="zh-CN"/>
              </w:rPr>
              <w:t>⑥运输危险废物的单位应当制定在发生意外事故时采取的应急措施和防范措施。</w:t>
            </w:r>
          </w:p>
          <w:p>
            <w:pPr>
              <w:pStyle w:val="7"/>
              <w:bidi w:val="0"/>
              <w:rPr>
                <w:rFonts w:hint="default"/>
                <w:lang w:val="en-US" w:eastAsia="zh-CN"/>
              </w:rPr>
            </w:pPr>
            <w:r>
              <w:rPr>
                <w:rFonts w:hint="default"/>
                <w:lang w:val="en-US" w:eastAsia="zh-CN"/>
              </w:rPr>
              <w:t>⑦运输时，发生突发性事故必须立即采取措施消除或者减轻对环境的污染危害，及时通报给附近的单位和居民，并向事故发生地县级以上人民政府环境保护行政主管部门和有关部门报告，接受调查处理。</w:t>
            </w:r>
          </w:p>
          <w:p>
            <w:pPr>
              <w:pStyle w:val="7"/>
              <w:bidi w:val="0"/>
              <w:rPr>
                <w:rFonts w:hint="default"/>
                <w:lang w:val="en-US" w:eastAsia="zh-CN"/>
              </w:rPr>
            </w:pPr>
            <w:r>
              <w:rPr>
                <w:rFonts w:hint="default"/>
                <w:lang w:val="en-US" w:eastAsia="zh-CN"/>
              </w:rPr>
              <w:t>（3）危险废物转运要求</w:t>
            </w:r>
          </w:p>
          <w:p>
            <w:pPr>
              <w:pStyle w:val="7"/>
              <w:bidi w:val="0"/>
              <w:rPr>
                <w:rFonts w:hint="default"/>
                <w:lang w:val="en-US" w:eastAsia="zh-CN"/>
              </w:rPr>
            </w:pPr>
            <w:r>
              <w:rPr>
                <w:rFonts w:hint="default"/>
                <w:lang w:val="en-US" w:eastAsia="zh-CN"/>
              </w:rPr>
              <w:t>根据《危险废物转移管理办法》（2021年11月30日生态环境部、公安部、交通运输部令第23号公布 自2022年1月1日起施行）可知，危险废物转移应当遵循就近原则，转移危险废物的，应当执行危险废物转移联单制度，并依照国家有关规定公开危险废物转移相关污染环境防治信息。运输危险废物的，应当遵守国家有关危险货物运输管理的规定。未经公安机关批准，危险废物运输车辆不得进入危险货物运输车辆限制通行的区域。</w:t>
            </w:r>
          </w:p>
          <w:p>
            <w:pPr>
              <w:pStyle w:val="7"/>
              <w:bidi w:val="0"/>
              <w:rPr>
                <w:rFonts w:hint="default"/>
                <w:lang w:val="en-US" w:eastAsia="zh-CN"/>
              </w:rPr>
            </w:pPr>
            <w:r>
              <w:rPr>
                <w:rFonts w:hint="default"/>
                <w:lang w:val="en-US" w:eastAsia="zh-CN"/>
              </w:rPr>
              <w:t>危险废物移出人、危险废物承运人、危险废物接受人（以下分别简称移出人、承运人和接受人）在危险废物转移过程中应当采取防扬散、防流失、防渗漏或者其他防止污染环境的措施，不得擅自倾倒、堆放、丢弃、遗撒危险废物，并对所造成的环境污染及生态破坏依法承担责任。</w:t>
            </w:r>
          </w:p>
          <w:p>
            <w:pPr>
              <w:pStyle w:val="7"/>
              <w:bidi w:val="0"/>
              <w:rPr>
                <w:rFonts w:hint="default"/>
                <w:lang w:val="en-US" w:eastAsia="zh-CN"/>
              </w:rPr>
            </w:pPr>
            <w:r>
              <w:rPr>
                <w:rFonts w:hint="default"/>
                <w:lang w:val="en-US" w:eastAsia="zh-CN"/>
              </w:rPr>
              <w:t>移出人、承运人、接受人应当依法制定突发环境事件的防范措施和应急预案，并报有关部门备案；发生危险废物突发环境事件时，应当立即采取有效措施消除或者减轻对环境的污染危害，并按相关规定向事故发生地有关部门报告，接受调查处理。</w:t>
            </w:r>
          </w:p>
          <w:p>
            <w:pPr>
              <w:pStyle w:val="2"/>
              <w:bidi w:val="0"/>
              <w:rPr>
                <w:rFonts w:hint="default"/>
                <w:lang w:val="en-US" w:eastAsia="zh-CN"/>
              </w:rPr>
            </w:pPr>
            <w:r>
              <w:rPr>
                <w:rFonts w:hint="default"/>
                <w:lang w:val="en-US" w:eastAsia="zh-CN"/>
              </w:rPr>
              <w:t>5.地下水、土壤环境影响和保护措施</w:t>
            </w:r>
          </w:p>
          <w:p>
            <w:pPr>
              <w:pStyle w:val="7"/>
              <w:bidi w:val="0"/>
            </w:pPr>
            <w:r>
              <w:t>本项目</w:t>
            </w:r>
            <w:r>
              <w:rPr>
                <w:rFonts w:hint="eastAsia"/>
              </w:rPr>
              <w:t>正常工况下不存在污染途径，</w:t>
            </w:r>
            <w:r>
              <w:rPr>
                <w:rFonts w:hint="eastAsia"/>
                <w:lang w:eastAsia="zh-CN"/>
              </w:rPr>
              <w:t>非正常</w:t>
            </w:r>
            <w:r>
              <w:rPr>
                <w:rFonts w:hint="eastAsia"/>
              </w:rPr>
              <w:t>工况下</w:t>
            </w:r>
            <w:r>
              <w:t>可能对地下水</w:t>
            </w:r>
            <w:r>
              <w:rPr>
                <w:rFonts w:hint="eastAsia"/>
                <w:lang w:eastAsia="zh-CN"/>
              </w:rPr>
              <w:t>、</w:t>
            </w:r>
            <w:r>
              <w:rPr>
                <w:rFonts w:hint="eastAsia"/>
                <w:lang w:val="en-US" w:eastAsia="zh-CN"/>
              </w:rPr>
              <w:t>土壤</w:t>
            </w:r>
            <w:r>
              <w:t>环境产生的影响为</w:t>
            </w:r>
            <w:r>
              <w:rPr>
                <w:rFonts w:hint="default"/>
                <w:lang w:val="en-US" w:eastAsia="zh-CN"/>
              </w:rPr>
              <w:t>污水处理站</w:t>
            </w:r>
            <w:r>
              <w:rPr>
                <w:rFonts w:hint="eastAsia"/>
              </w:rPr>
              <w:t>收集处置</w:t>
            </w:r>
            <w:r>
              <w:t>过程中未做好地下水污染防护措施</w:t>
            </w:r>
            <w:r>
              <w:rPr>
                <w:rFonts w:hint="eastAsia"/>
              </w:rPr>
              <w:t>及危险废物泄漏</w:t>
            </w:r>
            <w:r>
              <w:t>，防治地下水</w:t>
            </w:r>
            <w:r>
              <w:rPr>
                <w:rFonts w:hint="eastAsia"/>
                <w:lang w:eastAsia="zh-CN"/>
              </w:rPr>
              <w:t>、</w:t>
            </w:r>
            <w:r>
              <w:rPr>
                <w:rFonts w:hint="eastAsia"/>
                <w:lang w:val="en-US" w:eastAsia="zh-CN"/>
              </w:rPr>
              <w:t>土壤</w:t>
            </w:r>
            <w:r>
              <w:t>污染控制措施的原则如下：</w:t>
            </w:r>
          </w:p>
          <w:p>
            <w:pPr>
              <w:pStyle w:val="7"/>
              <w:bidi w:val="0"/>
            </w:pPr>
            <w:r>
              <w:t>（1）主动控制即源头控制措施，主要包括在废水管道、设备、污水储存采取相应措施，防止和降低污水处理站及污水收集、排放管道的滴、漏，将污染物泄漏的环境风险事故降到最低程度。</w:t>
            </w:r>
          </w:p>
          <w:p>
            <w:pPr>
              <w:pStyle w:val="7"/>
              <w:bidi w:val="0"/>
            </w:pPr>
            <w:r>
              <w:t>（2）被动控制即末端控制措施，主要包括</w:t>
            </w:r>
            <w:r>
              <w:rPr>
                <w:rFonts w:hint="eastAsia"/>
                <w:lang w:val="en-US" w:eastAsia="zh-CN"/>
              </w:rPr>
              <w:t>污水处理站和</w:t>
            </w:r>
            <w:r>
              <w:rPr>
                <w:rFonts w:hint="eastAsia"/>
              </w:rPr>
              <w:t>危废贮存点</w:t>
            </w:r>
            <w:r>
              <w:t>的防渗措施和泄漏、渗漏污染物收集措施，即在废水处理收集、储存</w:t>
            </w:r>
            <w:r>
              <w:rPr>
                <w:rFonts w:hint="eastAsia"/>
                <w:lang w:val="en-US" w:eastAsia="zh-CN"/>
              </w:rPr>
              <w:t>区</w:t>
            </w:r>
            <w:r>
              <w:t>进行防渗处理，防止污染物渗入地下。</w:t>
            </w:r>
          </w:p>
          <w:p>
            <w:pPr>
              <w:pStyle w:val="7"/>
              <w:bidi w:val="0"/>
            </w:pPr>
            <w:r>
              <w:t>根据以上原则，</w:t>
            </w:r>
            <w:r>
              <w:rPr>
                <w:rFonts w:hint="eastAsia"/>
                <w:lang w:val="en-US" w:eastAsia="zh-CN"/>
              </w:rPr>
              <w:t>本次环评要求企业采取以下地下水防治措施：</w:t>
            </w:r>
          </w:p>
          <w:p>
            <w:pPr>
              <w:pStyle w:val="7"/>
              <w:bidi w:val="0"/>
              <w:rPr>
                <w:rFonts w:hint="eastAsia"/>
                <w:lang w:val="en-US" w:eastAsia="zh-CN"/>
              </w:rPr>
            </w:pPr>
            <w:r>
              <w:rPr>
                <w:rFonts w:hint="eastAsia"/>
                <w:lang w:val="en-US" w:eastAsia="zh-CN"/>
              </w:rPr>
              <w:t>①对重点污染区防渗措施</w:t>
            </w:r>
          </w:p>
          <w:p>
            <w:pPr>
              <w:pStyle w:val="7"/>
              <w:keepNext w:val="0"/>
              <w:keepLines w:val="0"/>
              <w:pageBreakBefore w:val="0"/>
              <w:widowControl/>
              <w:kinsoku/>
              <w:wordWrap w:val="0"/>
              <w:overflowPunct/>
              <w:topLinePunct w:val="0"/>
              <w:autoSpaceDE/>
              <w:autoSpaceDN/>
              <w:bidi w:val="0"/>
              <w:adjustRightInd/>
              <w:snapToGrid w:val="0"/>
              <w:textAlignment w:val="auto"/>
            </w:pPr>
            <w:r>
              <w:rPr>
                <w:rFonts w:hint="eastAsia"/>
              </w:rPr>
              <w:t>危险废物贮存点</w:t>
            </w:r>
            <w:r>
              <w:rPr>
                <w:rFonts w:hint="eastAsia"/>
                <w:lang w:eastAsia="zh-CN"/>
              </w:rPr>
              <w:t>、</w:t>
            </w:r>
            <w:r>
              <w:rPr>
                <w:rFonts w:hint="eastAsia"/>
                <w:lang w:val="en-US" w:eastAsia="zh-CN"/>
              </w:rPr>
              <w:t>消毒间和污水处理站</w:t>
            </w:r>
            <w:r>
              <w:rPr>
                <w:rFonts w:hint="eastAsia"/>
              </w:rPr>
              <w:t>作</w:t>
            </w:r>
            <w:r>
              <w:t>为重点防渗区，</w:t>
            </w:r>
            <w:r>
              <w:rPr>
                <w:rFonts w:hint="eastAsia"/>
              </w:rPr>
              <w:t>按照《环境影响评价技术导则 地下水环境》（HJ 610-2016）</w:t>
            </w:r>
            <w:r>
              <w:t>要求制定防渗措施</w:t>
            </w:r>
            <w:r>
              <w:rPr>
                <w:rFonts w:hint="eastAsia"/>
              </w:rPr>
              <w:t>，重点防渗区</w:t>
            </w:r>
            <w:r>
              <w:t>地面硬化处理并设防渗层，确保等效黏土防渗层Mb≥6.0m，渗透系数K≤1.0×10</w:t>
            </w:r>
            <w:r>
              <w:rPr>
                <w:vertAlign w:val="superscript"/>
              </w:rPr>
              <w:t>-</w:t>
            </w:r>
            <w:r>
              <w:rPr>
                <w:rFonts w:hint="eastAsia"/>
                <w:vertAlign w:val="superscript"/>
              </w:rPr>
              <w:t>7</w:t>
            </w:r>
            <w:r>
              <w:t>cm/s</w:t>
            </w:r>
            <w:r>
              <w:rPr>
                <w:rFonts w:hint="eastAsia"/>
              </w:rPr>
              <w:t>，危险废物贮存点防渗要求同时满足《危险废物贮存污染控制标准》（GB18597-20</w:t>
            </w:r>
            <w:r>
              <w:rPr>
                <w:rFonts w:hint="eastAsia"/>
                <w:lang w:val="en-US" w:eastAsia="zh-CN"/>
              </w:rPr>
              <w:t>23</w:t>
            </w:r>
            <w:r>
              <w:rPr>
                <w:rFonts w:hint="eastAsia"/>
              </w:rPr>
              <w:t>）：基础防渗层至少为1m厚黏土层（渗透系数≤</w:t>
            </w:r>
            <w:r>
              <w:t>1.0×10</w:t>
            </w:r>
            <w:r>
              <w:rPr>
                <w:vertAlign w:val="superscript"/>
              </w:rPr>
              <w:t>-</w:t>
            </w:r>
            <w:r>
              <w:rPr>
                <w:rFonts w:hint="eastAsia"/>
                <w:vertAlign w:val="superscript"/>
              </w:rPr>
              <w:t>7</w:t>
            </w:r>
            <w:r>
              <w:t>cm/s</w:t>
            </w:r>
            <w:r>
              <w:rPr>
                <w:rFonts w:hint="eastAsia"/>
              </w:rPr>
              <w:t>），或2mm厚高密度聚乙烯，或至少2mm厚的其他人工材料，渗透系数≤</w:t>
            </w:r>
            <w:r>
              <w:t>1.0×10</w:t>
            </w:r>
            <w:r>
              <w:rPr>
                <w:vertAlign w:val="superscript"/>
              </w:rPr>
              <w:t>-</w:t>
            </w:r>
            <w:r>
              <w:rPr>
                <w:rFonts w:hint="eastAsia"/>
                <w:vertAlign w:val="superscript"/>
              </w:rPr>
              <w:t>10</w:t>
            </w:r>
            <w:r>
              <w:t>cm/s。</w:t>
            </w:r>
          </w:p>
          <w:p>
            <w:pPr>
              <w:pStyle w:val="7"/>
              <w:bidi w:val="0"/>
              <w:rPr>
                <w:rFonts w:hint="eastAsia"/>
                <w:lang w:val="en-US" w:eastAsia="zh-CN"/>
              </w:rPr>
            </w:pPr>
            <w:r>
              <w:rPr>
                <w:rFonts w:hint="eastAsia"/>
                <w:lang w:val="en-US" w:eastAsia="zh-CN"/>
              </w:rPr>
              <w:t>②对一般污染区防渗措施</w:t>
            </w:r>
          </w:p>
          <w:p>
            <w:pPr>
              <w:pStyle w:val="7"/>
              <w:bidi w:val="0"/>
            </w:pPr>
            <w:r>
              <w:rPr>
                <w:rFonts w:hint="eastAsia"/>
                <w:lang w:val="en-US" w:eastAsia="zh-CN"/>
              </w:rPr>
              <w:t>待宰圈、屠宰车间</w:t>
            </w:r>
            <w:r>
              <w:t>为一般防渗，严格按照</w:t>
            </w:r>
            <w:r>
              <w:rPr>
                <w:rFonts w:hint="eastAsia"/>
              </w:rPr>
              <w:t>《环境影响评价技术导则 地下水环境》（HJ 610-2016）</w:t>
            </w:r>
            <w:r>
              <w:t>要求制定防渗措施；地面硬化处理设防渗层，可使一般防渗区域的等效黏土防渗层Mb≥</w:t>
            </w:r>
            <w:r>
              <w:rPr>
                <w:rFonts w:hint="eastAsia"/>
              </w:rPr>
              <w:t>1.5</w:t>
            </w:r>
            <w:r>
              <w:t>m，渗透系数K≤</w:t>
            </w:r>
            <w:r>
              <w:rPr>
                <w:rFonts w:hint="eastAsia"/>
              </w:rPr>
              <w:t>1</w:t>
            </w:r>
            <w:r>
              <w:t>×10</w:t>
            </w:r>
            <w:r>
              <w:rPr>
                <w:vertAlign w:val="superscript"/>
              </w:rPr>
              <w:t>-</w:t>
            </w:r>
            <w:r>
              <w:rPr>
                <w:rFonts w:hint="eastAsia"/>
                <w:vertAlign w:val="superscript"/>
              </w:rPr>
              <w:t>7</w:t>
            </w:r>
            <w:r>
              <w:t>cm/s。</w:t>
            </w:r>
          </w:p>
          <w:p>
            <w:pPr>
              <w:pStyle w:val="7"/>
              <w:bidi w:val="0"/>
              <w:rPr>
                <w:rFonts w:hint="eastAsia"/>
                <w:lang w:val="en-US" w:eastAsia="zh-CN"/>
              </w:rPr>
            </w:pPr>
            <w:r>
              <w:rPr>
                <w:rFonts w:hint="eastAsia"/>
                <w:lang w:val="en-US" w:eastAsia="zh-CN"/>
              </w:rPr>
              <w:t>③简单防渗区：厂区道路进行了一般地面硬化，满足防渗要求。经以上防护措施后，可有效防止污染物渗漏污染地下水、土壤以及地表水。</w:t>
            </w:r>
          </w:p>
          <w:p>
            <w:pPr>
              <w:pStyle w:val="72"/>
              <w:bidi w:val="0"/>
            </w:pPr>
            <w:r>
              <w:t>表</w:t>
            </w:r>
            <w:r>
              <w:rPr>
                <w:rFonts w:hint="eastAsia"/>
                <w:lang w:val="en-US" w:eastAsia="zh-CN"/>
              </w:rPr>
              <w:t>4-13</w:t>
            </w:r>
            <w:r>
              <w:t xml:space="preserve">    分区防渗情况一览表</w:t>
            </w:r>
          </w:p>
          <w:tbl>
            <w:tblPr>
              <w:tblStyle w:val="24"/>
              <w:tblW w:w="4998"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847"/>
              <w:gridCol w:w="1480"/>
              <w:gridCol w:w="4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7" w:type="pct"/>
                  <w:tcBorders>
                    <w:tl2br w:val="nil"/>
                    <w:tr2bl w:val="nil"/>
                  </w:tcBorders>
                  <w:noWrap w:val="0"/>
                  <w:vAlign w:val="center"/>
                </w:tcPr>
                <w:p>
                  <w:pPr>
                    <w:pStyle w:val="69"/>
                    <w:bidi w:val="0"/>
                  </w:pPr>
                  <w:r>
                    <w:t>序号</w:t>
                  </w:r>
                </w:p>
              </w:tc>
              <w:tc>
                <w:tcPr>
                  <w:tcW w:w="1155" w:type="pct"/>
                  <w:tcBorders>
                    <w:tl2br w:val="nil"/>
                    <w:tr2bl w:val="nil"/>
                  </w:tcBorders>
                  <w:noWrap w:val="0"/>
                  <w:vAlign w:val="center"/>
                </w:tcPr>
                <w:p>
                  <w:pPr>
                    <w:pStyle w:val="69"/>
                    <w:bidi w:val="0"/>
                  </w:pPr>
                  <w:r>
                    <w:t>区域名称</w:t>
                  </w:r>
                </w:p>
              </w:tc>
              <w:tc>
                <w:tcPr>
                  <w:tcW w:w="926" w:type="pct"/>
                  <w:tcBorders>
                    <w:tl2br w:val="nil"/>
                    <w:tr2bl w:val="nil"/>
                  </w:tcBorders>
                  <w:noWrap w:val="0"/>
                  <w:vAlign w:val="center"/>
                </w:tcPr>
                <w:p>
                  <w:pPr>
                    <w:pStyle w:val="69"/>
                    <w:bidi w:val="0"/>
                  </w:pPr>
                  <w:r>
                    <w:t>分区类别</w:t>
                  </w:r>
                </w:p>
              </w:tc>
              <w:tc>
                <w:tcPr>
                  <w:tcW w:w="2511" w:type="pct"/>
                  <w:tcBorders>
                    <w:tl2br w:val="nil"/>
                    <w:tr2bl w:val="nil"/>
                  </w:tcBorders>
                  <w:noWrap w:val="0"/>
                  <w:vAlign w:val="center"/>
                </w:tcPr>
                <w:p>
                  <w:pPr>
                    <w:pStyle w:val="69"/>
                    <w:bidi w:val="0"/>
                  </w:pPr>
                  <w:r>
                    <w:t>防渗措施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 w:type="pct"/>
                  <w:tcBorders>
                    <w:tl2br w:val="nil"/>
                    <w:tr2bl w:val="nil"/>
                  </w:tcBorders>
                  <w:noWrap w:val="0"/>
                  <w:vAlign w:val="center"/>
                </w:tcPr>
                <w:p>
                  <w:pPr>
                    <w:pStyle w:val="69"/>
                    <w:bidi w:val="0"/>
                  </w:pPr>
                  <w:r>
                    <w:t>1</w:t>
                  </w:r>
                </w:p>
              </w:tc>
              <w:tc>
                <w:tcPr>
                  <w:tcW w:w="1155" w:type="pct"/>
                  <w:tcBorders>
                    <w:tl2br w:val="nil"/>
                    <w:tr2bl w:val="nil"/>
                  </w:tcBorders>
                  <w:noWrap w:val="0"/>
                  <w:vAlign w:val="center"/>
                </w:tcPr>
                <w:p>
                  <w:pPr>
                    <w:pStyle w:val="69"/>
                    <w:bidi w:val="0"/>
                    <w:rPr>
                      <w:rFonts w:hint="default" w:eastAsia="宋体"/>
                      <w:lang w:val="en-US" w:eastAsia="zh-CN"/>
                    </w:rPr>
                  </w:pPr>
                  <w:r>
                    <w:t>危险废物贮存点</w:t>
                  </w:r>
                  <w:r>
                    <w:rPr>
                      <w:rFonts w:hint="eastAsia"/>
                      <w:lang w:eastAsia="zh-CN"/>
                    </w:rPr>
                    <w:t>、</w:t>
                  </w:r>
                  <w:r>
                    <w:rPr>
                      <w:rFonts w:hint="eastAsia"/>
                      <w:lang w:val="en-US" w:eastAsia="zh-CN"/>
                    </w:rPr>
                    <w:t>污水处理站、消毒间</w:t>
                  </w:r>
                </w:p>
              </w:tc>
              <w:tc>
                <w:tcPr>
                  <w:tcW w:w="926" w:type="pct"/>
                  <w:tcBorders>
                    <w:tl2br w:val="nil"/>
                    <w:tr2bl w:val="nil"/>
                  </w:tcBorders>
                  <w:noWrap w:val="0"/>
                  <w:vAlign w:val="center"/>
                </w:tcPr>
                <w:p>
                  <w:pPr>
                    <w:pStyle w:val="69"/>
                    <w:bidi w:val="0"/>
                  </w:pPr>
                  <w:r>
                    <w:t>重点防渗区</w:t>
                  </w:r>
                </w:p>
              </w:tc>
              <w:tc>
                <w:tcPr>
                  <w:tcW w:w="2511" w:type="pct"/>
                  <w:tcBorders>
                    <w:tl2br w:val="nil"/>
                    <w:tr2bl w:val="nil"/>
                  </w:tcBorders>
                  <w:noWrap w:val="0"/>
                  <w:vAlign w:val="center"/>
                </w:tcPr>
                <w:p>
                  <w:pPr>
                    <w:pStyle w:val="69"/>
                    <w:bidi w:val="0"/>
                    <w:rPr>
                      <w:rFonts w:hint="eastAsia"/>
                    </w:rPr>
                  </w:pPr>
                  <w:r>
                    <w:rPr>
                      <w:rFonts w:hint="eastAsia"/>
                      <w:lang w:val="en-US" w:eastAsia="zh-CN"/>
                    </w:rPr>
                    <w:t>危险废物贮存点防渗层为至少1m厚黏土层（渗透系数不大于10</w:t>
                  </w:r>
                  <w:r>
                    <w:rPr>
                      <w:rFonts w:hint="eastAsia"/>
                      <w:vertAlign w:val="superscript"/>
                      <w:lang w:val="en-US" w:eastAsia="zh-CN"/>
                    </w:rPr>
                    <w:t>-7</w:t>
                  </w:r>
                  <w:r>
                    <w:rPr>
                      <w:rFonts w:hint="eastAsia"/>
                      <w:lang w:val="en-US" w:eastAsia="zh-CN"/>
                    </w:rPr>
                    <w:t>cm/s）或至少2mm厚高密度聚乙烯膜等人工防渗材料（渗透系数不大于10</w:t>
                  </w:r>
                  <w:r>
                    <w:rPr>
                      <w:rFonts w:hint="eastAsia"/>
                      <w:vertAlign w:val="superscript"/>
                      <w:lang w:val="en-US" w:eastAsia="zh-CN"/>
                    </w:rPr>
                    <w:t>-10</w:t>
                  </w:r>
                  <w:r>
                    <w:rPr>
                      <w:rFonts w:hint="eastAsia"/>
                      <w:lang w:val="en-US" w:eastAsia="zh-CN"/>
                    </w:rPr>
                    <w:t>cm/s）或其他防渗性能等效的材料；污水处理站和消毒间确保等效黏土防渗层Mb≥6.0m，渗透系数K≤1.0×10</w:t>
                  </w:r>
                  <w:r>
                    <w:rPr>
                      <w:rFonts w:hint="eastAsia"/>
                      <w:vertAlign w:val="superscript"/>
                      <w:lang w:val="en-US" w:eastAsia="zh-CN"/>
                    </w:rPr>
                    <w:t>-7</w:t>
                  </w:r>
                  <w:r>
                    <w:rPr>
                      <w:rFonts w:hint="eastAsia"/>
                      <w:lang w:val="en-US" w:eastAsia="zh-CN"/>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 w:type="pct"/>
                  <w:tcBorders>
                    <w:tl2br w:val="nil"/>
                    <w:tr2bl w:val="nil"/>
                  </w:tcBorders>
                  <w:noWrap w:val="0"/>
                  <w:vAlign w:val="center"/>
                </w:tcPr>
                <w:p>
                  <w:pPr>
                    <w:pStyle w:val="69"/>
                    <w:bidi w:val="0"/>
                  </w:pPr>
                  <w:r>
                    <w:t>2</w:t>
                  </w:r>
                </w:p>
              </w:tc>
              <w:tc>
                <w:tcPr>
                  <w:tcW w:w="1155" w:type="pct"/>
                  <w:tcBorders>
                    <w:tl2br w:val="nil"/>
                    <w:tr2bl w:val="nil"/>
                  </w:tcBorders>
                  <w:noWrap w:val="0"/>
                  <w:vAlign w:val="center"/>
                </w:tcPr>
                <w:p>
                  <w:pPr>
                    <w:pStyle w:val="69"/>
                    <w:bidi w:val="0"/>
                    <w:rPr>
                      <w:rFonts w:hint="default"/>
                      <w:lang w:val="en-US"/>
                    </w:rPr>
                  </w:pPr>
                  <w:r>
                    <w:rPr>
                      <w:rFonts w:hint="eastAsia"/>
                      <w:lang w:val="en-US" w:eastAsia="zh-CN"/>
                    </w:rPr>
                    <w:t>待宰圈、屠宰车间等</w:t>
                  </w:r>
                </w:p>
              </w:tc>
              <w:tc>
                <w:tcPr>
                  <w:tcW w:w="926" w:type="pct"/>
                  <w:tcBorders>
                    <w:tl2br w:val="nil"/>
                    <w:tr2bl w:val="nil"/>
                  </w:tcBorders>
                  <w:noWrap w:val="0"/>
                  <w:vAlign w:val="center"/>
                </w:tcPr>
                <w:p>
                  <w:pPr>
                    <w:pStyle w:val="69"/>
                    <w:bidi w:val="0"/>
                  </w:pPr>
                  <w:r>
                    <w:t>一般防渗区</w:t>
                  </w:r>
                </w:p>
              </w:tc>
              <w:tc>
                <w:tcPr>
                  <w:tcW w:w="2511" w:type="pct"/>
                  <w:tcBorders>
                    <w:tl2br w:val="nil"/>
                    <w:tr2bl w:val="nil"/>
                  </w:tcBorders>
                  <w:noWrap w:val="0"/>
                  <w:vAlign w:val="center"/>
                </w:tcPr>
                <w:p>
                  <w:pPr>
                    <w:pStyle w:val="69"/>
                    <w:bidi w:val="0"/>
                    <w:rPr>
                      <w:rFonts w:hint="eastAsia"/>
                    </w:rPr>
                  </w:pPr>
                  <w:r>
                    <w:t>防渗</w:t>
                  </w:r>
                  <w:r>
                    <w:rPr>
                      <w:rFonts w:hint="eastAsia"/>
                      <w:lang w:eastAsia="zh-CN"/>
                    </w:rPr>
                    <w:t>混凝土</w:t>
                  </w:r>
                  <w:r>
                    <w:t>表层防渗</w:t>
                  </w:r>
                  <w:r>
                    <w:rPr>
                      <w:rFonts w:hint="eastAsia"/>
                    </w:rPr>
                    <w:t>，一般防渗区域的等效黏土防渗层Mb≥1.5m，渗透系数K≤1×10</w:t>
                  </w:r>
                  <w:r>
                    <w:rPr>
                      <w:rFonts w:hint="eastAsia"/>
                      <w:vertAlign w:val="superscript"/>
                    </w:rPr>
                    <w:t>-7</w:t>
                  </w:r>
                  <w:r>
                    <w:rPr>
                      <w:rFonts w:hint="eastAsia"/>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07" w:type="pct"/>
                  <w:tcBorders>
                    <w:tl2br w:val="nil"/>
                    <w:tr2bl w:val="nil"/>
                  </w:tcBorders>
                  <w:noWrap w:val="0"/>
                  <w:vAlign w:val="center"/>
                </w:tcPr>
                <w:p>
                  <w:pPr>
                    <w:pStyle w:val="69"/>
                    <w:bidi w:val="0"/>
                  </w:pPr>
                  <w:r>
                    <w:t>3</w:t>
                  </w:r>
                </w:p>
              </w:tc>
              <w:tc>
                <w:tcPr>
                  <w:tcW w:w="1155" w:type="pct"/>
                  <w:tcBorders>
                    <w:tl2br w:val="nil"/>
                    <w:tr2bl w:val="nil"/>
                  </w:tcBorders>
                  <w:noWrap w:val="0"/>
                  <w:vAlign w:val="center"/>
                </w:tcPr>
                <w:p>
                  <w:pPr>
                    <w:pStyle w:val="69"/>
                    <w:bidi w:val="0"/>
                    <w:rPr>
                      <w:rFonts w:hint="default" w:eastAsia="宋体"/>
                      <w:lang w:val="en-US" w:eastAsia="zh-CN"/>
                    </w:rPr>
                  </w:pPr>
                  <w:r>
                    <w:rPr>
                      <w:rFonts w:hint="eastAsia"/>
                      <w:lang w:val="en-US" w:eastAsia="zh-CN"/>
                    </w:rPr>
                    <w:t>厂区路面等</w:t>
                  </w:r>
                </w:p>
              </w:tc>
              <w:tc>
                <w:tcPr>
                  <w:tcW w:w="926" w:type="pct"/>
                  <w:tcBorders>
                    <w:tl2br w:val="nil"/>
                    <w:tr2bl w:val="nil"/>
                  </w:tcBorders>
                  <w:noWrap w:val="0"/>
                  <w:vAlign w:val="center"/>
                </w:tcPr>
                <w:p>
                  <w:pPr>
                    <w:pStyle w:val="69"/>
                    <w:bidi w:val="0"/>
                  </w:pPr>
                  <w:r>
                    <w:t>简单防渗区</w:t>
                  </w:r>
                </w:p>
              </w:tc>
              <w:tc>
                <w:tcPr>
                  <w:tcW w:w="2511" w:type="pct"/>
                  <w:tcBorders>
                    <w:tl2br w:val="nil"/>
                    <w:tr2bl w:val="nil"/>
                  </w:tcBorders>
                  <w:noWrap w:val="0"/>
                  <w:vAlign w:val="center"/>
                </w:tcPr>
                <w:p>
                  <w:pPr>
                    <w:pStyle w:val="69"/>
                    <w:bidi w:val="0"/>
                  </w:pPr>
                  <w:r>
                    <w:t>一般地面水泥硬化</w:t>
                  </w:r>
                </w:p>
              </w:tc>
            </w:tr>
          </w:tbl>
          <w:p>
            <w:pPr>
              <w:pStyle w:val="7"/>
              <w:bidi w:val="0"/>
              <w:rPr>
                <w:rFonts w:hint="default"/>
                <w:lang w:val="en-US" w:eastAsia="zh-CN"/>
              </w:rPr>
            </w:pPr>
            <w:r>
              <w:rPr>
                <w:rFonts w:hint="default"/>
                <w:lang w:val="en-US" w:eastAsia="zh-CN"/>
              </w:rPr>
              <w:t>跟踪监测要求：本项目在采取落实上述防控措施后，基本不会通过渗透的途径进入地下水、土壤环境。因此，本评价不提出地下水、土壤跟踪监测要求。</w:t>
            </w:r>
          </w:p>
          <w:p>
            <w:pPr>
              <w:pStyle w:val="2"/>
              <w:bidi w:val="0"/>
              <w:rPr>
                <w:rFonts w:hint="default"/>
                <w:lang w:val="en-US" w:eastAsia="zh-CN"/>
              </w:rPr>
            </w:pPr>
            <w:r>
              <w:rPr>
                <w:rFonts w:hint="default"/>
                <w:lang w:val="en-US" w:eastAsia="zh-CN"/>
              </w:rPr>
              <w:t>6.生态环境影响和保护措施</w:t>
            </w:r>
          </w:p>
          <w:p>
            <w:pPr>
              <w:pStyle w:val="7"/>
              <w:bidi w:val="0"/>
              <w:rPr>
                <w:rFonts w:hint="default"/>
                <w:lang w:val="en-US" w:eastAsia="zh-CN"/>
              </w:rPr>
            </w:pPr>
            <w:r>
              <w:rPr>
                <w:rFonts w:hint="default"/>
                <w:lang w:val="en-US" w:eastAsia="zh-CN"/>
              </w:rPr>
              <w:t>根据《建设项目环境影响报告表编制技术指南（污染影响类）（试行）》，本项目在园区内且用地范围内不含有生态环境保护目标，因此不开展生态调查和评价。</w:t>
            </w:r>
          </w:p>
          <w:p>
            <w:pPr>
              <w:pStyle w:val="2"/>
              <w:bidi w:val="0"/>
              <w:rPr>
                <w:rFonts w:hint="default"/>
                <w:lang w:val="en-US" w:eastAsia="zh-CN"/>
              </w:rPr>
            </w:pPr>
            <w:r>
              <w:rPr>
                <w:rFonts w:hint="default"/>
                <w:lang w:val="en-US" w:eastAsia="zh-CN"/>
              </w:rPr>
              <w:t>7.环境风险分析</w:t>
            </w:r>
          </w:p>
          <w:p>
            <w:pPr>
              <w:pStyle w:val="2"/>
              <w:bidi w:val="0"/>
              <w:rPr>
                <w:rFonts w:hint="default"/>
                <w:lang w:val="en-US" w:eastAsia="zh-CN"/>
              </w:rPr>
            </w:pPr>
            <w:r>
              <w:rPr>
                <w:rFonts w:hint="default"/>
                <w:lang w:val="en-US" w:eastAsia="zh-CN"/>
              </w:rPr>
              <w:t>7.1</w:t>
            </w:r>
            <w:r>
              <w:rPr>
                <w:rFonts w:hint="eastAsia"/>
                <w:lang w:val="en-US" w:eastAsia="zh-CN"/>
              </w:rPr>
              <w:t>风险源调查</w:t>
            </w:r>
          </w:p>
          <w:p>
            <w:pPr>
              <w:pStyle w:val="7"/>
              <w:bidi w:val="0"/>
              <w:rPr>
                <w:rFonts w:hint="default"/>
                <w:lang w:val="en-US" w:eastAsia="zh-CN"/>
              </w:rPr>
            </w:pPr>
            <w:r>
              <w:rPr>
                <w:rFonts w:hint="default"/>
                <w:lang w:val="en-US" w:eastAsia="zh-CN"/>
              </w:rPr>
              <w:t>物质风险调查包括主要原材料及辅助材料、最终产品、</w:t>
            </w:r>
            <w:r>
              <w:rPr>
                <w:rFonts w:hint="eastAsia"/>
                <w:lang w:val="en-US" w:eastAsia="zh-CN"/>
              </w:rPr>
              <w:t>“</w:t>
            </w:r>
            <w:r>
              <w:rPr>
                <w:rFonts w:hint="default"/>
                <w:lang w:val="en-US" w:eastAsia="zh-CN"/>
              </w:rPr>
              <w:t>三废</w:t>
            </w:r>
            <w:r>
              <w:rPr>
                <w:rFonts w:hint="eastAsia"/>
                <w:lang w:val="en-US" w:eastAsia="zh-CN"/>
              </w:rPr>
              <w:t>”</w:t>
            </w:r>
            <w:r>
              <w:rPr>
                <w:rFonts w:hint="default"/>
                <w:lang w:val="en-US" w:eastAsia="zh-CN"/>
              </w:rPr>
              <w:t>污染物、火灾和爆炸等伴生/次生的危险物质。本项目涉及的风险物质主要为</w:t>
            </w:r>
            <w:r>
              <w:rPr>
                <w:rFonts w:hint="eastAsia"/>
                <w:lang w:val="en-US" w:eastAsia="zh-CN"/>
              </w:rPr>
              <w:t>次氯酸钠</w:t>
            </w:r>
            <w:r>
              <w:rPr>
                <w:rFonts w:hint="default"/>
                <w:lang w:val="en-US" w:eastAsia="zh-CN"/>
              </w:rPr>
              <w:t>，属于《建设项目环境风险评价技术导则》（HJ169-2018）中</w:t>
            </w:r>
            <w:r>
              <w:rPr>
                <w:rFonts w:hint="eastAsia"/>
                <w:lang w:val="en-US" w:eastAsia="zh-CN"/>
              </w:rPr>
              <w:t>风险物质</w:t>
            </w:r>
            <w:r>
              <w:rPr>
                <w:rFonts w:hint="default"/>
                <w:lang w:val="en-US" w:eastAsia="zh-CN"/>
              </w:rPr>
              <w:t>。危险化学品中重大危险源辨识调查结果见下表。</w:t>
            </w:r>
          </w:p>
          <w:p>
            <w:pPr>
              <w:pStyle w:val="72"/>
              <w:bidi w:val="0"/>
              <w:rPr>
                <w:rFonts w:hint="default"/>
                <w:lang w:val="en-US" w:eastAsia="zh-CN"/>
              </w:rPr>
            </w:pPr>
            <w:r>
              <w:rPr>
                <w:rFonts w:hint="default"/>
                <w:lang w:val="en-US" w:eastAsia="zh-CN"/>
              </w:rPr>
              <w:t>表4-1</w:t>
            </w:r>
            <w:r>
              <w:rPr>
                <w:rFonts w:hint="eastAsia"/>
                <w:lang w:val="en-US" w:eastAsia="zh-CN"/>
              </w:rPr>
              <w:t>4</w:t>
            </w:r>
            <w:r>
              <w:rPr>
                <w:rFonts w:hint="default"/>
                <w:lang w:val="en-US" w:eastAsia="zh-CN"/>
              </w:rPr>
              <w:t xml:space="preserve">    风险源调查结果一览表</w:t>
            </w:r>
          </w:p>
          <w:tbl>
            <w:tblPr>
              <w:tblStyle w:val="24"/>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063"/>
              <w:gridCol w:w="1101"/>
              <w:gridCol w:w="1189"/>
              <w:gridCol w:w="988"/>
              <w:gridCol w:w="118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pPr>
                    <w:pStyle w:val="69"/>
                    <w:bidi w:val="0"/>
                    <w:rPr>
                      <w:rFonts w:hint="default"/>
                      <w:lang w:val="en-US" w:eastAsia="zh-CN"/>
                    </w:rPr>
                  </w:pPr>
                  <w:r>
                    <w:rPr>
                      <w:rFonts w:hint="eastAsia"/>
                      <w:lang w:val="en-US" w:eastAsia="zh-CN"/>
                    </w:rPr>
                    <w:t>序号</w:t>
                  </w:r>
                </w:p>
              </w:tc>
              <w:tc>
                <w:tcPr>
                  <w:tcW w:w="1062" w:type="dxa"/>
                  <w:noWrap w:val="0"/>
                  <w:vAlign w:val="center"/>
                </w:tcPr>
                <w:p>
                  <w:pPr>
                    <w:pStyle w:val="69"/>
                    <w:bidi w:val="0"/>
                    <w:rPr>
                      <w:rFonts w:hint="default"/>
                      <w:lang w:val="en-US" w:eastAsia="zh-CN"/>
                    </w:rPr>
                  </w:pPr>
                  <w:r>
                    <w:rPr>
                      <w:rFonts w:hint="eastAsia"/>
                      <w:lang w:val="en-US" w:eastAsia="zh-CN"/>
                    </w:rPr>
                    <w:t>名称</w:t>
                  </w:r>
                </w:p>
              </w:tc>
              <w:tc>
                <w:tcPr>
                  <w:tcW w:w="1100" w:type="dxa"/>
                  <w:noWrap w:val="0"/>
                  <w:vAlign w:val="center"/>
                </w:tcPr>
                <w:p>
                  <w:pPr>
                    <w:pStyle w:val="69"/>
                    <w:bidi w:val="0"/>
                    <w:rPr>
                      <w:rFonts w:hint="default"/>
                      <w:lang w:val="en-US" w:eastAsia="zh-CN"/>
                    </w:rPr>
                  </w:pPr>
                  <w:r>
                    <w:rPr>
                      <w:rFonts w:hint="eastAsia"/>
                      <w:lang w:val="en-US" w:eastAsia="zh-CN"/>
                    </w:rPr>
                    <w:t>危险特性</w:t>
                  </w:r>
                </w:p>
              </w:tc>
              <w:tc>
                <w:tcPr>
                  <w:tcW w:w="1188" w:type="dxa"/>
                  <w:noWrap w:val="0"/>
                  <w:vAlign w:val="center"/>
                </w:tcPr>
                <w:p>
                  <w:pPr>
                    <w:pStyle w:val="69"/>
                    <w:bidi w:val="0"/>
                    <w:rPr>
                      <w:rFonts w:hint="default"/>
                      <w:lang w:val="en-US" w:eastAsia="zh-CN"/>
                    </w:rPr>
                  </w:pPr>
                  <w:r>
                    <w:rPr>
                      <w:rFonts w:hint="eastAsia"/>
                      <w:lang w:val="en-US" w:eastAsia="zh-CN"/>
                    </w:rPr>
                    <w:t>储存能力（t/a）</w:t>
                  </w:r>
                </w:p>
              </w:tc>
              <w:tc>
                <w:tcPr>
                  <w:tcW w:w="987" w:type="dxa"/>
                  <w:noWrap w:val="0"/>
                  <w:vAlign w:val="center"/>
                </w:tcPr>
                <w:p>
                  <w:pPr>
                    <w:pStyle w:val="69"/>
                    <w:bidi w:val="0"/>
                    <w:rPr>
                      <w:rFonts w:hint="default"/>
                      <w:lang w:val="en-US" w:eastAsia="zh-CN"/>
                    </w:rPr>
                  </w:pPr>
                  <w:r>
                    <w:rPr>
                      <w:rFonts w:hint="eastAsia"/>
                      <w:lang w:val="en-US" w:eastAsia="zh-CN"/>
                    </w:rPr>
                    <w:t>临界量（t/a）</w:t>
                  </w:r>
                </w:p>
              </w:tc>
              <w:tc>
                <w:tcPr>
                  <w:tcW w:w="1186" w:type="dxa"/>
                  <w:noWrap w:val="0"/>
                  <w:vAlign w:val="center"/>
                </w:tcPr>
                <w:p>
                  <w:pPr>
                    <w:pStyle w:val="69"/>
                    <w:bidi w:val="0"/>
                    <w:rPr>
                      <w:rFonts w:hint="default"/>
                      <w:lang w:val="en-US" w:eastAsia="zh-CN"/>
                    </w:rPr>
                  </w:pPr>
                  <w:r>
                    <w:rPr>
                      <w:rFonts w:hint="eastAsia"/>
                      <w:lang w:val="en-US" w:eastAsia="zh-CN"/>
                    </w:rPr>
                    <w:t>Q值</w:t>
                  </w:r>
                </w:p>
              </w:tc>
              <w:tc>
                <w:tcPr>
                  <w:tcW w:w="1743" w:type="dxa"/>
                  <w:noWrap w:val="0"/>
                  <w:vAlign w:val="center"/>
                </w:tcPr>
                <w:p>
                  <w:pPr>
                    <w:pStyle w:val="69"/>
                    <w:bidi w:val="0"/>
                    <w:rPr>
                      <w:rFonts w:hint="default"/>
                      <w:lang w:val="en-US" w:eastAsia="zh-CN"/>
                    </w:rPr>
                  </w:pPr>
                  <w:r>
                    <w:rPr>
                      <w:rFonts w:hint="eastAsia"/>
                      <w:lang w:val="en-US" w:eastAsia="zh-CN"/>
                    </w:rPr>
                    <w:t>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noWrap w:val="0"/>
                  <w:vAlign w:val="center"/>
                </w:tcPr>
                <w:p>
                  <w:pPr>
                    <w:pStyle w:val="69"/>
                    <w:bidi w:val="0"/>
                    <w:rPr>
                      <w:rFonts w:hint="default"/>
                      <w:lang w:val="en-US" w:eastAsia="zh-CN"/>
                    </w:rPr>
                  </w:pPr>
                  <w:r>
                    <w:rPr>
                      <w:rFonts w:hint="eastAsia"/>
                      <w:lang w:val="en-US" w:eastAsia="zh-CN"/>
                    </w:rPr>
                    <w:t>1</w:t>
                  </w:r>
                </w:p>
              </w:tc>
              <w:tc>
                <w:tcPr>
                  <w:tcW w:w="1062" w:type="dxa"/>
                  <w:noWrap w:val="0"/>
                  <w:vAlign w:val="center"/>
                </w:tcPr>
                <w:p>
                  <w:pPr>
                    <w:pStyle w:val="69"/>
                    <w:bidi w:val="0"/>
                    <w:rPr>
                      <w:rFonts w:hint="default"/>
                      <w:lang w:val="en-US" w:eastAsia="zh-CN"/>
                    </w:rPr>
                  </w:pPr>
                  <w:r>
                    <w:rPr>
                      <w:rFonts w:hint="eastAsia"/>
                      <w:lang w:val="en-US" w:eastAsia="zh-CN"/>
                    </w:rPr>
                    <w:t>次氯酸钠</w:t>
                  </w:r>
                </w:p>
              </w:tc>
              <w:tc>
                <w:tcPr>
                  <w:tcW w:w="1100" w:type="dxa"/>
                  <w:noWrap w:val="0"/>
                  <w:vAlign w:val="center"/>
                </w:tcPr>
                <w:p>
                  <w:pPr>
                    <w:pStyle w:val="69"/>
                    <w:bidi w:val="0"/>
                    <w:rPr>
                      <w:rFonts w:hint="default"/>
                      <w:lang w:val="en-US" w:eastAsia="zh-CN"/>
                    </w:rPr>
                  </w:pPr>
                  <w:r>
                    <w:rPr>
                      <w:rFonts w:hint="eastAsia"/>
                      <w:lang w:val="en-US" w:eastAsia="zh-CN"/>
                    </w:rPr>
                    <w:t>强氧化性</w:t>
                  </w:r>
                </w:p>
              </w:tc>
              <w:tc>
                <w:tcPr>
                  <w:tcW w:w="1188" w:type="dxa"/>
                  <w:noWrap w:val="0"/>
                  <w:vAlign w:val="center"/>
                </w:tcPr>
                <w:p>
                  <w:pPr>
                    <w:pStyle w:val="69"/>
                    <w:bidi w:val="0"/>
                    <w:rPr>
                      <w:rFonts w:hint="default"/>
                      <w:lang w:val="en-US" w:eastAsia="zh-CN"/>
                    </w:rPr>
                  </w:pPr>
                  <w:r>
                    <w:rPr>
                      <w:rFonts w:hint="eastAsia"/>
                      <w:lang w:val="en-US" w:eastAsia="zh-CN"/>
                    </w:rPr>
                    <w:t>0.5</w:t>
                  </w:r>
                </w:p>
              </w:tc>
              <w:tc>
                <w:tcPr>
                  <w:tcW w:w="987" w:type="dxa"/>
                  <w:noWrap w:val="0"/>
                  <w:vAlign w:val="center"/>
                </w:tcPr>
                <w:p>
                  <w:pPr>
                    <w:pStyle w:val="69"/>
                    <w:bidi w:val="0"/>
                    <w:rPr>
                      <w:rFonts w:hint="default"/>
                      <w:lang w:val="en-US" w:eastAsia="zh-CN"/>
                    </w:rPr>
                  </w:pPr>
                  <w:r>
                    <w:rPr>
                      <w:rFonts w:hint="eastAsia"/>
                      <w:lang w:val="en-US" w:eastAsia="zh-CN"/>
                    </w:rPr>
                    <w:t>5</w:t>
                  </w:r>
                </w:p>
              </w:tc>
              <w:tc>
                <w:tcPr>
                  <w:tcW w:w="1186" w:type="dxa"/>
                  <w:noWrap w:val="0"/>
                  <w:vAlign w:val="center"/>
                </w:tcPr>
                <w:p>
                  <w:pPr>
                    <w:pStyle w:val="69"/>
                    <w:bidi w:val="0"/>
                    <w:rPr>
                      <w:rFonts w:hint="default"/>
                      <w:lang w:val="en-US" w:eastAsia="zh-CN"/>
                    </w:rPr>
                  </w:pPr>
                  <w:r>
                    <w:rPr>
                      <w:rFonts w:hint="eastAsia"/>
                      <w:lang w:val="en-US" w:eastAsia="zh-CN"/>
                    </w:rPr>
                    <w:t>0.1</w:t>
                  </w:r>
                </w:p>
              </w:tc>
              <w:tc>
                <w:tcPr>
                  <w:tcW w:w="1743" w:type="dxa"/>
                  <w:noWrap w:val="0"/>
                  <w:vAlign w:val="center"/>
                </w:tcPr>
                <w:p>
                  <w:pPr>
                    <w:pStyle w:val="69"/>
                    <w:bidi w:val="0"/>
                    <w:rPr>
                      <w:rFonts w:hint="default"/>
                      <w:lang w:val="en-US" w:eastAsia="zh-CN"/>
                    </w:rPr>
                  </w:pPr>
                  <w:r>
                    <w:rPr>
                      <w:rFonts w:hint="eastAsia"/>
                      <w:lang w:val="en-US" w:eastAsia="zh-CN"/>
                    </w:rPr>
                    <w:t>危险废物贮存点</w:t>
                  </w:r>
                </w:p>
              </w:tc>
            </w:tr>
          </w:tbl>
          <w:p>
            <w:pPr>
              <w:pStyle w:val="7"/>
              <w:bidi w:val="0"/>
              <w:rPr>
                <w:rFonts w:hint="default"/>
                <w:lang w:val="en-US" w:eastAsia="zh-CN"/>
              </w:rPr>
            </w:pPr>
            <w:r>
              <w:rPr>
                <w:rFonts w:hint="default"/>
                <w:lang w:val="en-US" w:eastAsia="zh-CN"/>
              </w:rPr>
              <w:t>由上表可知，本项目危险物质的数量与临界量比值Q为</w:t>
            </w:r>
            <w:r>
              <w:rPr>
                <w:rFonts w:hint="eastAsia"/>
                <w:lang w:val="en-US" w:eastAsia="zh-CN"/>
              </w:rPr>
              <w:t>0.1</w:t>
            </w:r>
            <w:r>
              <w:rPr>
                <w:rFonts w:hint="default"/>
                <w:lang w:val="en-US" w:eastAsia="zh-CN"/>
              </w:rPr>
              <w:t>＜1，该项目环境风险潜势为I。</w:t>
            </w:r>
          </w:p>
          <w:p>
            <w:pPr>
              <w:pStyle w:val="2"/>
              <w:bidi w:val="0"/>
              <w:rPr>
                <w:rFonts w:hint="default"/>
                <w:lang w:val="en-US" w:eastAsia="zh-CN"/>
              </w:rPr>
            </w:pPr>
            <w:r>
              <w:rPr>
                <w:rFonts w:hint="default"/>
                <w:lang w:val="en-US" w:eastAsia="zh-CN"/>
              </w:rPr>
              <w:t>7.2环境风险源影响途径</w:t>
            </w:r>
          </w:p>
          <w:p>
            <w:pPr>
              <w:pStyle w:val="7"/>
              <w:bidi w:val="0"/>
              <w:rPr>
                <w:rFonts w:hint="eastAsia"/>
                <w:lang w:val="en-US" w:eastAsia="zh-CN"/>
              </w:rPr>
            </w:pPr>
            <w:r>
              <w:rPr>
                <w:rFonts w:hint="eastAsia"/>
                <w:lang w:val="en-US" w:eastAsia="zh-CN"/>
              </w:rPr>
              <w:t>（1）次氯酸钠储存量小。通过防渗处理可将泄漏物控制在仓库内，不涉及影响途径。消毒系统使用次氯酸钠溶液进行消毒。次氯酸钠通过加药系统投加至消毒系统中，若加药系统出现故障，次氯酸钠投放量不能根据进水水质的变化而产生改变的话，可能会导致废水消毒不完全或发生二次污染，影响出水水质，导致出水中的粪大肠菌群指标超标。从而给周围环境造成较大的危害。</w:t>
            </w:r>
          </w:p>
          <w:p>
            <w:pPr>
              <w:pStyle w:val="7"/>
              <w:bidi w:val="0"/>
              <w:rPr>
                <w:rFonts w:hint="eastAsia"/>
                <w:lang w:val="en-US" w:eastAsia="zh-CN"/>
              </w:rPr>
            </w:pPr>
            <w:r>
              <w:rPr>
                <w:rFonts w:hint="eastAsia"/>
                <w:lang w:val="en-US" w:eastAsia="zh-CN"/>
              </w:rPr>
              <w:t>（2）废水事故性排放，主要为污水处理站设备故障、检修或由于工艺参数改变而使处理效果变差。</w:t>
            </w:r>
          </w:p>
          <w:p>
            <w:pPr>
              <w:pStyle w:val="72"/>
              <w:bidi w:val="0"/>
              <w:rPr>
                <w:rFonts w:hint="eastAsia"/>
                <w:lang w:val="en-US" w:eastAsia="zh-CN"/>
              </w:rPr>
            </w:pPr>
            <w:r>
              <w:rPr>
                <w:rFonts w:hint="eastAsia"/>
                <w:lang w:val="en-US" w:eastAsia="zh-CN"/>
              </w:rPr>
              <w:t>表4-15   次氯酸钠的理化性质</w:t>
            </w:r>
          </w:p>
          <w:tbl>
            <w:tblPr>
              <w:tblStyle w:val="25"/>
              <w:tblW w:w="8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2235"/>
              <w:gridCol w:w="550"/>
              <w:gridCol w:w="907"/>
              <w:gridCol w:w="1225"/>
              <w:gridCol w:w="115"/>
              <w:gridCol w:w="241"/>
              <w:gridCol w:w="799"/>
              <w:gridCol w:w="831"/>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pStyle w:val="73"/>
                    <w:bidi w:val="0"/>
                    <w:jc w:val="center"/>
                    <w:rPr>
                      <w:rFonts w:hint="default"/>
                      <w:lang w:val="en-US" w:eastAsia="zh-CN"/>
                    </w:rPr>
                  </w:pPr>
                  <w:r>
                    <w:rPr>
                      <w:rFonts w:hint="eastAsia"/>
                      <w:lang w:val="en-US" w:eastAsia="zh-CN"/>
                    </w:rPr>
                    <w:t>标识</w:t>
                  </w:r>
                </w:p>
              </w:tc>
              <w:tc>
                <w:tcPr>
                  <w:tcW w:w="4047" w:type="dxa"/>
                  <w:gridSpan w:val="4"/>
                  <w:vAlign w:val="center"/>
                </w:tcPr>
                <w:p>
                  <w:pPr>
                    <w:pStyle w:val="73"/>
                    <w:bidi w:val="0"/>
                    <w:jc w:val="center"/>
                    <w:rPr>
                      <w:rFonts w:hint="default"/>
                      <w:lang w:val="en-US" w:eastAsia="zh-CN"/>
                    </w:rPr>
                  </w:pPr>
                  <w:r>
                    <w:rPr>
                      <w:rFonts w:hint="eastAsia"/>
                      <w:lang w:val="en-US" w:eastAsia="zh-CN"/>
                    </w:rPr>
                    <w:t>中文名：次氯酸钠溶液[含有效氯＞5%]；漂白水</w:t>
                  </w:r>
                </w:p>
              </w:tc>
              <w:tc>
                <w:tcPr>
                  <w:tcW w:w="3519" w:type="dxa"/>
                  <w:gridSpan w:val="5"/>
                  <w:vAlign w:val="center"/>
                </w:tcPr>
                <w:p>
                  <w:pPr>
                    <w:pStyle w:val="73"/>
                    <w:bidi w:val="0"/>
                    <w:jc w:val="center"/>
                    <w:rPr>
                      <w:rFonts w:hint="default"/>
                      <w:lang w:val="en-US" w:eastAsia="zh-CN"/>
                    </w:rPr>
                  </w:pPr>
                  <w:r>
                    <w:rPr>
                      <w:rFonts w:hint="default"/>
                      <w:lang w:val="en-US" w:eastAsia="zh-CN"/>
                    </w:rPr>
                    <w:t>危险货物编号：83501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4047" w:type="dxa"/>
                  <w:gridSpan w:val="4"/>
                  <w:vAlign w:val="center"/>
                </w:tcPr>
                <w:p>
                  <w:pPr>
                    <w:pStyle w:val="73"/>
                    <w:bidi w:val="0"/>
                    <w:jc w:val="center"/>
                    <w:rPr>
                      <w:rFonts w:hint="default"/>
                      <w:lang w:val="en-US" w:eastAsia="zh-CN"/>
                    </w:rPr>
                  </w:pPr>
                  <w:r>
                    <w:rPr>
                      <w:rFonts w:hint="default"/>
                      <w:lang w:val="en-US" w:eastAsia="zh-CN"/>
                    </w:rPr>
                    <w:t>英文名：Sodiumhypochloritesolutioncontainingmorethan5%avai lablechlorine；Javele</w:t>
                  </w:r>
                </w:p>
              </w:tc>
              <w:tc>
                <w:tcPr>
                  <w:tcW w:w="3519" w:type="dxa"/>
                  <w:gridSpan w:val="5"/>
                  <w:vAlign w:val="center"/>
                </w:tcPr>
                <w:p>
                  <w:pPr>
                    <w:pStyle w:val="73"/>
                    <w:bidi w:val="0"/>
                    <w:jc w:val="center"/>
                    <w:rPr>
                      <w:rFonts w:hint="default"/>
                      <w:lang w:val="en-US" w:eastAsia="zh-CN"/>
                    </w:rPr>
                  </w:pPr>
                  <w:r>
                    <w:rPr>
                      <w:rFonts w:hint="default"/>
                      <w:lang w:val="en-US" w:eastAsia="zh-CN"/>
                    </w:rPr>
                    <w:t>UN编号：1791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922" w:type="dxa"/>
                  <w:gridSpan w:val="2"/>
                  <w:vAlign w:val="center"/>
                </w:tcPr>
                <w:p>
                  <w:pPr>
                    <w:pStyle w:val="73"/>
                    <w:bidi w:val="0"/>
                    <w:jc w:val="center"/>
                    <w:rPr>
                      <w:rFonts w:hint="default"/>
                      <w:lang w:val="en-US" w:eastAsia="zh-CN"/>
                    </w:rPr>
                  </w:pPr>
                  <w:r>
                    <w:rPr>
                      <w:rFonts w:hint="eastAsia"/>
                      <w:lang w:val="en-US" w:eastAsia="zh-CN"/>
                    </w:rPr>
                    <w:t>分子式：NaClO</w:t>
                  </w:r>
                </w:p>
              </w:tc>
              <w:tc>
                <w:tcPr>
                  <w:tcW w:w="2125" w:type="dxa"/>
                  <w:gridSpan w:val="2"/>
                  <w:vAlign w:val="center"/>
                </w:tcPr>
                <w:p>
                  <w:pPr>
                    <w:pStyle w:val="73"/>
                    <w:bidi w:val="0"/>
                    <w:jc w:val="center"/>
                    <w:rPr>
                      <w:rFonts w:hint="default"/>
                      <w:lang w:val="en-US" w:eastAsia="zh-CN"/>
                    </w:rPr>
                  </w:pPr>
                  <w:r>
                    <w:rPr>
                      <w:rFonts w:hint="default"/>
                      <w:lang w:val="en-US" w:eastAsia="zh-CN"/>
                    </w:rPr>
                    <w:t>分子量：74.44</w:t>
                  </w:r>
                </w:p>
              </w:tc>
              <w:tc>
                <w:tcPr>
                  <w:tcW w:w="3519" w:type="dxa"/>
                  <w:gridSpan w:val="5"/>
                  <w:vAlign w:val="center"/>
                </w:tcPr>
                <w:p>
                  <w:pPr>
                    <w:pStyle w:val="73"/>
                    <w:bidi w:val="0"/>
                    <w:jc w:val="center"/>
                    <w:rPr>
                      <w:rFonts w:hint="default"/>
                      <w:lang w:val="en-US" w:eastAsia="zh-CN"/>
                    </w:rPr>
                  </w:pPr>
                  <w:r>
                    <w:rPr>
                      <w:rFonts w:hint="default"/>
                      <w:lang w:val="en-US" w:eastAsia="zh-CN"/>
                    </w:rPr>
                    <w:t>CAS号：7681-52-9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pStyle w:val="73"/>
                    <w:bidi w:val="0"/>
                    <w:jc w:val="center"/>
                    <w:rPr>
                      <w:rFonts w:hint="default"/>
                      <w:lang w:val="en-US" w:eastAsia="zh-CN"/>
                    </w:rPr>
                  </w:pPr>
                  <w:r>
                    <w:rPr>
                      <w:rFonts w:hint="default"/>
                      <w:lang w:val="en-US" w:eastAsia="zh-CN"/>
                    </w:rPr>
                    <w:t>理化性质</w:t>
                  </w:r>
                </w:p>
              </w:tc>
              <w:tc>
                <w:tcPr>
                  <w:tcW w:w="1375" w:type="dxa"/>
                  <w:vAlign w:val="center"/>
                </w:tcPr>
                <w:p>
                  <w:pPr>
                    <w:pStyle w:val="73"/>
                    <w:bidi w:val="0"/>
                    <w:jc w:val="center"/>
                    <w:rPr>
                      <w:rFonts w:hint="default"/>
                      <w:lang w:val="en-US" w:eastAsia="zh-CN"/>
                    </w:rPr>
                  </w:pPr>
                  <w:r>
                    <w:rPr>
                      <w:rFonts w:hint="default"/>
                      <w:lang w:val="en-US" w:eastAsia="zh-CN"/>
                    </w:rPr>
                    <w:t>外观与性状</w:t>
                  </w:r>
                </w:p>
              </w:tc>
              <w:tc>
                <w:tcPr>
                  <w:tcW w:w="6191" w:type="dxa"/>
                  <w:gridSpan w:val="8"/>
                  <w:vAlign w:val="center"/>
                </w:tcPr>
                <w:p>
                  <w:pPr>
                    <w:pStyle w:val="73"/>
                    <w:bidi w:val="0"/>
                    <w:jc w:val="center"/>
                    <w:rPr>
                      <w:rFonts w:hint="default"/>
                      <w:lang w:val="en-US" w:eastAsia="zh-CN"/>
                    </w:rPr>
                  </w:pPr>
                  <w:r>
                    <w:rPr>
                      <w:rFonts w:hint="default"/>
                      <w:lang w:val="en-US" w:eastAsia="zh-CN"/>
                    </w:rPr>
                    <w:t>微黄色溶液，有似氯气的气味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熔点（℃）</w:t>
                  </w:r>
                </w:p>
              </w:tc>
              <w:tc>
                <w:tcPr>
                  <w:tcW w:w="1450" w:type="dxa"/>
                  <w:gridSpan w:val="2"/>
                  <w:vAlign w:val="center"/>
                </w:tcPr>
                <w:p>
                  <w:pPr>
                    <w:pStyle w:val="73"/>
                    <w:bidi w:val="0"/>
                    <w:jc w:val="center"/>
                    <w:rPr>
                      <w:rFonts w:hint="default"/>
                      <w:lang w:val="en-US" w:eastAsia="zh-CN"/>
                    </w:rPr>
                  </w:pPr>
                  <w:r>
                    <w:rPr>
                      <w:rFonts w:hint="eastAsia"/>
                      <w:lang w:val="en-US" w:eastAsia="zh-CN"/>
                    </w:rPr>
                    <w:t>-6</w:t>
                  </w:r>
                </w:p>
              </w:tc>
              <w:tc>
                <w:tcPr>
                  <w:tcW w:w="1850" w:type="dxa"/>
                  <w:gridSpan w:val="3"/>
                  <w:vAlign w:val="center"/>
                </w:tcPr>
                <w:p>
                  <w:pPr>
                    <w:pStyle w:val="73"/>
                    <w:bidi w:val="0"/>
                    <w:jc w:val="center"/>
                    <w:rPr>
                      <w:rFonts w:hint="default"/>
                      <w:lang w:val="en-US" w:eastAsia="zh-CN"/>
                    </w:rPr>
                  </w:pPr>
                  <w:r>
                    <w:rPr>
                      <w:rFonts w:hint="default"/>
                      <w:lang w:val="en-US" w:eastAsia="zh-CN"/>
                    </w:rPr>
                    <w:t>相对密度(水=1)</w:t>
                  </w:r>
                </w:p>
              </w:tc>
              <w:tc>
                <w:tcPr>
                  <w:tcW w:w="962" w:type="dxa"/>
                  <w:vAlign w:val="center"/>
                </w:tcPr>
                <w:p>
                  <w:pPr>
                    <w:pStyle w:val="73"/>
                    <w:bidi w:val="0"/>
                    <w:jc w:val="center"/>
                    <w:rPr>
                      <w:rFonts w:hint="default"/>
                      <w:lang w:val="en-US" w:eastAsia="zh-CN"/>
                    </w:rPr>
                  </w:pPr>
                  <w:r>
                    <w:rPr>
                      <w:rFonts w:hint="eastAsia"/>
                      <w:lang w:val="en-US" w:eastAsia="zh-CN"/>
                    </w:rPr>
                    <w:t>1.10</w:t>
                  </w:r>
                </w:p>
              </w:tc>
              <w:tc>
                <w:tcPr>
                  <w:tcW w:w="1075" w:type="dxa"/>
                  <w:vAlign w:val="center"/>
                </w:tcPr>
                <w:p>
                  <w:pPr>
                    <w:pStyle w:val="73"/>
                    <w:bidi w:val="0"/>
                    <w:jc w:val="center"/>
                    <w:rPr>
                      <w:rFonts w:hint="default"/>
                      <w:lang w:val="en-US" w:eastAsia="zh-CN"/>
                    </w:rPr>
                  </w:pPr>
                  <w:r>
                    <w:rPr>
                      <w:rFonts w:hint="default"/>
                      <w:lang w:val="en-US" w:eastAsia="zh-CN"/>
                    </w:rPr>
                    <w:t>相对密度(空气=1)</w:t>
                  </w:r>
                </w:p>
              </w:tc>
              <w:tc>
                <w:tcPr>
                  <w:tcW w:w="854" w:type="dxa"/>
                  <w:vAlign w:val="center"/>
                </w:tcPr>
                <w:p>
                  <w:pPr>
                    <w:pStyle w:val="73"/>
                    <w:bidi w:val="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沸点（℃）</w:t>
                  </w:r>
                </w:p>
              </w:tc>
              <w:tc>
                <w:tcPr>
                  <w:tcW w:w="1450" w:type="dxa"/>
                  <w:gridSpan w:val="2"/>
                  <w:vAlign w:val="center"/>
                </w:tcPr>
                <w:p>
                  <w:pPr>
                    <w:pStyle w:val="73"/>
                    <w:bidi w:val="0"/>
                    <w:jc w:val="center"/>
                    <w:rPr>
                      <w:rFonts w:hint="default"/>
                      <w:lang w:val="en-US" w:eastAsia="zh-CN"/>
                    </w:rPr>
                  </w:pPr>
                  <w:r>
                    <w:rPr>
                      <w:rFonts w:hint="default"/>
                      <w:lang w:val="en-US" w:eastAsia="zh-CN"/>
                    </w:rPr>
                    <w:t>102.2</w:t>
                  </w:r>
                </w:p>
              </w:tc>
              <w:tc>
                <w:tcPr>
                  <w:tcW w:w="2812" w:type="dxa"/>
                  <w:gridSpan w:val="4"/>
                  <w:vAlign w:val="center"/>
                </w:tcPr>
                <w:p>
                  <w:pPr>
                    <w:pStyle w:val="73"/>
                    <w:bidi w:val="0"/>
                    <w:jc w:val="center"/>
                    <w:rPr>
                      <w:rFonts w:hint="default"/>
                      <w:lang w:val="en-US" w:eastAsia="zh-CN"/>
                    </w:rPr>
                  </w:pPr>
                  <w:r>
                    <w:rPr>
                      <w:rFonts w:hint="default"/>
                      <w:lang w:val="en-US" w:eastAsia="zh-CN"/>
                    </w:rPr>
                    <w:t>饱和蒸气压（kPa）</w:t>
                  </w:r>
                </w:p>
              </w:tc>
              <w:tc>
                <w:tcPr>
                  <w:tcW w:w="1929" w:type="dxa"/>
                  <w:gridSpan w:val="2"/>
                  <w:vAlign w:val="center"/>
                </w:tcPr>
                <w:p>
                  <w:pPr>
                    <w:pStyle w:val="73"/>
                    <w:bidi w:val="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溶解性</w:t>
                  </w:r>
                </w:p>
              </w:tc>
              <w:tc>
                <w:tcPr>
                  <w:tcW w:w="6191" w:type="dxa"/>
                  <w:gridSpan w:val="8"/>
                  <w:vAlign w:val="center"/>
                </w:tcPr>
                <w:p>
                  <w:pPr>
                    <w:pStyle w:val="73"/>
                    <w:bidi w:val="0"/>
                    <w:jc w:val="center"/>
                    <w:rPr>
                      <w:rFonts w:hint="default"/>
                      <w:lang w:val="en-US" w:eastAsia="zh-CN"/>
                    </w:rPr>
                  </w:pPr>
                  <w:r>
                    <w:rPr>
                      <w:rFonts w:hint="default"/>
                      <w:lang w:val="en-US" w:eastAsia="zh-CN"/>
                    </w:rPr>
                    <w:t>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pStyle w:val="73"/>
                    <w:bidi w:val="0"/>
                    <w:jc w:val="center"/>
                    <w:rPr>
                      <w:rFonts w:hint="default"/>
                      <w:lang w:val="en-US" w:eastAsia="zh-CN"/>
                    </w:rPr>
                  </w:pPr>
                  <w:r>
                    <w:rPr>
                      <w:rFonts w:hint="eastAsia"/>
                      <w:lang w:val="en-US" w:eastAsia="zh-CN"/>
                    </w:rPr>
                    <w:t>毒性及健康危害</w:t>
                  </w:r>
                </w:p>
              </w:tc>
              <w:tc>
                <w:tcPr>
                  <w:tcW w:w="1375" w:type="dxa"/>
                  <w:vAlign w:val="center"/>
                </w:tcPr>
                <w:p>
                  <w:pPr>
                    <w:pStyle w:val="73"/>
                    <w:bidi w:val="0"/>
                    <w:jc w:val="center"/>
                    <w:rPr>
                      <w:rFonts w:hint="default"/>
                      <w:lang w:val="en-US" w:eastAsia="zh-CN"/>
                    </w:rPr>
                  </w:pPr>
                  <w:r>
                    <w:rPr>
                      <w:rFonts w:hint="default"/>
                      <w:lang w:val="en-US" w:eastAsia="zh-CN"/>
                    </w:rPr>
                    <w:t>侵入途径</w:t>
                  </w:r>
                </w:p>
              </w:tc>
              <w:tc>
                <w:tcPr>
                  <w:tcW w:w="6191" w:type="dxa"/>
                  <w:gridSpan w:val="8"/>
                  <w:vAlign w:val="center"/>
                </w:tcPr>
                <w:p>
                  <w:pPr>
                    <w:pStyle w:val="73"/>
                    <w:bidi w:val="0"/>
                    <w:jc w:val="center"/>
                    <w:rPr>
                      <w:rFonts w:hint="default"/>
                      <w:lang w:val="en-US" w:eastAsia="zh-CN"/>
                    </w:rPr>
                  </w:pPr>
                  <w:r>
                    <w:rPr>
                      <w:rFonts w:hint="default"/>
                      <w:lang w:val="en-US" w:eastAsia="zh-CN"/>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毒性</w:t>
                  </w:r>
                </w:p>
              </w:tc>
              <w:tc>
                <w:tcPr>
                  <w:tcW w:w="6191" w:type="dxa"/>
                  <w:gridSpan w:val="8"/>
                  <w:vAlign w:val="center"/>
                </w:tcPr>
                <w:p>
                  <w:pPr>
                    <w:pStyle w:val="73"/>
                    <w:bidi w:val="0"/>
                    <w:jc w:val="center"/>
                    <w:rPr>
                      <w:rFonts w:hint="default"/>
                      <w:lang w:val="en-US" w:eastAsia="zh-CN"/>
                    </w:rPr>
                  </w:pPr>
                  <w:r>
                    <w:rPr>
                      <w:rFonts w:hint="default"/>
                      <w:lang w:val="en-US" w:eastAsia="zh-CN"/>
                    </w:rPr>
                    <w:t>LD50：5800mg/kg(小鼠经口)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健康危害</w:t>
                  </w:r>
                </w:p>
              </w:tc>
              <w:tc>
                <w:tcPr>
                  <w:tcW w:w="6191" w:type="dxa"/>
                  <w:gridSpan w:val="8"/>
                  <w:vAlign w:val="center"/>
                </w:tcPr>
                <w:p>
                  <w:pPr>
                    <w:pStyle w:val="73"/>
                    <w:bidi w:val="0"/>
                    <w:jc w:val="center"/>
                    <w:rPr>
                      <w:rFonts w:hint="default"/>
                      <w:lang w:val="en-US" w:eastAsia="zh-CN"/>
                    </w:rPr>
                  </w:pPr>
                  <w:r>
                    <w:rPr>
                      <w:rFonts w:hint="default"/>
                      <w:lang w:val="en-US" w:eastAsia="zh-CN"/>
                    </w:rPr>
                    <w:t>次氯酸钠放出的游离氯可引起中毒，亦可引起皮肤病。已知本品有致敏作用。用次氯酸钠漂白液洗手的工人，手掌大量出汗，指甲变薄，毛发脱落</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急救方法</w:t>
                  </w:r>
                </w:p>
              </w:tc>
              <w:tc>
                <w:tcPr>
                  <w:tcW w:w="6191" w:type="dxa"/>
                  <w:gridSpan w:val="8"/>
                  <w:vAlign w:val="center"/>
                </w:tcPr>
                <w:p>
                  <w:pPr>
                    <w:pStyle w:val="73"/>
                    <w:bidi w:val="0"/>
                    <w:jc w:val="center"/>
                    <w:rPr>
                      <w:rFonts w:hint="default"/>
                      <w:lang w:val="en-US" w:eastAsia="zh-CN"/>
                    </w:rPr>
                  </w:pPr>
                  <w:r>
                    <w:rPr>
                      <w:rFonts w:hint="default"/>
                      <w:lang w:val="en-US" w:eastAsia="zh-CN"/>
                    </w:rPr>
                    <w:t>皮肤接触：脱去被污染的衣着，用大量流动清水冲洗。眼睛接触：提起眼睑，用流动清水或生理盐水冲洗。就医。吸入：迅速脱离现场至空气新鲜处。保持呼吸道通畅。如呼吸困难，给输氧。如呼吸停止，立即进行人工呼吸。就医。食入：饮足量温水，催吐。就医</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pStyle w:val="73"/>
                    <w:bidi w:val="0"/>
                    <w:jc w:val="center"/>
                    <w:rPr>
                      <w:rFonts w:hint="default"/>
                      <w:lang w:val="en-US" w:eastAsia="zh-CN"/>
                    </w:rPr>
                  </w:pPr>
                  <w:r>
                    <w:rPr>
                      <w:rFonts w:hint="default"/>
                      <w:lang w:val="en-US" w:eastAsia="zh-CN"/>
                    </w:rPr>
                    <w:t>燃烧爆炸危险性</w:t>
                  </w:r>
                </w:p>
              </w:tc>
              <w:tc>
                <w:tcPr>
                  <w:tcW w:w="1375" w:type="dxa"/>
                  <w:vAlign w:val="center"/>
                </w:tcPr>
                <w:p>
                  <w:pPr>
                    <w:pStyle w:val="73"/>
                    <w:bidi w:val="0"/>
                    <w:jc w:val="center"/>
                    <w:rPr>
                      <w:rFonts w:hint="default"/>
                      <w:lang w:val="en-US" w:eastAsia="zh-CN"/>
                    </w:rPr>
                  </w:pPr>
                  <w:r>
                    <w:rPr>
                      <w:rFonts w:hint="default"/>
                      <w:lang w:val="en-US" w:eastAsia="zh-CN"/>
                    </w:rPr>
                    <w:t>燃烧性</w:t>
                  </w:r>
                </w:p>
              </w:tc>
              <w:tc>
                <w:tcPr>
                  <w:tcW w:w="1450" w:type="dxa"/>
                  <w:gridSpan w:val="2"/>
                  <w:vAlign w:val="center"/>
                </w:tcPr>
                <w:p>
                  <w:pPr>
                    <w:pStyle w:val="73"/>
                    <w:bidi w:val="0"/>
                    <w:jc w:val="center"/>
                    <w:rPr>
                      <w:rFonts w:hint="default"/>
                      <w:lang w:val="en-US" w:eastAsia="zh-CN"/>
                    </w:rPr>
                  </w:pPr>
                  <w:r>
                    <w:rPr>
                      <w:rFonts w:hint="default"/>
                      <w:lang w:val="en-US" w:eastAsia="zh-CN"/>
                    </w:rPr>
                    <w:t>不燃</w:t>
                  </w:r>
                </w:p>
              </w:tc>
              <w:tc>
                <w:tcPr>
                  <w:tcW w:w="2812" w:type="dxa"/>
                  <w:gridSpan w:val="4"/>
                  <w:vAlign w:val="center"/>
                </w:tcPr>
                <w:p>
                  <w:pPr>
                    <w:pStyle w:val="73"/>
                    <w:bidi w:val="0"/>
                    <w:jc w:val="center"/>
                    <w:rPr>
                      <w:rFonts w:hint="default"/>
                      <w:lang w:val="en-US" w:eastAsia="zh-CN"/>
                    </w:rPr>
                  </w:pPr>
                  <w:r>
                    <w:rPr>
                      <w:rFonts w:hint="default"/>
                      <w:lang w:val="en-US" w:eastAsia="zh-CN"/>
                    </w:rPr>
                    <w:t>燃烧分解物</w:t>
                  </w:r>
                </w:p>
              </w:tc>
              <w:tc>
                <w:tcPr>
                  <w:tcW w:w="1929" w:type="dxa"/>
                  <w:gridSpan w:val="2"/>
                  <w:vAlign w:val="center"/>
                </w:tcPr>
                <w:p>
                  <w:pPr>
                    <w:pStyle w:val="73"/>
                    <w:bidi w:val="0"/>
                    <w:jc w:val="center"/>
                    <w:rPr>
                      <w:rFonts w:hint="default"/>
                      <w:lang w:val="en-US" w:eastAsia="zh-CN"/>
                    </w:rPr>
                  </w:pPr>
                  <w:r>
                    <w:rPr>
                      <w:rFonts w:hint="default"/>
                      <w:lang w:val="en-US" w:eastAsia="zh-CN"/>
                    </w:rPr>
                    <w:t>氯化物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闪点(℃)</w:t>
                  </w:r>
                </w:p>
              </w:tc>
              <w:tc>
                <w:tcPr>
                  <w:tcW w:w="1450" w:type="dxa"/>
                  <w:gridSpan w:val="2"/>
                  <w:vAlign w:val="center"/>
                </w:tcPr>
                <w:p>
                  <w:pPr>
                    <w:pStyle w:val="73"/>
                    <w:bidi w:val="0"/>
                    <w:jc w:val="center"/>
                    <w:rPr>
                      <w:rFonts w:hint="default"/>
                      <w:lang w:val="en-US" w:eastAsia="zh-CN"/>
                    </w:rPr>
                  </w:pPr>
                  <w:r>
                    <w:rPr>
                      <w:rFonts w:hint="eastAsia"/>
                      <w:lang w:val="en-US" w:eastAsia="zh-CN"/>
                    </w:rPr>
                    <w:t>/</w:t>
                  </w:r>
                </w:p>
              </w:tc>
              <w:tc>
                <w:tcPr>
                  <w:tcW w:w="2812" w:type="dxa"/>
                  <w:gridSpan w:val="4"/>
                  <w:vAlign w:val="center"/>
                </w:tcPr>
                <w:p>
                  <w:pPr>
                    <w:pStyle w:val="73"/>
                    <w:bidi w:val="0"/>
                    <w:jc w:val="center"/>
                    <w:rPr>
                      <w:rFonts w:hint="default"/>
                      <w:lang w:val="en-US" w:eastAsia="zh-CN"/>
                    </w:rPr>
                  </w:pPr>
                  <w:r>
                    <w:rPr>
                      <w:rFonts w:hint="default"/>
                      <w:lang w:val="en-US" w:eastAsia="zh-CN"/>
                    </w:rPr>
                    <w:t>爆炸上限（v%）</w:t>
                  </w:r>
                </w:p>
              </w:tc>
              <w:tc>
                <w:tcPr>
                  <w:tcW w:w="1929" w:type="dxa"/>
                  <w:gridSpan w:val="2"/>
                  <w:vAlign w:val="center"/>
                </w:tcPr>
                <w:p>
                  <w:pPr>
                    <w:pStyle w:val="73"/>
                    <w:bidi w:val="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引燃温度(℃)</w:t>
                  </w:r>
                </w:p>
              </w:tc>
              <w:tc>
                <w:tcPr>
                  <w:tcW w:w="1450" w:type="dxa"/>
                  <w:gridSpan w:val="2"/>
                  <w:vAlign w:val="center"/>
                </w:tcPr>
                <w:p>
                  <w:pPr>
                    <w:pStyle w:val="73"/>
                    <w:bidi w:val="0"/>
                    <w:jc w:val="center"/>
                    <w:rPr>
                      <w:rFonts w:hint="default"/>
                      <w:lang w:val="en-US" w:eastAsia="zh-CN"/>
                    </w:rPr>
                  </w:pPr>
                  <w:r>
                    <w:rPr>
                      <w:rFonts w:hint="eastAsia"/>
                      <w:lang w:val="en-US" w:eastAsia="zh-CN"/>
                    </w:rPr>
                    <w:t>/</w:t>
                  </w:r>
                </w:p>
              </w:tc>
              <w:tc>
                <w:tcPr>
                  <w:tcW w:w="2812" w:type="dxa"/>
                  <w:gridSpan w:val="4"/>
                  <w:vAlign w:val="center"/>
                </w:tcPr>
                <w:p>
                  <w:pPr>
                    <w:pStyle w:val="73"/>
                    <w:bidi w:val="0"/>
                    <w:jc w:val="center"/>
                    <w:rPr>
                      <w:rFonts w:hint="default"/>
                      <w:lang w:val="en-US" w:eastAsia="zh-CN"/>
                    </w:rPr>
                  </w:pPr>
                  <w:r>
                    <w:rPr>
                      <w:rFonts w:hint="default"/>
                      <w:lang w:val="en-US" w:eastAsia="zh-CN"/>
                    </w:rPr>
                    <w:t>爆炸下限（v%）</w:t>
                  </w:r>
                </w:p>
              </w:tc>
              <w:tc>
                <w:tcPr>
                  <w:tcW w:w="1929" w:type="dxa"/>
                  <w:gridSpan w:val="2"/>
                  <w:vAlign w:val="center"/>
                </w:tcPr>
                <w:p>
                  <w:pPr>
                    <w:pStyle w:val="73"/>
                    <w:bidi w:val="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危险特性</w:t>
                  </w:r>
                </w:p>
              </w:tc>
              <w:tc>
                <w:tcPr>
                  <w:tcW w:w="6191" w:type="dxa"/>
                  <w:gridSpan w:val="8"/>
                  <w:vAlign w:val="center"/>
                </w:tcPr>
                <w:p>
                  <w:pPr>
                    <w:pStyle w:val="73"/>
                    <w:bidi w:val="0"/>
                    <w:jc w:val="center"/>
                    <w:rPr>
                      <w:rFonts w:hint="default"/>
                      <w:lang w:val="en-US" w:eastAsia="zh-CN"/>
                    </w:rPr>
                  </w:pPr>
                  <w:r>
                    <w:rPr>
                      <w:rFonts w:hint="default"/>
                      <w:lang w:val="en-US" w:eastAsia="zh-CN"/>
                    </w:rPr>
                    <w:t>与有机物、日光接触发出有毒的氯气。对大多数金属有轻微的腐蚀。与酸接触时散</w:t>
                  </w:r>
                  <w:r>
                    <w:rPr>
                      <w:rFonts w:hint="eastAsia"/>
                      <w:lang w:val="en-US" w:eastAsia="zh-CN"/>
                    </w:rPr>
                    <w:t>发</w:t>
                  </w:r>
                  <w:r>
                    <w:rPr>
                      <w:rFonts w:hint="default"/>
                      <w:lang w:val="en-US" w:eastAsia="zh-CN"/>
                    </w:rPr>
                    <w:t>出具有强刺激性和腐蚀性气体。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建规火险分级</w:t>
                  </w:r>
                </w:p>
              </w:tc>
              <w:tc>
                <w:tcPr>
                  <w:tcW w:w="1450" w:type="dxa"/>
                  <w:gridSpan w:val="2"/>
                  <w:vAlign w:val="center"/>
                </w:tcPr>
                <w:p>
                  <w:pPr>
                    <w:pStyle w:val="73"/>
                    <w:bidi w:val="0"/>
                    <w:jc w:val="center"/>
                    <w:rPr>
                      <w:rFonts w:hint="default"/>
                      <w:lang w:val="en-US" w:eastAsia="zh-CN"/>
                    </w:rPr>
                  </w:pPr>
                  <w:r>
                    <w:rPr>
                      <w:rFonts w:hint="default"/>
                      <w:lang w:val="en-US" w:eastAsia="zh-CN"/>
                    </w:rPr>
                    <w:t>戊</w:t>
                  </w:r>
                </w:p>
              </w:tc>
              <w:tc>
                <w:tcPr>
                  <w:tcW w:w="1425" w:type="dxa"/>
                  <w:gridSpan w:val="2"/>
                  <w:vAlign w:val="center"/>
                </w:tcPr>
                <w:p>
                  <w:pPr>
                    <w:pStyle w:val="73"/>
                    <w:bidi w:val="0"/>
                    <w:jc w:val="center"/>
                    <w:rPr>
                      <w:rFonts w:hint="default"/>
                      <w:lang w:val="en-US" w:eastAsia="zh-CN"/>
                    </w:rPr>
                  </w:pPr>
                  <w:r>
                    <w:rPr>
                      <w:rFonts w:hint="default"/>
                      <w:lang w:val="en-US" w:eastAsia="zh-CN"/>
                    </w:rPr>
                    <w:t>稳定性</w:t>
                  </w:r>
                </w:p>
              </w:tc>
              <w:tc>
                <w:tcPr>
                  <w:tcW w:w="1387" w:type="dxa"/>
                  <w:gridSpan w:val="2"/>
                  <w:vAlign w:val="center"/>
                </w:tcPr>
                <w:p>
                  <w:pPr>
                    <w:pStyle w:val="73"/>
                    <w:bidi w:val="0"/>
                    <w:jc w:val="center"/>
                    <w:rPr>
                      <w:rFonts w:hint="default"/>
                      <w:lang w:val="en-US" w:eastAsia="zh-CN"/>
                    </w:rPr>
                  </w:pPr>
                  <w:r>
                    <w:rPr>
                      <w:rFonts w:hint="default"/>
                      <w:lang w:val="en-US" w:eastAsia="zh-CN"/>
                    </w:rPr>
                    <w:t>不稳定</w:t>
                  </w:r>
                </w:p>
              </w:tc>
              <w:tc>
                <w:tcPr>
                  <w:tcW w:w="1075" w:type="dxa"/>
                  <w:vAlign w:val="center"/>
                </w:tcPr>
                <w:p>
                  <w:pPr>
                    <w:pStyle w:val="73"/>
                    <w:bidi w:val="0"/>
                    <w:jc w:val="center"/>
                    <w:rPr>
                      <w:rFonts w:hint="default"/>
                      <w:lang w:val="en-US" w:eastAsia="zh-CN"/>
                    </w:rPr>
                  </w:pPr>
                  <w:r>
                    <w:rPr>
                      <w:rFonts w:hint="default"/>
                      <w:lang w:val="en-US" w:eastAsia="zh-CN"/>
                    </w:rPr>
                    <w:t>聚合危害</w:t>
                  </w:r>
                </w:p>
              </w:tc>
              <w:tc>
                <w:tcPr>
                  <w:tcW w:w="854" w:type="dxa"/>
                  <w:vAlign w:val="center"/>
                </w:tcPr>
                <w:p>
                  <w:pPr>
                    <w:pStyle w:val="73"/>
                    <w:bidi w:val="0"/>
                    <w:jc w:val="center"/>
                    <w:rPr>
                      <w:rFonts w:hint="default"/>
                      <w:lang w:val="en-US" w:eastAsia="zh-CN"/>
                    </w:rPr>
                  </w:pPr>
                  <w:r>
                    <w:rPr>
                      <w:rFonts w:hint="default"/>
                      <w:lang w:val="en-US" w:eastAsia="zh-CN"/>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禁忌物</w:t>
                  </w:r>
                </w:p>
              </w:tc>
              <w:tc>
                <w:tcPr>
                  <w:tcW w:w="6191" w:type="dxa"/>
                  <w:gridSpan w:val="8"/>
                  <w:vAlign w:val="center"/>
                </w:tcPr>
                <w:p>
                  <w:pPr>
                    <w:pStyle w:val="73"/>
                    <w:bidi w:val="0"/>
                    <w:jc w:val="center"/>
                    <w:rPr>
                      <w:rFonts w:hint="default"/>
                      <w:lang w:val="en-US" w:eastAsia="zh-CN"/>
                    </w:rPr>
                  </w:pPr>
                  <w:r>
                    <w:rPr>
                      <w:rFonts w:hint="default"/>
                      <w:lang w:val="en-US" w:eastAsia="zh-CN"/>
                    </w:rPr>
                    <w:t>还原剂、易燃或可燃物、自燃物、酸类、碱类。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储运条件与泄漏处理</w:t>
                  </w:r>
                </w:p>
              </w:tc>
              <w:tc>
                <w:tcPr>
                  <w:tcW w:w="6191" w:type="dxa"/>
                  <w:gridSpan w:val="8"/>
                  <w:vAlign w:val="center"/>
                </w:tcPr>
                <w:p>
                  <w:pPr>
                    <w:pStyle w:val="73"/>
                    <w:bidi w:val="0"/>
                    <w:jc w:val="center"/>
                    <w:rPr>
                      <w:rFonts w:hint="default"/>
                      <w:lang w:val="en-US" w:eastAsia="zh-CN"/>
                    </w:rPr>
                  </w:pPr>
                  <w:r>
                    <w:rPr>
                      <w:rFonts w:hint="default"/>
                      <w:lang w:val="en-US" w:eastAsia="zh-CN"/>
                    </w:rPr>
                    <w:t>储运条件：储存于阴凉、干燥、通风的仓间内。远离火种、热源，防止阳光直射。应与还原剂、易燃或可燃物、酸类、碱类分开存放。分装和搬运作业应注意个人防护。搬运时应轻装轻卸，防止包装和容器损坏。泄漏处理：迅速撤离泄漏污染区人员至安全区，并进行隔离，严格限制出入。建议应急处理人员戴自给正压式呼吸器，穿一般作业工作服。不要直接接触泄漏物。尽可能切断泄漏源。防止进入下水道、排洪沟等限制性空间。小量泄漏：用砂土、蛭石或其它惰性材料吸收。大量泄漏：构筑围堤或挖坑收容。用泡沫覆盖，降低蒸气灾害。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pStyle w:val="73"/>
                    <w:bidi w:val="0"/>
                    <w:jc w:val="center"/>
                    <w:rPr>
                      <w:rFonts w:hint="default"/>
                      <w:lang w:val="en-US" w:eastAsia="zh-CN"/>
                    </w:rPr>
                  </w:pPr>
                </w:p>
              </w:tc>
              <w:tc>
                <w:tcPr>
                  <w:tcW w:w="1375" w:type="dxa"/>
                  <w:vAlign w:val="center"/>
                </w:tcPr>
                <w:p>
                  <w:pPr>
                    <w:pStyle w:val="73"/>
                    <w:bidi w:val="0"/>
                    <w:jc w:val="center"/>
                    <w:rPr>
                      <w:rFonts w:hint="default"/>
                      <w:lang w:val="en-US" w:eastAsia="zh-CN"/>
                    </w:rPr>
                  </w:pPr>
                  <w:r>
                    <w:rPr>
                      <w:rFonts w:hint="default"/>
                      <w:lang w:val="en-US" w:eastAsia="zh-CN"/>
                    </w:rPr>
                    <w:t>灭火方法</w:t>
                  </w:r>
                </w:p>
              </w:tc>
              <w:tc>
                <w:tcPr>
                  <w:tcW w:w="6191" w:type="dxa"/>
                  <w:gridSpan w:val="8"/>
                  <w:vAlign w:val="center"/>
                </w:tcPr>
                <w:p>
                  <w:pPr>
                    <w:pStyle w:val="73"/>
                    <w:bidi w:val="0"/>
                    <w:jc w:val="center"/>
                    <w:rPr>
                      <w:rFonts w:hint="default"/>
                      <w:lang w:val="en-US" w:eastAsia="zh-CN"/>
                    </w:rPr>
                  </w:pPr>
                  <w:r>
                    <w:rPr>
                      <w:rFonts w:hint="default"/>
                      <w:lang w:val="en-US" w:eastAsia="zh-CN"/>
                    </w:rPr>
                    <w:t>用雾状水、泡沫、二氧化碳、砂土灭火。</w:t>
                  </w:r>
                </w:p>
              </w:tc>
            </w:tr>
          </w:tbl>
          <w:p>
            <w:pPr>
              <w:pStyle w:val="2"/>
              <w:bidi w:val="0"/>
              <w:rPr>
                <w:rFonts w:hint="default"/>
                <w:lang w:val="en-US" w:eastAsia="zh-CN"/>
              </w:rPr>
            </w:pPr>
            <w:r>
              <w:rPr>
                <w:rFonts w:hint="default"/>
                <w:lang w:val="en-US" w:eastAsia="zh-CN"/>
              </w:rPr>
              <w:t>7.3环境风险防范措施</w:t>
            </w:r>
          </w:p>
          <w:p>
            <w:pPr>
              <w:pStyle w:val="71"/>
              <w:bidi w:val="0"/>
              <w:rPr>
                <w:rFonts w:hint="default"/>
                <w:lang w:val="en-US" w:eastAsia="zh-CN"/>
              </w:rPr>
            </w:pPr>
            <w:r>
              <w:rPr>
                <w:rFonts w:hint="eastAsia"/>
                <w:lang w:val="en-US" w:eastAsia="zh-CN"/>
              </w:rPr>
              <w:t>（1）</w:t>
            </w:r>
            <w:r>
              <w:rPr>
                <w:rFonts w:hint="default"/>
                <w:lang w:val="en-US" w:eastAsia="zh-CN"/>
              </w:rPr>
              <w:t>次氯酸钠泄漏防范措施</w:t>
            </w:r>
          </w:p>
          <w:p>
            <w:pPr>
              <w:pStyle w:val="71"/>
              <w:bidi w:val="0"/>
              <w:rPr>
                <w:rFonts w:hint="default"/>
                <w:lang w:val="en-US" w:eastAsia="zh-CN"/>
              </w:rPr>
            </w:pPr>
            <w:r>
              <w:rPr>
                <w:rFonts w:hint="default"/>
                <w:lang w:val="en-US" w:eastAsia="zh-CN"/>
              </w:rPr>
              <w:t>次氯酸钠存放于污水处理站房内，</w:t>
            </w:r>
            <w:r>
              <w:rPr>
                <w:rFonts w:hint="eastAsia"/>
                <w:lang w:val="en-US" w:eastAsia="zh-CN"/>
              </w:rPr>
              <w:t>暂存点采取简易防渗</w:t>
            </w:r>
            <w:r>
              <w:rPr>
                <w:rFonts w:hint="default"/>
                <w:lang w:val="en-US" w:eastAsia="zh-CN"/>
              </w:rPr>
              <w:t>不会进入</w:t>
            </w:r>
            <w:r>
              <w:rPr>
                <w:rFonts w:hint="eastAsia"/>
                <w:lang w:val="en-US" w:eastAsia="zh-CN"/>
              </w:rPr>
              <w:t>土壤和</w:t>
            </w:r>
            <w:r>
              <w:rPr>
                <w:rFonts w:hint="default"/>
                <w:lang w:val="en-US" w:eastAsia="zh-CN"/>
              </w:rPr>
              <w:t>附近地表水体，对周围环境不会产生不良的影响。</w:t>
            </w:r>
          </w:p>
          <w:p>
            <w:pPr>
              <w:pStyle w:val="71"/>
              <w:bidi w:val="0"/>
              <w:rPr>
                <w:rFonts w:hint="default"/>
                <w:lang w:val="en-US" w:eastAsia="zh-CN"/>
              </w:rPr>
            </w:pPr>
            <w:r>
              <w:rPr>
                <w:rFonts w:hint="eastAsia"/>
                <w:lang w:val="en-US" w:eastAsia="zh-CN"/>
              </w:rPr>
              <w:t>（2）</w:t>
            </w:r>
            <w:r>
              <w:rPr>
                <w:rFonts w:hint="default"/>
                <w:lang w:val="en-US" w:eastAsia="zh-CN"/>
              </w:rPr>
              <w:t>化学品贮存过程中的安全防范措施</w:t>
            </w:r>
          </w:p>
          <w:p>
            <w:pPr>
              <w:pStyle w:val="71"/>
              <w:bidi w:val="0"/>
              <w:rPr>
                <w:rFonts w:hint="default"/>
                <w:lang w:val="en-US" w:eastAsia="zh-CN"/>
              </w:rPr>
            </w:pPr>
            <w:r>
              <w:rPr>
                <w:rFonts w:hint="default"/>
                <w:lang w:val="en-US" w:eastAsia="zh-CN"/>
              </w:rPr>
              <w:t>在装卸化学危险物品前，预先做好准备工作，了解物品性质。操作人员应根据不同物品的危险特性，分别</w:t>
            </w:r>
            <w:r>
              <w:rPr>
                <w:rFonts w:hint="eastAsia"/>
                <w:lang w:val="en-US" w:eastAsia="zh-CN"/>
              </w:rPr>
              <w:t>佩戴</w:t>
            </w:r>
            <w:r>
              <w:rPr>
                <w:rFonts w:hint="default"/>
                <w:lang w:val="en-US" w:eastAsia="zh-CN"/>
              </w:rPr>
              <w:t>相应的防护用具，装卸化学危险品时，不得饮酒、吸烟，工作完毕后根据工作情况和危险品的性质，及时清洗手、脸、漱口或淋浴。保持现场空气流通，如果发现恶心、头等中毒现象，应立即到新鲜空气处休息，重者送医院治疗。</w:t>
            </w:r>
          </w:p>
          <w:p>
            <w:pPr>
              <w:pStyle w:val="71"/>
              <w:numPr>
                <w:ilvl w:val="0"/>
                <w:numId w:val="0"/>
              </w:numPr>
              <w:bidi w:val="0"/>
              <w:ind w:leftChars="200"/>
              <w:rPr>
                <w:rFonts w:hint="default"/>
                <w:lang w:val="en-US" w:eastAsia="zh-CN"/>
              </w:rPr>
            </w:pPr>
            <w:r>
              <w:rPr>
                <w:rFonts w:hint="eastAsia"/>
                <w:lang w:val="en-US" w:eastAsia="zh-CN"/>
              </w:rPr>
              <w:t>（3）</w:t>
            </w:r>
            <w:r>
              <w:rPr>
                <w:rFonts w:hint="default"/>
                <w:lang w:val="en-US" w:eastAsia="zh-CN"/>
              </w:rPr>
              <w:t>污水处理站防治措施</w:t>
            </w:r>
          </w:p>
          <w:p>
            <w:pPr>
              <w:pStyle w:val="71"/>
              <w:bidi w:val="0"/>
              <w:rPr>
                <w:rFonts w:hint="default"/>
                <w:lang w:val="en-US" w:eastAsia="zh-CN"/>
              </w:rPr>
            </w:pPr>
            <w:r>
              <w:rPr>
                <w:rFonts w:hint="default"/>
                <w:lang w:val="en-US" w:eastAsia="zh-CN"/>
              </w:rPr>
              <w:t>①配备足够的备用设备和应急零部件。加强对污水处理站设备维修与保养，要求设施的管理人员规范化操作，对泵、阀门等定期检修维护，防止突发事件发生。</w:t>
            </w:r>
          </w:p>
          <w:p>
            <w:pPr>
              <w:pStyle w:val="71"/>
              <w:bidi w:val="0"/>
              <w:rPr>
                <w:rFonts w:hint="default"/>
                <w:lang w:val="en-US" w:eastAsia="zh-CN"/>
              </w:rPr>
            </w:pPr>
            <w:r>
              <w:rPr>
                <w:rFonts w:hint="default"/>
                <w:lang w:val="en-US" w:eastAsia="zh-CN"/>
              </w:rPr>
              <w:t>②制定污水处理站污染事故应急预案，实行污染事故应急处理分级负责制，层层落实责任人，并建立</w:t>
            </w:r>
            <w:r>
              <w:rPr>
                <w:rFonts w:hint="eastAsia"/>
                <w:lang w:val="en-US" w:eastAsia="zh-CN"/>
              </w:rPr>
              <w:t>应对</w:t>
            </w:r>
            <w:r>
              <w:rPr>
                <w:rFonts w:hint="default"/>
                <w:lang w:val="en-US" w:eastAsia="zh-CN"/>
              </w:rPr>
              <w:t>突发事故的机制和措施。</w:t>
            </w:r>
          </w:p>
          <w:p>
            <w:pPr>
              <w:pStyle w:val="71"/>
              <w:bidi w:val="0"/>
              <w:rPr>
                <w:rFonts w:hint="default"/>
                <w:lang w:val="en-US" w:eastAsia="zh-CN"/>
              </w:rPr>
            </w:pPr>
            <w:r>
              <w:rPr>
                <w:rFonts w:hint="default"/>
                <w:lang w:val="en-US" w:eastAsia="zh-CN"/>
              </w:rPr>
              <w:t>③本项目应在污水处理站区域设置事故应急水池，如有事故情况，第一时间停止外排，利用污水处理站隔油调节池作为本项目事故应急池。</w:t>
            </w:r>
          </w:p>
          <w:p>
            <w:pPr>
              <w:pStyle w:val="71"/>
              <w:bidi w:val="0"/>
              <w:rPr>
                <w:rFonts w:hint="default"/>
                <w:lang w:val="en-US" w:eastAsia="zh-CN"/>
              </w:rPr>
            </w:pPr>
            <w:r>
              <w:rPr>
                <w:rFonts w:hint="default"/>
                <w:lang w:val="en-US" w:eastAsia="zh-CN"/>
              </w:rPr>
              <w:t>④加强事故苗头监控，定期巡检、调节、保养、维修，及时发现有可能引起事故的异常运行苗头，消除事故隐患。</w:t>
            </w:r>
          </w:p>
          <w:p>
            <w:pPr>
              <w:pStyle w:val="70"/>
              <w:bidi w:val="0"/>
              <w:rPr>
                <w:rFonts w:hint="default"/>
                <w:lang w:eastAsia="zh-CN"/>
              </w:rPr>
            </w:pPr>
            <w:r>
              <w:rPr>
                <w:rFonts w:hint="default"/>
                <w:lang w:eastAsia="zh-CN"/>
              </w:rPr>
              <w:t>7.4环境风险管理</w:t>
            </w:r>
          </w:p>
          <w:p>
            <w:pPr>
              <w:pStyle w:val="71"/>
              <w:bidi w:val="0"/>
              <w:rPr>
                <w:rFonts w:hint="default"/>
                <w:lang w:eastAsia="zh-CN"/>
              </w:rPr>
            </w:pPr>
            <w:r>
              <w:rPr>
                <w:rFonts w:hint="default"/>
                <w:lang w:eastAsia="zh-CN"/>
              </w:rPr>
              <w:t>为避免风险事故，尤其是避免风险事故发生后对环境造成严重的污染，建设单位应树立并强化环境风险意识，增加对环境风险的防范措施，并使这些措施在实际工作中得到落实。为进一步减少事故的发生，减缓该项目运营过程中对环境的潜在威胁，建设单位应采取综合防范措施，并从技术、工艺、管理等方面对以下几方面予以重视：</w:t>
            </w:r>
          </w:p>
          <w:p>
            <w:pPr>
              <w:pStyle w:val="71"/>
              <w:bidi w:val="0"/>
              <w:rPr>
                <w:rFonts w:hint="default"/>
                <w:lang w:eastAsia="zh-CN"/>
              </w:rPr>
            </w:pPr>
            <w:r>
              <w:rPr>
                <w:rFonts w:hint="default"/>
                <w:lang w:eastAsia="zh-CN"/>
              </w:rPr>
              <w:t>（1）树立环境风险意识</w:t>
            </w:r>
          </w:p>
          <w:p>
            <w:pPr>
              <w:pStyle w:val="71"/>
              <w:bidi w:val="0"/>
              <w:rPr>
                <w:rFonts w:hint="default"/>
                <w:lang w:eastAsia="zh-CN"/>
              </w:rPr>
            </w:pPr>
            <w:r>
              <w:rPr>
                <w:rFonts w:hint="default"/>
                <w:lang w:eastAsia="zh-CN"/>
              </w:rPr>
              <w:t>该项目客观上存在着一定的不安全因素，对周围环境存在着潜在的威胁。发生环境安全事故后，对周围环境有难以弥补的损害，所以在贯彻“安全第一，预防为主”的方针同时，应树立环境风险意识，强化环境风险责任，体现出环境保护的内容。</w:t>
            </w:r>
          </w:p>
          <w:p>
            <w:pPr>
              <w:pStyle w:val="71"/>
              <w:bidi w:val="0"/>
              <w:rPr>
                <w:rFonts w:hint="default"/>
                <w:lang w:eastAsia="zh-CN"/>
              </w:rPr>
            </w:pPr>
            <w:r>
              <w:rPr>
                <w:rFonts w:hint="default"/>
                <w:lang w:eastAsia="zh-CN"/>
              </w:rPr>
              <w:t>（2）实行全面环境安全管理制度</w:t>
            </w:r>
          </w:p>
          <w:p>
            <w:pPr>
              <w:pStyle w:val="71"/>
              <w:bidi w:val="0"/>
              <w:rPr>
                <w:rFonts w:hint="default"/>
                <w:lang w:eastAsia="zh-CN"/>
              </w:rPr>
            </w:pPr>
            <w:r>
              <w:rPr>
                <w:rFonts w:hint="default"/>
                <w:lang w:eastAsia="zh-CN"/>
              </w:rPr>
              <w:t>项目在生产过程中有可能发生各种事故，事故发生后均会对环境造成不同程度的污染，因此应该针对该项目开展全面、全员、全过程的系数安全管理，把环境安全工作的重点放在消除系统的潜在危险上，并从整体和全局上促进该项目各个环节的环境安全运作，并建立监察、管理、检测、信息系统和科学决策体系，实行环境安全目标管理。</w:t>
            </w:r>
          </w:p>
          <w:p>
            <w:pPr>
              <w:pStyle w:val="71"/>
              <w:bidi w:val="0"/>
              <w:rPr>
                <w:rFonts w:hint="default"/>
                <w:lang w:eastAsia="zh-CN"/>
              </w:rPr>
            </w:pPr>
            <w:r>
              <w:rPr>
                <w:rFonts w:hint="default"/>
                <w:lang w:eastAsia="zh-CN"/>
              </w:rPr>
              <w:t>（3）加强资料的日常记录与管理</w:t>
            </w:r>
          </w:p>
          <w:p>
            <w:pPr>
              <w:pStyle w:val="71"/>
              <w:bidi w:val="0"/>
              <w:rPr>
                <w:rFonts w:hint="default"/>
                <w:lang w:eastAsia="zh-CN"/>
              </w:rPr>
            </w:pPr>
            <w:r>
              <w:rPr>
                <w:rFonts w:hint="default"/>
                <w:lang w:eastAsia="zh-CN"/>
              </w:rPr>
              <w:t>加强对生产过程中的各项操作参数等资料的日常记录及管理，及时发现问题并采取</w:t>
            </w:r>
            <w:r>
              <w:rPr>
                <w:rFonts w:hint="eastAsia"/>
                <w:lang w:eastAsia="zh-CN"/>
              </w:rPr>
              <w:t>减轻</w:t>
            </w:r>
            <w:r>
              <w:rPr>
                <w:rFonts w:hint="default"/>
                <w:lang w:eastAsia="zh-CN"/>
              </w:rPr>
              <w:t>危害的措施。</w:t>
            </w:r>
          </w:p>
          <w:p>
            <w:pPr>
              <w:pStyle w:val="71"/>
              <w:bidi w:val="0"/>
              <w:rPr>
                <w:rFonts w:hint="default"/>
                <w:lang w:eastAsia="zh-CN"/>
              </w:rPr>
            </w:pPr>
            <w:r>
              <w:rPr>
                <w:rFonts w:hint="default"/>
                <w:lang w:eastAsia="zh-CN"/>
              </w:rPr>
              <w:t>（4）应对措施</w:t>
            </w:r>
          </w:p>
          <w:p>
            <w:pPr>
              <w:pStyle w:val="71"/>
              <w:bidi w:val="0"/>
              <w:rPr>
                <w:rFonts w:hint="default"/>
                <w:lang w:eastAsia="zh-CN"/>
              </w:rPr>
            </w:pPr>
            <w:r>
              <w:rPr>
                <w:rFonts w:hint="default"/>
                <w:lang w:eastAsia="zh-CN"/>
              </w:rPr>
              <w:t>事故发生的可能性总是存在的，为减少事故发生后造成的损失，尤其是减少对环境造成严重的污染，建设单位除了一方面要落实已制定的各种安全管理制度，另一方面，建设单位还应对发生各类风险事故后采取必要的事故应急措施，建议建设单位对以下几方面予以着重考虑：</w:t>
            </w:r>
          </w:p>
          <w:p>
            <w:pPr>
              <w:pStyle w:val="71"/>
              <w:bidi w:val="0"/>
              <w:rPr>
                <w:rFonts w:hint="default"/>
                <w:lang w:eastAsia="zh-CN"/>
              </w:rPr>
            </w:pPr>
            <w:r>
              <w:rPr>
                <w:rFonts w:hint="default"/>
                <w:lang w:eastAsia="zh-CN"/>
              </w:rPr>
              <w:t>①发生事故后，进行事故后果评价，将有关情况通报给上级环保主管部门。</w:t>
            </w:r>
          </w:p>
          <w:p>
            <w:pPr>
              <w:pStyle w:val="71"/>
              <w:bidi w:val="0"/>
              <w:rPr>
                <w:rFonts w:hint="default"/>
                <w:lang w:eastAsia="zh-CN"/>
              </w:rPr>
            </w:pPr>
            <w:r>
              <w:rPr>
                <w:rFonts w:hint="default"/>
                <w:lang w:eastAsia="zh-CN"/>
              </w:rPr>
              <w:t>②定期举行应急培训活动，对该项目相关人员进行事故应急培训，提高事故发生后的应急处理能力；对新上岗的工作人员、实习人员、进行岗前安全、环保培训，重点部门的人员定期轮训；在对项目相关系统人员进行知识培训后，还对其进行了责任分配制度，确保不出现意外。</w:t>
            </w:r>
          </w:p>
        </w:tc>
      </w:tr>
    </w:tbl>
    <w:p>
      <w:pPr>
        <w:rPr>
          <w:rFonts w:hint="default"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五、</w:t>
      </w:r>
      <w:bookmarkStart w:id="37" w:name="_Hlk54167917"/>
      <w:r>
        <w:rPr>
          <w:rFonts w:hint="default" w:ascii="Times New Roman" w:hAnsi="Times New Roman" w:eastAsia="黑体" w:cs="Times New Roman"/>
          <w:snapToGrid w:val="0"/>
          <w:sz w:val="30"/>
          <w:szCs w:val="30"/>
        </w:rPr>
        <w:t>环境保护措施监督检查清单</w:t>
      </w:r>
      <w:bookmarkEnd w:id="37"/>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503"/>
        <w:gridCol w:w="1337"/>
        <w:gridCol w:w="2348"/>
        <w:gridCol w:w="2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66" w:type="dxa"/>
            <w:tcBorders>
              <w:tl2br w:val="single" w:color="auto" w:sz="4" w:space="0"/>
            </w:tcBorders>
            <w:noWrap w:val="0"/>
            <w:vAlign w:val="top"/>
          </w:tcPr>
          <w:p>
            <w:pPr>
              <w:pStyle w:val="69"/>
              <w:bidi w:val="0"/>
              <w:rPr>
                <w:rFonts w:hint="default"/>
              </w:rPr>
            </w:pPr>
            <w:r>
              <w:rPr>
                <w:rFonts w:hint="default"/>
              </w:rPr>
              <w:t>内容</w:t>
            </w:r>
          </w:p>
          <w:p>
            <w:pPr>
              <w:pStyle w:val="69"/>
              <w:bidi w:val="0"/>
              <w:rPr>
                <w:rFonts w:hint="default"/>
              </w:rPr>
            </w:pPr>
            <w:r>
              <w:rPr>
                <w:rFonts w:hint="default"/>
              </w:rPr>
              <w:t>要素</w:t>
            </w:r>
          </w:p>
        </w:tc>
        <w:tc>
          <w:tcPr>
            <w:tcW w:w="1503" w:type="dxa"/>
            <w:noWrap w:val="0"/>
            <w:vAlign w:val="center"/>
          </w:tcPr>
          <w:p>
            <w:pPr>
              <w:pStyle w:val="69"/>
              <w:bidi w:val="0"/>
              <w:rPr>
                <w:rFonts w:hint="default"/>
              </w:rPr>
            </w:pPr>
            <w:r>
              <w:rPr>
                <w:rFonts w:hint="default"/>
              </w:rPr>
              <w:t>排放口(编号、</w:t>
            </w:r>
          </w:p>
          <w:p>
            <w:pPr>
              <w:pStyle w:val="69"/>
              <w:bidi w:val="0"/>
              <w:rPr>
                <w:rFonts w:hint="default"/>
              </w:rPr>
            </w:pPr>
            <w:r>
              <w:rPr>
                <w:rFonts w:hint="default"/>
              </w:rPr>
              <w:t>名称)/污染源</w:t>
            </w:r>
          </w:p>
        </w:tc>
        <w:tc>
          <w:tcPr>
            <w:tcW w:w="1337" w:type="dxa"/>
            <w:noWrap w:val="0"/>
            <w:vAlign w:val="center"/>
          </w:tcPr>
          <w:p>
            <w:pPr>
              <w:pStyle w:val="69"/>
              <w:bidi w:val="0"/>
              <w:rPr>
                <w:rFonts w:hint="default"/>
              </w:rPr>
            </w:pPr>
            <w:r>
              <w:rPr>
                <w:rFonts w:hint="default"/>
              </w:rPr>
              <w:t>污染物项目</w:t>
            </w:r>
          </w:p>
        </w:tc>
        <w:tc>
          <w:tcPr>
            <w:tcW w:w="2348" w:type="dxa"/>
            <w:noWrap w:val="0"/>
            <w:vAlign w:val="center"/>
          </w:tcPr>
          <w:p>
            <w:pPr>
              <w:pStyle w:val="69"/>
              <w:bidi w:val="0"/>
              <w:rPr>
                <w:rFonts w:hint="default"/>
              </w:rPr>
            </w:pPr>
            <w:r>
              <w:rPr>
                <w:rFonts w:hint="default"/>
              </w:rPr>
              <w:t>环境保护措施</w:t>
            </w:r>
          </w:p>
        </w:tc>
        <w:tc>
          <w:tcPr>
            <w:tcW w:w="2106" w:type="dxa"/>
            <w:noWrap w:val="0"/>
            <w:vAlign w:val="center"/>
          </w:tcPr>
          <w:p>
            <w:pPr>
              <w:pStyle w:val="69"/>
              <w:bidi w:val="0"/>
              <w:rPr>
                <w:rFonts w:hint="default"/>
              </w:rPr>
            </w:pPr>
            <w:r>
              <w:rPr>
                <w:rFonts w:hint="default"/>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66" w:type="dxa"/>
            <w:vMerge w:val="restart"/>
            <w:noWrap w:val="0"/>
            <w:vAlign w:val="center"/>
          </w:tcPr>
          <w:p>
            <w:pPr>
              <w:pStyle w:val="69"/>
              <w:bidi w:val="0"/>
              <w:rPr>
                <w:rFonts w:hint="eastAsia"/>
                <w:lang w:val="en-US" w:eastAsia="zh-CN"/>
              </w:rPr>
            </w:pPr>
            <w:r>
              <w:rPr>
                <w:rFonts w:hint="eastAsia"/>
                <w:lang w:val="en-US" w:eastAsia="zh-CN"/>
              </w:rPr>
              <w:t>大气环境</w:t>
            </w:r>
          </w:p>
        </w:tc>
        <w:tc>
          <w:tcPr>
            <w:tcW w:w="1503" w:type="dxa"/>
            <w:vMerge w:val="restart"/>
            <w:noWrap w:val="0"/>
            <w:vAlign w:val="center"/>
          </w:tcPr>
          <w:p>
            <w:pPr>
              <w:pStyle w:val="69"/>
              <w:bidi w:val="0"/>
              <w:rPr>
                <w:rFonts w:hint="default"/>
                <w:lang w:val="en-US" w:eastAsia="zh-CN"/>
              </w:rPr>
            </w:pPr>
            <w:r>
              <w:rPr>
                <w:rFonts w:hint="default"/>
                <w:lang w:val="en-US" w:eastAsia="zh-CN"/>
              </w:rPr>
              <w:t>厂界</w:t>
            </w:r>
          </w:p>
        </w:tc>
        <w:tc>
          <w:tcPr>
            <w:tcW w:w="1337" w:type="dxa"/>
            <w:noWrap w:val="0"/>
            <w:vAlign w:val="center"/>
          </w:tcPr>
          <w:p>
            <w:pPr>
              <w:pStyle w:val="69"/>
              <w:bidi w:val="0"/>
              <w:rPr>
                <w:rFonts w:hint="default"/>
                <w:lang w:val="en-US" w:eastAsia="zh-CN"/>
              </w:rPr>
            </w:pPr>
            <w:r>
              <w:rPr>
                <w:rFonts w:hint="default"/>
                <w:lang w:val="en-US" w:eastAsia="zh-CN"/>
              </w:rPr>
              <w:t>氨</w:t>
            </w:r>
          </w:p>
        </w:tc>
        <w:tc>
          <w:tcPr>
            <w:tcW w:w="2348" w:type="dxa"/>
            <w:vMerge w:val="restart"/>
            <w:noWrap w:val="0"/>
            <w:vAlign w:val="center"/>
          </w:tcPr>
          <w:p>
            <w:pPr>
              <w:pStyle w:val="69"/>
              <w:bidi w:val="0"/>
              <w:rPr>
                <w:rFonts w:hint="default"/>
                <w:lang w:val="en-US" w:eastAsia="zh-CN"/>
              </w:rPr>
            </w:pPr>
            <w:r>
              <w:rPr>
                <w:rFonts w:hint="default"/>
                <w:lang w:val="en-US" w:eastAsia="zh-CN"/>
              </w:rPr>
              <w:t>喷洒生物除臭剂、干清粪、定时清洗、增加通风次数等</w:t>
            </w:r>
          </w:p>
        </w:tc>
        <w:tc>
          <w:tcPr>
            <w:tcW w:w="2106" w:type="dxa"/>
            <w:vMerge w:val="restart"/>
            <w:noWrap w:val="0"/>
            <w:vAlign w:val="center"/>
          </w:tcPr>
          <w:p>
            <w:pPr>
              <w:pStyle w:val="69"/>
              <w:bidi w:val="0"/>
              <w:rPr>
                <w:rFonts w:hint="default"/>
              </w:rPr>
            </w:pPr>
            <w:r>
              <w:rPr>
                <w:rFonts w:hint="default"/>
              </w:rPr>
              <w:t>执行《恶臭污染物排放标准》（GB 14554-93）中表1恶臭污染物厂界标准值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66" w:type="dxa"/>
            <w:vMerge w:val="continue"/>
            <w:noWrap w:val="0"/>
            <w:vAlign w:val="center"/>
          </w:tcPr>
          <w:p>
            <w:pPr>
              <w:pStyle w:val="69"/>
              <w:bidi w:val="0"/>
              <w:rPr>
                <w:rFonts w:hint="default"/>
              </w:rPr>
            </w:pPr>
          </w:p>
        </w:tc>
        <w:tc>
          <w:tcPr>
            <w:tcW w:w="1503" w:type="dxa"/>
            <w:vMerge w:val="continue"/>
            <w:noWrap w:val="0"/>
            <w:vAlign w:val="center"/>
          </w:tcPr>
          <w:p>
            <w:pPr>
              <w:pStyle w:val="69"/>
              <w:bidi w:val="0"/>
              <w:rPr>
                <w:rFonts w:hint="default"/>
                <w:lang w:val="en-US" w:eastAsia="zh-CN"/>
              </w:rPr>
            </w:pPr>
          </w:p>
        </w:tc>
        <w:tc>
          <w:tcPr>
            <w:tcW w:w="1337" w:type="dxa"/>
            <w:noWrap w:val="0"/>
            <w:vAlign w:val="center"/>
          </w:tcPr>
          <w:p>
            <w:pPr>
              <w:pStyle w:val="69"/>
              <w:bidi w:val="0"/>
              <w:rPr>
                <w:rFonts w:hint="default"/>
                <w:lang w:val="en-US" w:eastAsia="zh-CN"/>
              </w:rPr>
            </w:pPr>
            <w:r>
              <w:rPr>
                <w:rFonts w:hint="default"/>
                <w:lang w:val="en-US" w:eastAsia="zh-CN"/>
              </w:rPr>
              <w:t>硫化氢</w:t>
            </w:r>
          </w:p>
        </w:tc>
        <w:tc>
          <w:tcPr>
            <w:tcW w:w="2348" w:type="dxa"/>
            <w:vMerge w:val="continue"/>
            <w:noWrap w:val="0"/>
            <w:vAlign w:val="center"/>
          </w:tcPr>
          <w:p>
            <w:pPr>
              <w:pStyle w:val="69"/>
              <w:bidi w:val="0"/>
              <w:rPr>
                <w:rFonts w:hint="default"/>
                <w:lang w:val="en-US" w:eastAsia="zh-CN"/>
              </w:rPr>
            </w:pPr>
          </w:p>
        </w:tc>
        <w:tc>
          <w:tcPr>
            <w:tcW w:w="2106" w:type="dxa"/>
            <w:vMerge w:val="continue"/>
            <w:noWrap w:val="0"/>
            <w:vAlign w:val="center"/>
          </w:tcPr>
          <w:p>
            <w:pPr>
              <w:pStyle w:val="69"/>
              <w:bidi w:val="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66" w:type="dxa"/>
            <w:vMerge w:val="continue"/>
            <w:noWrap w:val="0"/>
            <w:vAlign w:val="center"/>
          </w:tcPr>
          <w:p>
            <w:pPr>
              <w:pStyle w:val="69"/>
              <w:bidi w:val="0"/>
              <w:rPr>
                <w:rFonts w:hint="default"/>
              </w:rPr>
            </w:pPr>
          </w:p>
        </w:tc>
        <w:tc>
          <w:tcPr>
            <w:tcW w:w="1503" w:type="dxa"/>
            <w:vMerge w:val="continue"/>
            <w:noWrap w:val="0"/>
            <w:vAlign w:val="center"/>
          </w:tcPr>
          <w:p>
            <w:pPr>
              <w:pStyle w:val="69"/>
              <w:bidi w:val="0"/>
              <w:rPr>
                <w:rFonts w:hint="default"/>
                <w:lang w:val="en-US" w:eastAsia="zh-CN"/>
              </w:rPr>
            </w:pPr>
          </w:p>
        </w:tc>
        <w:tc>
          <w:tcPr>
            <w:tcW w:w="1337" w:type="dxa"/>
            <w:noWrap w:val="0"/>
            <w:vAlign w:val="center"/>
          </w:tcPr>
          <w:p>
            <w:pPr>
              <w:pStyle w:val="69"/>
              <w:bidi w:val="0"/>
              <w:rPr>
                <w:rFonts w:hint="default"/>
                <w:lang w:val="en-US" w:eastAsia="zh-CN"/>
              </w:rPr>
            </w:pPr>
            <w:r>
              <w:rPr>
                <w:rFonts w:hint="default"/>
                <w:lang w:val="en-US" w:eastAsia="zh-CN"/>
              </w:rPr>
              <w:t>臭气</w:t>
            </w:r>
          </w:p>
        </w:tc>
        <w:tc>
          <w:tcPr>
            <w:tcW w:w="2348" w:type="dxa"/>
            <w:vMerge w:val="continue"/>
            <w:noWrap w:val="0"/>
            <w:vAlign w:val="center"/>
          </w:tcPr>
          <w:p>
            <w:pPr>
              <w:pStyle w:val="69"/>
              <w:bidi w:val="0"/>
              <w:rPr>
                <w:rFonts w:hint="default"/>
                <w:lang w:val="en-US" w:eastAsia="zh-CN"/>
              </w:rPr>
            </w:pPr>
          </w:p>
        </w:tc>
        <w:tc>
          <w:tcPr>
            <w:tcW w:w="2106" w:type="dxa"/>
            <w:vMerge w:val="continue"/>
            <w:noWrap w:val="0"/>
            <w:vAlign w:val="center"/>
          </w:tcPr>
          <w:p>
            <w:pPr>
              <w:pStyle w:val="69"/>
              <w:bidi w:val="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766" w:type="dxa"/>
            <w:noWrap w:val="0"/>
            <w:vAlign w:val="center"/>
          </w:tcPr>
          <w:p>
            <w:pPr>
              <w:pStyle w:val="69"/>
              <w:bidi w:val="0"/>
              <w:rPr>
                <w:rFonts w:hint="default"/>
              </w:rPr>
            </w:pPr>
            <w:r>
              <w:rPr>
                <w:rFonts w:hint="default"/>
              </w:rPr>
              <w:t>地表水环境</w:t>
            </w:r>
          </w:p>
        </w:tc>
        <w:tc>
          <w:tcPr>
            <w:tcW w:w="1503" w:type="dxa"/>
            <w:noWrap w:val="0"/>
            <w:vAlign w:val="center"/>
          </w:tcPr>
          <w:p>
            <w:pPr>
              <w:pStyle w:val="69"/>
              <w:bidi w:val="0"/>
              <w:rPr>
                <w:rFonts w:hint="default"/>
              </w:rPr>
            </w:pPr>
            <w:r>
              <w:rPr>
                <w:rFonts w:hint="default"/>
              </w:rPr>
              <w:t>生产</w:t>
            </w:r>
          </w:p>
        </w:tc>
        <w:tc>
          <w:tcPr>
            <w:tcW w:w="1337" w:type="dxa"/>
            <w:noWrap w:val="0"/>
            <w:vAlign w:val="center"/>
          </w:tcPr>
          <w:p>
            <w:pPr>
              <w:pStyle w:val="69"/>
              <w:bidi w:val="0"/>
              <w:rPr>
                <w:rFonts w:hint="default"/>
              </w:rPr>
            </w:pPr>
            <w:r>
              <w:rPr>
                <w:rFonts w:hint="default"/>
              </w:rPr>
              <w:t>生产废水</w:t>
            </w:r>
          </w:p>
        </w:tc>
        <w:tc>
          <w:tcPr>
            <w:tcW w:w="2348" w:type="dxa"/>
            <w:noWrap w:val="0"/>
            <w:vAlign w:val="center"/>
          </w:tcPr>
          <w:p>
            <w:pPr>
              <w:pStyle w:val="69"/>
              <w:bidi w:val="0"/>
              <w:rPr>
                <w:rFonts w:hint="default"/>
                <w:lang w:val="en-US" w:eastAsia="zh-CN"/>
              </w:rPr>
            </w:pPr>
            <w:r>
              <w:rPr>
                <w:rFonts w:hint="default"/>
                <w:lang w:val="en-US" w:eastAsia="zh-CN"/>
              </w:rPr>
              <w:t>经厂区污水处理站处理达标后</w:t>
            </w:r>
            <w:r>
              <w:rPr>
                <w:rFonts w:hint="eastAsia"/>
                <w:lang w:val="en-US" w:eastAsia="zh-CN"/>
              </w:rPr>
              <w:t>拉运至若羌县污水处理厂</w:t>
            </w:r>
            <w:r>
              <w:rPr>
                <w:rFonts w:hint="default"/>
                <w:lang w:val="en-US" w:eastAsia="zh-CN"/>
              </w:rPr>
              <w:t>，污水处理站规模为</w:t>
            </w:r>
            <w:r>
              <w:rPr>
                <w:rFonts w:hint="eastAsia"/>
                <w:lang w:val="en-US" w:eastAsia="zh-CN"/>
              </w:rPr>
              <w:t>50</w:t>
            </w:r>
            <w:r>
              <w:rPr>
                <w:rFonts w:hint="default"/>
                <w:lang w:val="en-US" w:eastAsia="zh-CN"/>
              </w:rPr>
              <w:t>m³/d，采取“格栅+气浮+厌氧+好氧+沉淀+消毒”处理工艺。</w:t>
            </w:r>
          </w:p>
        </w:tc>
        <w:tc>
          <w:tcPr>
            <w:tcW w:w="2106" w:type="dxa"/>
            <w:noWrap w:val="0"/>
            <w:vAlign w:val="center"/>
          </w:tcPr>
          <w:p>
            <w:pPr>
              <w:pStyle w:val="69"/>
              <w:bidi w:val="0"/>
              <w:rPr>
                <w:rFonts w:hint="default"/>
                <w:lang w:val="en-US"/>
              </w:rPr>
            </w:pPr>
            <w:r>
              <w:rPr>
                <w:rFonts w:hint="default"/>
                <w:lang w:val="en-US" w:eastAsia="zh-CN"/>
              </w:rPr>
              <w:t>《肉类加工工业水污染物排放标准》（GB13457-92）表3的</w:t>
            </w:r>
            <w:r>
              <w:rPr>
                <w:rFonts w:hint="eastAsia"/>
                <w:lang w:val="en-US" w:eastAsia="zh-CN"/>
              </w:rPr>
              <w:t>三</w:t>
            </w:r>
            <w:r>
              <w:rPr>
                <w:rFonts w:hint="default"/>
                <w:lang w:val="en-US" w:eastAsia="zh-CN"/>
              </w:rPr>
              <w:t>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66" w:type="dxa"/>
            <w:noWrap w:val="0"/>
            <w:vAlign w:val="center"/>
          </w:tcPr>
          <w:p>
            <w:pPr>
              <w:pStyle w:val="69"/>
              <w:bidi w:val="0"/>
              <w:rPr>
                <w:rFonts w:hint="default"/>
              </w:rPr>
            </w:pPr>
            <w:r>
              <w:rPr>
                <w:rFonts w:hint="default"/>
              </w:rPr>
              <w:t>声环境</w:t>
            </w:r>
          </w:p>
        </w:tc>
        <w:tc>
          <w:tcPr>
            <w:tcW w:w="1503" w:type="dxa"/>
            <w:noWrap w:val="0"/>
            <w:vAlign w:val="center"/>
          </w:tcPr>
          <w:p>
            <w:pPr>
              <w:pStyle w:val="69"/>
              <w:bidi w:val="0"/>
              <w:rPr>
                <w:rFonts w:hint="default"/>
                <w:lang w:val="en-US" w:eastAsia="zh-CN"/>
              </w:rPr>
            </w:pPr>
            <w:r>
              <w:rPr>
                <w:rFonts w:hint="default"/>
                <w:lang w:val="en-US" w:eastAsia="zh-CN"/>
              </w:rPr>
              <w:t>生产设备、环保设备、运输车辆</w:t>
            </w:r>
          </w:p>
        </w:tc>
        <w:tc>
          <w:tcPr>
            <w:tcW w:w="1337" w:type="dxa"/>
            <w:noWrap w:val="0"/>
            <w:vAlign w:val="center"/>
          </w:tcPr>
          <w:p>
            <w:pPr>
              <w:pStyle w:val="69"/>
              <w:bidi w:val="0"/>
              <w:rPr>
                <w:rFonts w:hint="default"/>
              </w:rPr>
            </w:pPr>
            <w:r>
              <w:rPr>
                <w:rFonts w:hint="default"/>
              </w:rPr>
              <w:t>噪声</w:t>
            </w:r>
          </w:p>
        </w:tc>
        <w:tc>
          <w:tcPr>
            <w:tcW w:w="2348" w:type="dxa"/>
            <w:noWrap w:val="0"/>
            <w:vAlign w:val="center"/>
          </w:tcPr>
          <w:p>
            <w:pPr>
              <w:pStyle w:val="69"/>
              <w:bidi w:val="0"/>
              <w:rPr>
                <w:rFonts w:hint="default"/>
              </w:rPr>
            </w:pPr>
            <w:r>
              <w:rPr>
                <w:rFonts w:hint="default"/>
              </w:rPr>
              <w:t>减震、降噪和距离衰减</w:t>
            </w:r>
          </w:p>
        </w:tc>
        <w:tc>
          <w:tcPr>
            <w:tcW w:w="2106" w:type="dxa"/>
            <w:noWrap w:val="0"/>
            <w:vAlign w:val="center"/>
          </w:tcPr>
          <w:p>
            <w:pPr>
              <w:pStyle w:val="69"/>
              <w:bidi w:val="0"/>
              <w:rPr>
                <w:rFonts w:hint="default"/>
              </w:rPr>
            </w:pPr>
            <w:r>
              <w:rPr>
                <w:rFonts w:hint="default"/>
              </w:rPr>
              <w:t>《工业企业厂界环境噪声排放标准》（GB12348-2008）中的</w:t>
            </w:r>
            <w:r>
              <w:rPr>
                <w:rFonts w:hint="default"/>
                <w:lang w:val="en-US" w:eastAsia="zh-CN"/>
              </w:rPr>
              <w:t>2</w:t>
            </w:r>
            <w:r>
              <w:rPr>
                <w:rFonts w:hint="default"/>
              </w:rPr>
              <w:t>类标准值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6" w:type="dxa"/>
            <w:noWrap w:val="0"/>
            <w:vAlign w:val="center"/>
          </w:tcPr>
          <w:p>
            <w:pPr>
              <w:pStyle w:val="69"/>
              <w:bidi w:val="0"/>
              <w:rPr>
                <w:rFonts w:hint="default"/>
              </w:rPr>
            </w:pPr>
            <w:r>
              <w:rPr>
                <w:rFonts w:hint="default"/>
              </w:rPr>
              <w:t>电磁辐射</w:t>
            </w:r>
          </w:p>
        </w:tc>
        <w:tc>
          <w:tcPr>
            <w:tcW w:w="7294" w:type="dxa"/>
            <w:gridSpan w:val="4"/>
            <w:noWrap w:val="0"/>
            <w:vAlign w:val="center"/>
          </w:tcPr>
          <w:p>
            <w:pPr>
              <w:pStyle w:val="69"/>
              <w:bidi w:val="0"/>
              <w:rPr>
                <w:rFonts w:hint="default"/>
              </w:rPr>
            </w:pPr>
            <w:r>
              <w:rPr>
                <w:rFonts w:hint="default"/>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6" w:type="dxa"/>
            <w:vMerge w:val="restart"/>
            <w:noWrap w:val="0"/>
            <w:vAlign w:val="center"/>
          </w:tcPr>
          <w:p>
            <w:pPr>
              <w:pStyle w:val="69"/>
              <w:bidi w:val="0"/>
              <w:rPr>
                <w:rFonts w:hint="default"/>
              </w:rPr>
            </w:pPr>
            <w:r>
              <w:rPr>
                <w:rFonts w:hint="default"/>
              </w:rPr>
              <w:t>固体废物</w:t>
            </w:r>
          </w:p>
        </w:tc>
        <w:tc>
          <w:tcPr>
            <w:tcW w:w="1503" w:type="dxa"/>
            <w:vMerge w:val="restart"/>
            <w:noWrap w:val="0"/>
            <w:vAlign w:val="center"/>
          </w:tcPr>
          <w:p>
            <w:pPr>
              <w:pStyle w:val="69"/>
              <w:bidi w:val="0"/>
              <w:rPr>
                <w:rFonts w:hint="default"/>
                <w:lang w:val="en-US" w:eastAsia="zh-CN"/>
              </w:rPr>
            </w:pPr>
            <w:r>
              <w:rPr>
                <w:rFonts w:hint="default"/>
                <w:lang w:val="en-US" w:eastAsia="zh-CN"/>
              </w:rPr>
              <w:t>待宰圈</w:t>
            </w:r>
          </w:p>
        </w:tc>
        <w:tc>
          <w:tcPr>
            <w:tcW w:w="1337" w:type="dxa"/>
            <w:noWrap w:val="0"/>
            <w:vAlign w:val="center"/>
          </w:tcPr>
          <w:p>
            <w:pPr>
              <w:pStyle w:val="69"/>
              <w:bidi w:val="0"/>
              <w:rPr>
                <w:rFonts w:hint="default"/>
                <w:lang w:val="en-US"/>
              </w:rPr>
            </w:pPr>
            <w:r>
              <w:rPr>
                <w:rFonts w:hint="eastAsia"/>
                <w:lang w:val="en-US" w:eastAsia="zh-CN"/>
              </w:rPr>
              <w:t>病死牛羊、检疫残肉、不可食用内脏</w:t>
            </w:r>
          </w:p>
        </w:tc>
        <w:tc>
          <w:tcPr>
            <w:tcW w:w="2348" w:type="dxa"/>
            <w:noWrap w:val="0"/>
            <w:vAlign w:val="center"/>
          </w:tcPr>
          <w:p>
            <w:pPr>
              <w:pStyle w:val="69"/>
              <w:bidi w:val="0"/>
              <w:rPr>
                <w:rFonts w:hint="default"/>
                <w:lang w:val="en-US"/>
              </w:rPr>
            </w:pPr>
            <w:r>
              <w:rPr>
                <w:rFonts w:hint="default"/>
                <w:lang w:val="en-US" w:eastAsia="zh-CN"/>
              </w:rPr>
              <w:t>采用无害化处理</w:t>
            </w:r>
          </w:p>
        </w:tc>
        <w:tc>
          <w:tcPr>
            <w:tcW w:w="2106" w:type="dxa"/>
            <w:vMerge w:val="restart"/>
            <w:noWrap w:val="0"/>
            <w:vAlign w:val="center"/>
          </w:tcPr>
          <w:p>
            <w:pPr>
              <w:pStyle w:val="69"/>
              <w:bidi w:val="0"/>
              <w:rPr>
                <w:rFonts w:hint="default"/>
              </w:rPr>
            </w:pPr>
            <w:r>
              <w:rPr>
                <w:rFonts w:hint="default"/>
                <w:lang w:val="en-US" w:eastAsia="zh-CN"/>
              </w:rPr>
              <w:t>《病死及病害动物无害化处理技术规范》(农医发</w:t>
            </w:r>
            <w:r>
              <w:rPr>
                <w:rFonts w:hint="eastAsia"/>
                <w:lang w:val="en-US" w:eastAsia="zh-CN"/>
              </w:rPr>
              <w:t>〔2017〕25号</w:t>
            </w:r>
            <w:r>
              <w:rPr>
                <w:rFonts w:hint="default"/>
                <w:lang w:val="en-US" w:eastAsia="zh-CN"/>
              </w:rPr>
              <w:t>)</w:t>
            </w:r>
            <w:r>
              <w:rPr>
                <w:rFonts w:hint="eastAsia"/>
                <w:lang w:val="en-US" w:eastAsia="zh-CN"/>
              </w:rPr>
              <w:t>、</w:t>
            </w:r>
            <w:r>
              <w:rPr>
                <w:rFonts w:hint="default"/>
              </w:rPr>
              <w:t>《一般工业固体废物贮存和填埋污染控制标准》(GB18599</w:t>
            </w:r>
            <w:r>
              <w:rPr>
                <w:rFonts w:hint="eastAsia"/>
                <w:lang w:val="en-US" w:eastAsia="zh-CN"/>
              </w:rPr>
              <w:t>-</w:t>
            </w:r>
            <w:r>
              <w:rPr>
                <w:rFonts w:hint="default"/>
              </w:rPr>
              <w:t>2020)</w:t>
            </w:r>
            <w:r>
              <w:rPr>
                <w:rFonts w:hint="eastAsia"/>
                <w:lang w:eastAsia="zh-CN"/>
              </w:rPr>
              <w:t>、</w:t>
            </w:r>
            <w:r>
              <w:rPr>
                <w:rFonts w:hint="eastAsia"/>
                <w:lang w:val="en-US" w:eastAsia="zh-CN"/>
              </w:rPr>
              <w:t>《危险废物贮存污染控制标准》（GB18597—2023）</w:t>
            </w:r>
            <w:r>
              <w:rPr>
                <w:rFonts w:hint="default"/>
              </w:rPr>
              <w:t>有关要求。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6" w:type="dxa"/>
            <w:vMerge w:val="continue"/>
            <w:noWrap w:val="0"/>
            <w:vAlign w:val="center"/>
          </w:tcPr>
          <w:p>
            <w:pPr>
              <w:pStyle w:val="69"/>
              <w:bidi w:val="0"/>
              <w:rPr>
                <w:rFonts w:hint="default"/>
              </w:rPr>
            </w:pPr>
          </w:p>
        </w:tc>
        <w:tc>
          <w:tcPr>
            <w:tcW w:w="1503" w:type="dxa"/>
            <w:vMerge w:val="continue"/>
            <w:noWrap w:val="0"/>
            <w:vAlign w:val="center"/>
          </w:tcPr>
          <w:p>
            <w:pPr>
              <w:pStyle w:val="69"/>
              <w:bidi w:val="0"/>
              <w:rPr>
                <w:rFonts w:hint="default"/>
                <w:lang w:val="en-US" w:eastAsia="zh-CN"/>
              </w:rPr>
            </w:pPr>
          </w:p>
        </w:tc>
        <w:tc>
          <w:tcPr>
            <w:tcW w:w="1337" w:type="dxa"/>
            <w:noWrap w:val="0"/>
            <w:vAlign w:val="center"/>
          </w:tcPr>
          <w:p>
            <w:pPr>
              <w:pStyle w:val="69"/>
              <w:bidi w:val="0"/>
              <w:rPr>
                <w:rFonts w:hint="eastAsia" w:eastAsia="宋体"/>
                <w:lang w:eastAsia="zh-CN"/>
              </w:rPr>
            </w:pPr>
            <w:r>
              <w:rPr>
                <w:rFonts w:hint="default"/>
                <w:lang w:val="en-US" w:eastAsia="zh-CN"/>
              </w:rPr>
              <w:t>牛羊</w:t>
            </w:r>
            <w:r>
              <w:rPr>
                <w:rFonts w:hint="default"/>
              </w:rPr>
              <w:t>粪便</w:t>
            </w:r>
            <w:r>
              <w:rPr>
                <w:rFonts w:hint="eastAsia"/>
                <w:lang w:eastAsia="zh-CN"/>
              </w:rPr>
              <w:t>、</w:t>
            </w:r>
            <w:r>
              <w:rPr>
                <w:rFonts w:hint="eastAsia"/>
                <w:lang w:val="en-US" w:eastAsia="zh-CN"/>
              </w:rPr>
              <w:t>屠宰废物、肠胃内容物</w:t>
            </w:r>
          </w:p>
        </w:tc>
        <w:tc>
          <w:tcPr>
            <w:tcW w:w="2348" w:type="dxa"/>
            <w:noWrap w:val="0"/>
            <w:vAlign w:val="center"/>
          </w:tcPr>
          <w:p>
            <w:pPr>
              <w:pStyle w:val="69"/>
              <w:bidi w:val="0"/>
              <w:rPr>
                <w:rFonts w:hint="default"/>
              </w:rPr>
            </w:pPr>
            <w:r>
              <w:rPr>
                <w:rFonts w:hint="default"/>
                <w:lang w:val="en-US" w:eastAsia="zh-CN"/>
              </w:rPr>
              <w:t>作为有机肥原料外售综合利用</w:t>
            </w:r>
          </w:p>
        </w:tc>
        <w:tc>
          <w:tcPr>
            <w:tcW w:w="2106" w:type="dxa"/>
            <w:vMerge w:val="continue"/>
            <w:noWrap w:val="0"/>
            <w:vAlign w:val="center"/>
          </w:tcPr>
          <w:p>
            <w:pPr>
              <w:pStyle w:val="69"/>
              <w:bidi w:val="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6" w:type="dxa"/>
            <w:vMerge w:val="continue"/>
            <w:noWrap w:val="0"/>
            <w:vAlign w:val="center"/>
          </w:tcPr>
          <w:p>
            <w:pPr>
              <w:pStyle w:val="69"/>
              <w:bidi w:val="0"/>
              <w:rPr>
                <w:rFonts w:hint="default"/>
              </w:rPr>
            </w:pPr>
          </w:p>
        </w:tc>
        <w:tc>
          <w:tcPr>
            <w:tcW w:w="1503" w:type="dxa"/>
            <w:vMerge w:val="continue"/>
            <w:noWrap w:val="0"/>
            <w:vAlign w:val="center"/>
          </w:tcPr>
          <w:p>
            <w:pPr>
              <w:pStyle w:val="69"/>
              <w:bidi w:val="0"/>
              <w:rPr>
                <w:rFonts w:hint="default"/>
                <w:lang w:val="en-US" w:eastAsia="zh-CN"/>
              </w:rPr>
            </w:pPr>
          </w:p>
        </w:tc>
        <w:tc>
          <w:tcPr>
            <w:tcW w:w="1337" w:type="dxa"/>
            <w:noWrap w:val="0"/>
            <w:vAlign w:val="center"/>
          </w:tcPr>
          <w:p>
            <w:pPr>
              <w:pStyle w:val="69"/>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废弃卫生检疫用品</w:t>
            </w:r>
          </w:p>
        </w:tc>
        <w:tc>
          <w:tcPr>
            <w:tcW w:w="2348" w:type="dxa"/>
            <w:noWrap w:val="0"/>
            <w:vAlign w:val="center"/>
          </w:tcPr>
          <w:p>
            <w:pPr>
              <w:pStyle w:val="69"/>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分类暂存集中拉运至一般固废处置场所</w:t>
            </w:r>
          </w:p>
        </w:tc>
        <w:tc>
          <w:tcPr>
            <w:tcW w:w="2106" w:type="dxa"/>
            <w:vMerge w:val="continue"/>
            <w:noWrap w:val="0"/>
            <w:vAlign w:val="center"/>
          </w:tcPr>
          <w:p>
            <w:pPr>
              <w:pStyle w:val="69"/>
              <w:bidi w:val="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6" w:type="dxa"/>
            <w:vMerge w:val="continue"/>
            <w:noWrap w:val="0"/>
            <w:vAlign w:val="center"/>
          </w:tcPr>
          <w:p>
            <w:pPr>
              <w:pStyle w:val="69"/>
              <w:bidi w:val="0"/>
              <w:rPr>
                <w:rFonts w:hint="default"/>
              </w:rPr>
            </w:pPr>
          </w:p>
        </w:tc>
        <w:tc>
          <w:tcPr>
            <w:tcW w:w="1503" w:type="dxa"/>
            <w:noWrap w:val="0"/>
            <w:vAlign w:val="center"/>
          </w:tcPr>
          <w:p>
            <w:pPr>
              <w:pStyle w:val="69"/>
              <w:bidi w:val="0"/>
              <w:rPr>
                <w:rFonts w:hint="default"/>
                <w:lang w:val="en-US" w:eastAsia="zh-CN"/>
              </w:rPr>
            </w:pPr>
            <w:r>
              <w:rPr>
                <w:rFonts w:hint="default"/>
                <w:lang w:val="en-US" w:eastAsia="zh-CN"/>
              </w:rPr>
              <w:t>污水处理站</w:t>
            </w:r>
          </w:p>
        </w:tc>
        <w:tc>
          <w:tcPr>
            <w:tcW w:w="1337" w:type="dxa"/>
            <w:noWrap w:val="0"/>
            <w:vAlign w:val="center"/>
          </w:tcPr>
          <w:p>
            <w:pPr>
              <w:pStyle w:val="69"/>
              <w:bidi w:val="0"/>
              <w:rPr>
                <w:rFonts w:hint="default"/>
                <w:lang w:val="en-US" w:eastAsia="zh-CN"/>
              </w:rPr>
            </w:pPr>
            <w:r>
              <w:rPr>
                <w:rFonts w:hint="default"/>
                <w:lang w:val="en-US" w:eastAsia="zh-CN"/>
              </w:rPr>
              <w:t>污泥、栅渣</w:t>
            </w:r>
          </w:p>
        </w:tc>
        <w:tc>
          <w:tcPr>
            <w:tcW w:w="2348" w:type="dxa"/>
            <w:noWrap w:val="0"/>
            <w:vAlign w:val="center"/>
          </w:tcPr>
          <w:p>
            <w:pPr>
              <w:pStyle w:val="69"/>
              <w:bidi w:val="0"/>
              <w:rPr>
                <w:rFonts w:hint="default"/>
              </w:rPr>
            </w:pPr>
            <w:r>
              <w:rPr>
                <w:rFonts w:hint="default"/>
                <w:lang w:val="en-US" w:eastAsia="zh-CN"/>
              </w:rPr>
              <w:t>作为</w:t>
            </w:r>
            <w:r>
              <w:rPr>
                <w:rFonts w:hint="eastAsia"/>
                <w:lang w:val="en-US" w:eastAsia="zh-CN"/>
              </w:rPr>
              <w:t>农家肥</w:t>
            </w:r>
            <w:r>
              <w:rPr>
                <w:rFonts w:hint="default"/>
                <w:lang w:val="en-US" w:eastAsia="zh-CN"/>
              </w:rPr>
              <w:t>外售综合利用</w:t>
            </w:r>
          </w:p>
        </w:tc>
        <w:tc>
          <w:tcPr>
            <w:tcW w:w="2106" w:type="dxa"/>
            <w:vMerge w:val="continue"/>
            <w:noWrap w:val="0"/>
            <w:vAlign w:val="center"/>
          </w:tcPr>
          <w:p>
            <w:pPr>
              <w:pStyle w:val="69"/>
              <w:bidi w:val="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6" w:type="dxa"/>
            <w:vMerge w:val="continue"/>
            <w:noWrap w:val="0"/>
            <w:vAlign w:val="center"/>
          </w:tcPr>
          <w:p>
            <w:pPr>
              <w:pStyle w:val="69"/>
              <w:bidi w:val="0"/>
              <w:rPr>
                <w:rFonts w:hint="default"/>
              </w:rPr>
            </w:pPr>
          </w:p>
        </w:tc>
        <w:tc>
          <w:tcPr>
            <w:tcW w:w="2840" w:type="dxa"/>
            <w:gridSpan w:val="2"/>
            <w:noWrap w:val="0"/>
            <w:vAlign w:val="center"/>
          </w:tcPr>
          <w:p>
            <w:pPr>
              <w:pStyle w:val="69"/>
              <w:bidi w:val="0"/>
              <w:rPr>
                <w:rFonts w:hint="default"/>
                <w:lang w:val="en-US" w:eastAsia="zh-CN"/>
              </w:rPr>
            </w:pPr>
            <w:r>
              <w:rPr>
                <w:rFonts w:hint="eastAsia"/>
                <w:lang w:val="en-US" w:eastAsia="zh-CN"/>
              </w:rPr>
              <w:t>生活垃圾</w:t>
            </w:r>
          </w:p>
        </w:tc>
        <w:tc>
          <w:tcPr>
            <w:tcW w:w="2348" w:type="dxa"/>
            <w:noWrap w:val="0"/>
            <w:vAlign w:val="center"/>
          </w:tcPr>
          <w:p>
            <w:pPr>
              <w:pStyle w:val="69"/>
              <w:bidi w:val="0"/>
              <w:rPr>
                <w:rFonts w:hint="default"/>
                <w:lang w:val="en-US" w:eastAsia="zh-CN"/>
              </w:rPr>
            </w:pPr>
            <w:r>
              <w:rPr>
                <w:rFonts w:hint="default"/>
                <w:lang w:val="en-US" w:eastAsia="zh-CN"/>
              </w:rPr>
              <w:t>收集后由环卫部门定期清运处理</w:t>
            </w:r>
          </w:p>
        </w:tc>
        <w:tc>
          <w:tcPr>
            <w:tcW w:w="2106" w:type="dxa"/>
            <w:vMerge w:val="continue"/>
            <w:noWrap w:val="0"/>
            <w:vAlign w:val="center"/>
          </w:tcPr>
          <w:p>
            <w:pPr>
              <w:pStyle w:val="69"/>
              <w:bidi w:val="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6" w:type="dxa"/>
            <w:vMerge w:val="continue"/>
            <w:noWrap w:val="0"/>
            <w:vAlign w:val="center"/>
          </w:tcPr>
          <w:p>
            <w:pPr>
              <w:pStyle w:val="69"/>
              <w:bidi w:val="0"/>
              <w:rPr>
                <w:rFonts w:hint="default"/>
              </w:rPr>
            </w:pPr>
          </w:p>
        </w:tc>
        <w:tc>
          <w:tcPr>
            <w:tcW w:w="2840" w:type="dxa"/>
            <w:gridSpan w:val="2"/>
            <w:noWrap w:val="0"/>
            <w:vAlign w:val="center"/>
          </w:tcPr>
          <w:p>
            <w:pPr>
              <w:pStyle w:val="69"/>
              <w:bidi w:val="0"/>
              <w:rPr>
                <w:rFonts w:hint="default"/>
                <w:lang w:val="en-US" w:eastAsia="zh-CN"/>
              </w:rPr>
            </w:pPr>
            <w:r>
              <w:rPr>
                <w:rFonts w:hint="eastAsia"/>
                <w:lang w:val="en-US" w:eastAsia="zh-CN"/>
              </w:rPr>
              <w:t>废润滑油及废润滑油桶</w:t>
            </w:r>
          </w:p>
        </w:tc>
        <w:tc>
          <w:tcPr>
            <w:tcW w:w="2348" w:type="dxa"/>
            <w:noWrap w:val="0"/>
            <w:vAlign w:val="center"/>
          </w:tcPr>
          <w:p>
            <w:pPr>
              <w:pStyle w:val="69"/>
              <w:bidi w:val="0"/>
              <w:rPr>
                <w:rFonts w:hint="default"/>
                <w:lang w:val="en-US" w:eastAsia="zh-CN"/>
              </w:rPr>
            </w:pPr>
            <w:r>
              <w:rPr>
                <w:rFonts w:hint="default"/>
                <w:lang w:val="en-US" w:eastAsia="zh-CN"/>
              </w:rPr>
              <w:t>交由有资质单位处置</w:t>
            </w:r>
          </w:p>
        </w:tc>
        <w:tc>
          <w:tcPr>
            <w:tcW w:w="2106" w:type="dxa"/>
            <w:vMerge w:val="continue"/>
            <w:noWrap w:val="0"/>
            <w:vAlign w:val="center"/>
          </w:tcPr>
          <w:p>
            <w:pPr>
              <w:pStyle w:val="69"/>
              <w:bidi w:val="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66" w:type="dxa"/>
            <w:noWrap w:val="0"/>
            <w:vAlign w:val="center"/>
          </w:tcPr>
          <w:p>
            <w:pPr>
              <w:pStyle w:val="69"/>
              <w:bidi w:val="0"/>
              <w:rPr>
                <w:rFonts w:hint="default"/>
              </w:rPr>
            </w:pPr>
            <w:r>
              <w:rPr>
                <w:rFonts w:hint="default"/>
              </w:rPr>
              <w:t>土壤及地下水</w:t>
            </w:r>
          </w:p>
          <w:p>
            <w:pPr>
              <w:pStyle w:val="69"/>
              <w:bidi w:val="0"/>
              <w:rPr>
                <w:rFonts w:hint="default"/>
              </w:rPr>
            </w:pPr>
            <w:r>
              <w:rPr>
                <w:rFonts w:hint="default"/>
              </w:rPr>
              <w:t>污染防治措施</w:t>
            </w:r>
          </w:p>
        </w:tc>
        <w:tc>
          <w:tcPr>
            <w:tcW w:w="7294" w:type="dxa"/>
            <w:gridSpan w:val="4"/>
            <w:noWrap w:val="0"/>
            <w:vAlign w:val="center"/>
          </w:tcPr>
          <w:p>
            <w:pPr>
              <w:pStyle w:val="71"/>
              <w:bidi w:val="0"/>
              <w:rPr>
                <w:rFonts w:hint="default"/>
              </w:rPr>
            </w:pPr>
            <w:r>
              <w:rPr>
                <w:rFonts w:hint="default"/>
              </w:rPr>
              <w:t>（1）主动控制即源头控制措施，主要包括在废水管道、设备、污水储存采取相应措施，防止和降低污水处理站及污水收集、排放管道的滴、漏，将污染物泄漏的环境风险事故降到最低程度。</w:t>
            </w:r>
          </w:p>
          <w:p>
            <w:pPr>
              <w:pStyle w:val="71"/>
              <w:bidi w:val="0"/>
              <w:rPr>
                <w:rFonts w:hint="default"/>
              </w:rPr>
            </w:pPr>
            <w:r>
              <w:rPr>
                <w:rFonts w:hint="default"/>
              </w:rPr>
              <w:t>（2）被动控制即末端控制措施，主要包括</w:t>
            </w:r>
            <w:r>
              <w:rPr>
                <w:rFonts w:hint="default"/>
                <w:lang w:val="en-US" w:eastAsia="zh-CN"/>
              </w:rPr>
              <w:t>污水处理站和</w:t>
            </w:r>
            <w:r>
              <w:rPr>
                <w:rFonts w:hint="default"/>
              </w:rPr>
              <w:t>危废贮存点的防渗措施和泄漏、渗漏污染物收集措施，即在废水处理收集、储存</w:t>
            </w:r>
            <w:r>
              <w:rPr>
                <w:rFonts w:hint="default"/>
                <w:lang w:val="en-US" w:eastAsia="zh-CN"/>
              </w:rPr>
              <w:t>区</w:t>
            </w:r>
            <w:r>
              <w:rPr>
                <w:rFonts w:hint="default"/>
              </w:rPr>
              <w:t>进行防渗处理，防止污染物渗入地下。</w:t>
            </w:r>
          </w:p>
          <w:p>
            <w:pPr>
              <w:pStyle w:val="71"/>
              <w:bidi w:val="0"/>
              <w:rPr>
                <w:rFonts w:hint="default"/>
                <w:lang w:val="en-US" w:eastAsia="zh-CN"/>
              </w:rPr>
            </w:pPr>
            <w:r>
              <w:rPr>
                <w:rFonts w:hint="default"/>
                <w:lang w:val="en-US" w:eastAsia="zh-CN"/>
              </w:rPr>
              <w:t>（3）分区防渗：</w:t>
            </w:r>
          </w:p>
          <w:p>
            <w:pPr>
              <w:pStyle w:val="71"/>
              <w:bidi w:val="0"/>
              <w:rPr>
                <w:rFonts w:hint="default"/>
                <w:lang w:val="en-US" w:eastAsia="zh-CN"/>
              </w:rPr>
            </w:pPr>
            <w:r>
              <w:rPr>
                <w:rFonts w:hint="default"/>
                <w:lang w:val="en-US" w:eastAsia="zh-CN"/>
              </w:rPr>
              <w:t>①危险废物贮存点</w:t>
            </w:r>
            <w:r>
              <w:rPr>
                <w:rFonts w:hint="eastAsia"/>
                <w:lang w:val="en-US" w:eastAsia="zh-CN"/>
              </w:rPr>
              <w:t>、</w:t>
            </w:r>
            <w:r>
              <w:rPr>
                <w:rFonts w:hint="default"/>
                <w:lang w:val="en-US" w:eastAsia="zh-CN"/>
              </w:rPr>
              <w:t>污水处理站</w:t>
            </w:r>
            <w:r>
              <w:rPr>
                <w:rFonts w:hint="eastAsia"/>
                <w:lang w:val="en-US" w:eastAsia="zh-CN"/>
              </w:rPr>
              <w:t>和消毒间</w:t>
            </w:r>
            <w:r>
              <w:rPr>
                <w:rFonts w:hint="default"/>
                <w:lang w:val="en-US" w:eastAsia="zh-CN"/>
              </w:rPr>
              <w:t>作为重点防渗区，地面硬化处理并设防渗层，确保等效黏土防渗层Mb≥6.0m，渗透系数K≤1.0×10</w:t>
            </w:r>
            <w:r>
              <w:rPr>
                <w:rFonts w:hint="default"/>
                <w:vertAlign w:val="superscript"/>
                <w:lang w:val="en-US" w:eastAsia="zh-CN"/>
              </w:rPr>
              <w:t>-7</w:t>
            </w:r>
            <w:r>
              <w:rPr>
                <w:rFonts w:hint="default"/>
                <w:lang w:val="en-US" w:eastAsia="zh-CN"/>
              </w:rPr>
              <w:t>cm/s，危险废物贮存点防渗要求同时满足《危险废物贮存污染控制标准》（GB18597-2023）：基础防渗层至少为1m厚黏土层（渗透系数≤1.0×10</w:t>
            </w:r>
            <w:r>
              <w:rPr>
                <w:rFonts w:hint="default"/>
                <w:vertAlign w:val="superscript"/>
                <w:lang w:val="en-US" w:eastAsia="zh-CN"/>
              </w:rPr>
              <w:t>-7</w:t>
            </w:r>
            <w:r>
              <w:rPr>
                <w:rFonts w:hint="default"/>
                <w:lang w:val="en-US" w:eastAsia="zh-CN"/>
              </w:rPr>
              <w:t>cm/s），或2mm厚高密度聚乙烯，或至少2mm厚的其他人工材料，渗透系数≤1.0×10</w:t>
            </w:r>
            <w:r>
              <w:rPr>
                <w:rFonts w:hint="default"/>
                <w:vertAlign w:val="superscript"/>
                <w:lang w:val="en-US" w:eastAsia="zh-CN"/>
              </w:rPr>
              <w:t>-10</w:t>
            </w:r>
            <w:r>
              <w:rPr>
                <w:rFonts w:hint="default"/>
                <w:lang w:val="en-US" w:eastAsia="zh-CN"/>
              </w:rPr>
              <w:t>cm/s。</w:t>
            </w:r>
          </w:p>
          <w:p>
            <w:pPr>
              <w:pStyle w:val="71"/>
              <w:bidi w:val="0"/>
              <w:rPr>
                <w:rFonts w:hint="default"/>
                <w:lang w:val="en-US" w:eastAsia="zh-CN"/>
              </w:rPr>
            </w:pPr>
            <w:r>
              <w:rPr>
                <w:rFonts w:hint="default"/>
                <w:lang w:val="en-US" w:eastAsia="zh-CN"/>
              </w:rPr>
              <w:t>②待宰圈、屠宰车间为一般防渗，地面硬化处理设防渗层，可使一般防渗区域的等效黏土防渗层Mb≥1.5m，渗透系数K≤1×10</w:t>
            </w:r>
            <w:r>
              <w:rPr>
                <w:rFonts w:hint="default"/>
                <w:vertAlign w:val="superscript"/>
                <w:lang w:val="en-US" w:eastAsia="zh-CN"/>
              </w:rPr>
              <w:t>-7</w:t>
            </w:r>
            <w:r>
              <w:rPr>
                <w:rFonts w:hint="default"/>
                <w:lang w:val="en-US" w:eastAsia="zh-CN"/>
              </w:rPr>
              <w:t>cm/s。</w:t>
            </w:r>
          </w:p>
          <w:p>
            <w:pPr>
              <w:pStyle w:val="71"/>
              <w:bidi w:val="0"/>
              <w:rPr>
                <w:rFonts w:hint="default"/>
                <w:lang w:val="en-US" w:eastAsia="zh-CN"/>
              </w:rPr>
            </w:pPr>
            <w:r>
              <w:rPr>
                <w:rFonts w:hint="default"/>
                <w:lang w:val="en-US" w:eastAsia="zh-CN"/>
              </w:rPr>
              <w:t>③厂区路面等区域为简单防渗区，一般地面水泥硬化。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766" w:type="dxa"/>
            <w:noWrap w:val="0"/>
            <w:vAlign w:val="center"/>
          </w:tcPr>
          <w:p>
            <w:pPr>
              <w:pStyle w:val="69"/>
              <w:bidi w:val="0"/>
              <w:rPr>
                <w:rFonts w:hint="default"/>
              </w:rPr>
            </w:pPr>
            <w:r>
              <w:rPr>
                <w:rFonts w:hint="default"/>
              </w:rPr>
              <w:t>生态保护措施</w:t>
            </w:r>
          </w:p>
        </w:tc>
        <w:tc>
          <w:tcPr>
            <w:tcW w:w="7294" w:type="dxa"/>
            <w:gridSpan w:val="4"/>
            <w:noWrap w:val="0"/>
            <w:vAlign w:val="center"/>
          </w:tcPr>
          <w:p>
            <w:pPr>
              <w:pStyle w:val="71"/>
              <w:bidi w:val="0"/>
              <w:rPr>
                <w:rFonts w:hint="default"/>
              </w:rPr>
            </w:pPr>
            <w:r>
              <w:rPr>
                <w:rFonts w:hint="defaul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766" w:type="dxa"/>
            <w:noWrap w:val="0"/>
            <w:vAlign w:val="center"/>
          </w:tcPr>
          <w:p>
            <w:pPr>
              <w:pStyle w:val="69"/>
              <w:bidi w:val="0"/>
              <w:rPr>
                <w:rFonts w:hint="default"/>
              </w:rPr>
            </w:pPr>
            <w:r>
              <w:rPr>
                <w:rFonts w:hint="default"/>
              </w:rPr>
              <w:t>环境风险</w:t>
            </w:r>
          </w:p>
          <w:p>
            <w:pPr>
              <w:pStyle w:val="69"/>
              <w:bidi w:val="0"/>
              <w:rPr>
                <w:rFonts w:hint="default"/>
              </w:rPr>
            </w:pPr>
            <w:r>
              <w:rPr>
                <w:rFonts w:hint="default"/>
              </w:rPr>
              <w:t>防范措施</w:t>
            </w:r>
          </w:p>
        </w:tc>
        <w:tc>
          <w:tcPr>
            <w:tcW w:w="7294" w:type="dxa"/>
            <w:gridSpan w:val="4"/>
            <w:noWrap w:val="0"/>
            <w:vAlign w:val="center"/>
          </w:tcPr>
          <w:p>
            <w:pPr>
              <w:pStyle w:val="71"/>
              <w:bidi w:val="0"/>
              <w:rPr>
                <w:rFonts w:hint="default"/>
                <w:lang w:val="en-US" w:eastAsia="zh-CN"/>
              </w:rPr>
            </w:pPr>
            <w:r>
              <w:rPr>
                <w:rFonts w:hint="default"/>
                <w:lang w:val="en-US" w:eastAsia="zh-CN"/>
              </w:rPr>
              <w:t>为避免风险事故，尤其是避免风险事故发生后对环境造成严重的污染，建设单位应树立并强化环境风险意识，增加对环境风险的防范措施，并使这些措施在实际工作中得到落实。为进一步减少事故的发生，减缓该项目运营过程中对环境的潜在威胁，建设单位应采取综合防范措施，并从技术、工艺、管理等方面对以下几方面予以重视：</w:t>
            </w:r>
          </w:p>
          <w:p>
            <w:pPr>
              <w:pStyle w:val="71"/>
              <w:bidi w:val="0"/>
              <w:rPr>
                <w:rFonts w:hint="default"/>
                <w:lang w:val="en-US" w:eastAsia="zh-CN"/>
              </w:rPr>
            </w:pPr>
            <w:r>
              <w:rPr>
                <w:rFonts w:hint="default"/>
                <w:lang w:val="en-US" w:eastAsia="zh-CN"/>
              </w:rPr>
              <w:t>（1）树立环境风险意识</w:t>
            </w:r>
          </w:p>
          <w:p>
            <w:pPr>
              <w:pStyle w:val="71"/>
              <w:bidi w:val="0"/>
              <w:rPr>
                <w:rFonts w:hint="default"/>
                <w:lang w:val="en-US" w:eastAsia="zh-CN"/>
              </w:rPr>
            </w:pPr>
            <w:r>
              <w:rPr>
                <w:rFonts w:hint="default"/>
                <w:lang w:val="en-US" w:eastAsia="zh-CN"/>
              </w:rPr>
              <w:t>该项目客观上存在着一定的不安全因素，对周围环境存在着潜在的威胁。发生环境安全事故后，对周围环境有难以弥补的损害，所以在贯彻“安全第一，预防为主”的方针同时，应树立环境风险意识，强化环境风险责任，体现出环境保护的内容。</w:t>
            </w:r>
          </w:p>
          <w:p>
            <w:pPr>
              <w:pStyle w:val="71"/>
              <w:bidi w:val="0"/>
              <w:rPr>
                <w:rFonts w:hint="default"/>
                <w:lang w:val="en-US" w:eastAsia="zh-CN"/>
              </w:rPr>
            </w:pPr>
            <w:r>
              <w:rPr>
                <w:rFonts w:hint="default"/>
                <w:lang w:val="en-US" w:eastAsia="zh-CN"/>
              </w:rPr>
              <w:t>（2）实行全面环境安全管理制度</w:t>
            </w:r>
          </w:p>
          <w:p>
            <w:pPr>
              <w:pStyle w:val="71"/>
              <w:bidi w:val="0"/>
              <w:rPr>
                <w:rFonts w:hint="default"/>
                <w:lang w:val="en-US" w:eastAsia="zh-CN"/>
              </w:rPr>
            </w:pPr>
            <w:r>
              <w:rPr>
                <w:rFonts w:hint="default"/>
                <w:lang w:val="en-US" w:eastAsia="zh-CN"/>
              </w:rPr>
              <w:t>项目在生产过程中有可能发生各种事故，事故发生后均会对环境造成不同程度的污染，因此应该针对该项目开展全面、全员、全过程的系数安全管理，把环境安全工作的重点放在消除系统的潜在危险上，并从整体和全局上促进该项目各个环节的环境安全运作，并建立监察、管理、检测、信息系统和科学决策体系，实行环境安全目标管理。</w:t>
            </w:r>
          </w:p>
          <w:p>
            <w:pPr>
              <w:pStyle w:val="71"/>
              <w:bidi w:val="0"/>
              <w:rPr>
                <w:rFonts w:hint="default"/>
                <w:lang w:val="en-US" w:eastAsia="zh-CN"/>
              </w:rPr>
            </w:pPr>
            <w:r>
              <w:rPr>
                <w:rFonts w:hint="default"/>
                <w:lang w:val="en-US" w:eastAsia="zh-CN"/>
              </w:rPr>
              <w:t>（3）加强资料的日常记录与管理</w:t>
            </w:r>
          </w:p>
          <w:p>
            <w:pPr>
              <w:pStyle w:val="71"/>
              <w:bidi w:val="0"/>
              <w:rPr>
                <w:rFonts w:hint="default"/>
                <w:lang w:val="en-US" w:eastAsia="zh-CN"/>
              </w:rPr>
            </w:pPr>
            <w:r>
              <w:rPr>
                <w:rFonts w:hint="default"/>
                <w:lang w:val="en-US" w:eastAsia="zh-CN"/>
              </w:rPr>
              <w:t>加强对生产过程中的各项操作参数等资料的日常记录及管理，及时发现问题并采取</w:t>
            </w:r>
            <w:r>
              <w:rPr>
                <w:rFonts w:hint="eastAsia"/>
                <w:lang w:val="en-US" w:eastAsia="zh-CN"/>
              </w:rPr>
              <w:t>减轻</w:t>
            </w:r>
            <w:r>
              <w:rPr>
                <w:rFonts w:hint="default"/>
                <w:lang w:val="en-US" w:eastAsia="zh-CN"/>
              </w:rPr>
              <w:t>危害的措施。</w:t>
            </w:r>
          </w:p>
          <w:p>
            <w:pPr>
              <w:pStyle w:val="71"/>
              <w:bidi w:val="0"/>
              <w:rPr>
                <w:rFonts w:hint="default"/>
                <w:lang w:val="en-US" w:eastAsia="zh-CN"/>
              </w:rPr>
            </w:pPr>
            <w:r>
              <w:rPr>
                <w:rFonts w:hint="default"/>
                <w:lang w:val="en-US" w:eastAsia="zh-CN"/>
              </w:rPr>
              <w:t>（4）应对措施</w:t>
            </w:r>
          </w:p>
          <w:p>
            <w:pPr>
              <w:pStyle w:val="71"/>
              <w:bidi w:val="0"/>
              <w:rPr>
                <w:rFonts w:hint="default"/>
                <w:lang w:eastAsia="zh-CN"/>
              </w:rPr>
            </w:pPr>
            <w:r>
              <w:rPr>
                <w:rFonts w:hint="default"/>
                <w:lang w:val="en-US" w:eastAsia="zh-CN"/>
              </w:rPr>
              <w:t>事故发生的可能性总是存在的，为减少事故发生后造成的损失，尤其是减少对环境造成严重的污染，建设单位除了一方面要落实已制定的各种安全管理制度，另一方面，建设单位还应对发生各类风险事故后采取必要的事故应急措施</w:t>
            </w: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66" w:type="dxa"/>
            <w:noWrap w:val="0"/>
            <w:vAlign w:val="center"/>
          </w:tcPr>
          <w:p>
            <w:pPr>
              <w:pStyle w:val="69"/>
              <w:bidi w:val="0"/>
              <w:rPr>
                <w:rFonts w:hint="default"/>
              </w:rPr>
            </w:pPr>
            <w:r>
              <w:rPr>
                <w:rFonts w:hint="default"/>
              </w:rPr>
              <w:t>其他环境</w:t>
            </w:r>
          </w:p>
          <w:p>
            <w:pPr>
              <w:pStyle w:val="69"/>
              <w:bidi w:val="0"/>
              <w:rPr>
                <w:rFonts w:hint="default"/>
              </w:rPr>
            </w:pPr>
            <w:r>
              <w:rPr>
                <w:rFonts w:hint="default"/>
              </w:rPr>
              <w:t>管理要求</w:t>
            </w:r>
          </w:p>
        </w:tc>
        <w:tc>
          <w:tcPr>
            <w:tcW w:w="7294" w:type="dxa"/>
            <w:gridSpan w:val="4"/>
            <w:noWrap w:val="0"/>
            <w:vAlign w:val="center"/>
          </w:tcPr>
          <w:p>
            <w:pPr>
              <w:pStyle w:val="70"/>
              <w:bidi w:val="0"/>
              <w:rPr>
                <w:rFonts w:hint="default"/>
              </w:rPr>
            </w:pPr>
            <w:r>
              <w:rPr>
                <w:rFonts w:hint="default"/>
              </w:rPr>
              <w:t>1</w:t>
            </w:r>
            <w:r>
              <w:rPr>
                <w:rFonts w:hint="default"/>
                <w:lang w:val="en-US" w:eastAsia="zh-CN"/>
              </w:rPr>
              <w:t>.</w:t>
            </w:r>
            <w:r>
              <w:rPr>
                <w:rFonts w:hint="default"/>
              </w:rPr>
              <w:t>管理制度</w:t>
            </w:r>
          </w:p>
          <w:p>
            <w:pPr>
              <w:pStyle w:val="71"/>
              <w:bidi w:val="0"/>
              <w:rPr>
                <w:rFonts w:hint="default"/>
              </w:rPr>
            </w:pPr>
            <w:r>
              <w:rPr>
                <w:rFonts w:hint="default"/>
              </w:rPr>
              <w:t>为了缓解建设项目生产运行期对环境构成的不良影响，在采取环保治理工程措施解决建设项目环境影响的同时，必须制定全面的企业环境管理计划，配备专职环保人员1-2名，负责环境监督管理工作，同时要加强对管理人员的环保培训，不断提高管理水平</w:t>
            </w:r>
            <w:r>
              <w:rPr>
                <w:rFonts w:hint="default"/>
                <w:lang w:eastAsia="zh-CN"/>
              </w:rPr>
              <w:t>。</w:t>
            </w:r>
            <w:r>
              <w:rPr>
                <w:rFonts w:hint="default"/>
              </w:rPr>
              <w:t>企业排污发生重大变化、污染治理设施改变或生产运行计划改变等都必须向当地环保部门申报，经审批同意后方可实施。对污染治理设施和管理必须与生产经营活动一起纳入企业的日常管理中，要建立岗位责任制，制定操作规程，建立</w:t>
            </w:r>
            <w:r>
              <w:rPr>
                <w:rFonts w:hint="default"/>
                <w:lang w:eastAsia="zh-CN"/>
              </w:rPr>
              <w:t>管理台账</w:t>
            </w:r>
            <w:r>
              <w:rPr>
                <w:rFonts w:hint="default"/>
              </w:rPr>
              <w:t>。</w:t>
            </w:r>
          </w:p>
          <w:p>
            <w:pPr>
              <w:pStyle w:val="70"/>
              <w:bidi w:val="0"/>
              <w:rPr>
                <w:rFonts w:hint="default"/>
              </w:rPr>
            </w:pPr>
            <w:r>
              <w:rPr>
                <w:rFonts w:hint="default"/>
                <w:lang w:val="en-US" w:eastAsia="zh-CN"/>
              </w:rPr>
              <w:t>2.</w:t>
            </w:r>
            <w:r>
              <w:rPr>
                <w:rFonts w:hint="default"/>
              </w:rPr>
              <w:t>排放口信息化、规范化</w:t>
            </w:r>
          </w:p>
          <w:p>
            <w:pPr>
              <w:pStyle w:val="71"/>
              <w:bidi w:val="0"/>
              <w:rPr>
                <w:rFonts w:hint="default"/>
              </w:rPr>
            </w:pPr>
            <w:r>
              <w:rPr>
                <w:rFonts w:hint="default"/>
              </w:rPr>
              <w:t>建设项目排气筒采样平台、采样口等内容须按照《排污单位污染物排放口监测点位设置技术规范》（HJ1405-2024）要求设置。</w:t>
            </w:r>
          </w:p>
          <w:p>
            <w:pPr>
              <w:pStyle w:val="70"/>
              <w:bidi w:val="0"/>
              <w:rPr>
                <w:rFonts w:hint="default"/>
              </w:rPr>
            </w:pPr>
            <w:r>
              <w:rPr>
                <w:rFonts w:hint="default"/>
                <w:lang w:val="en-US" w:eastAsia="zh-CN"/>
              </w:rPr>
              <w:t>3.排污申报</w:t>
            </w:r>
          </w:p>
          <w:p>
            <w:pPr>
              <w:pStyle w:val="71"/>
              <w:bidi w:val="0"/>
              <w:rPr>
                <w:rFonts w:hint="default"/>
              </w:rPr>
            </w:pPr>
            <w:r>
              <w:rPr>
                <w:rFonts w:hint="default"/>
                <w:lang w:val="en-US" w:eastAsia="zh-CN"/>
              </w:rPr>
              <w:t>（1）建设单位应根据《固定污染源排污许可分类管理名录（2019年版）》在产生实际排污行为之前依法申领排污许可手续，必须按批准的排放总量和浓度进行排放。</w:t>
            </w:r>
          </w:p>
          <w:p>
            <w:pPr>
              <w:pStyle w:val="71"/>
              <w:bidi w:val="0"/>
              <w:rPr>
                <w:rFonts w:hint="default"/>
                <w:lang w:val="en-US" w:eastAsia="zh-CN"/>
              </w:rPr>
            </w:pPr>
            <w:r>
              <w:rPr>
                <w:rFonts w:hint="default"/>
                <w:lang w:val="en-US" w:eastAsia="zh-CN"/>
              </w:rPr>
              <w:t>（2）排污单位在申请排污许可前，应当将主要申请内容，通过国家排污许可证管理信息平台或者其他规定途径等便于公众知晓的方式向社会公开。</w:t>
            </w:r>
          </w:p>
          <w:p>
            <w:pPr>
              <w:pStyle w:val="71"/>
              <w:bidi w:val="0"/>
              <w:rPr>
                <w:rFonts w:hint="default"/>
              </w:rPr>
            </w:pPr>
            <w:r>
              <w:rPr>
                <w:rFonts w:hint="default"/>
                <w:lang w:val="en-US" w:eastAsia="zh-CN"/>
              </w:rPr>
              <w:t>（3）排污单位应当在国家排污许可证管理信息平台上填报并提交排污许可证申请。</w:t>
            </w:r>
          </w:p>
          <w:p>
            <w:pPr>
              <w:pStyle w:val="71"/>
              <w:bidi w:val="0"/>
              <w:rPr>
                <w:rFonts w:hint="default"/>
              </w:rPr>
            </w:pPr>
            <w:r>
              <w:rPr>
                <w:rFonts w:hint="default"/>
                <w:lang w:val="en-US" w:eastAsia="zh-CN"/>
              </w:rPr>
              <w:t>（4）排污单位于每年年底申报下一年度正常作业条件下排放污染物种类、数量、浓度等情况，并提供与污染物排放有关的资料。</w:t>
            </w:r>
          </w:p>
          <w:p>
            <w:pPr>
              <w:pStyle w:val="70"/>
              <w:bidi w:val="0"/>
              <w:rPr>
                <w:rFonts w:hint="default"/>
              </w:rPr>
            </w:pPr>
            <w:r>
              <w:rPr>
                <w:rFonts w:hint="default"/>
                <w:lang w:val="en-US" w:eastAsia="zh-CN"/>
              </w:rPr>
              <w:t>4.环境管理台账</w:t>
            </w:r>
          </w:p>
          <w:p>
            <w:pPr>
              <w:pStyle w:val="71"/>
              <w:bidi w:val="0"/>
              <w:rPr>
                <w:rFonts w:hint="default"/>
              </w:rPr>
            </w:pPr>
            <w:r>
              <w:rPr>
                <w:rFonts w:hint="default"/>
                <w:lang w:val="en-US" w:eastAsia="zh-CN"/>
              </w:rPr>
              <w:t>企业应按照行业排污许可管理要求制度管理台账，落实环境管理台账记录的责任部门和责任人，明确工作职责，包括台账的记录、整理、维护和管理等，并对台账记录结果的真实性、完整性和规范性负责，台账保存期限不得少于5年。</w:t>
            </w:r>
          </w:p>
          <w:p>
            <w:pPr>
              <w:pStyle w:val="70"/>
              <w:bidi w:val="0"/>
              <w:rPr>
                <w:rFonts w:hint="default"/>
                <w:lang w:val="en-US" w:eastAsia="zh-CN"/>
              </w:rPr>
            </w:pPr>
            <w:r>
              <w:rPr>
                <w:rFonts w:hint="default"/>
                <w:lang w:val="en-US" w:eastAsia="zh-CN"/>
              </w:rPr>
              <w:t>5.环保信息公开</w:t>
            </w:r>
          </w:p>
          <w:p>
            <w:pPr>
              <w:pStyle w:val="71"/>
              <w:bidi w:val="0"/>
              <w:rPr>
                <w:rFonts w:hint="default"/>
              </w:rPr>
            </w:pPr>
            <w:r>
              <w:rPr>
                <w:rFonts w:hint="default"/>
              </w:rPr>
              <w:t>要求根据《企业事业单位环境信息公开办法》</w:t>
            </w:r>
            <w:r>
              <w:rPr>
                <w:rFonts w:hint="default"/>
                <w:lang w:eastAsia="zh-CN"/>
              </w:rPr>
              <w:t>（</w:t>
            </w:r>
            <w:r>
              <w:rPr>
                <w:rFonts w:hint="default"/>
              </w:rPr>
              <w:t>环境保护部令第31号</w:t>
            </w:r>
            <w:r>
              <w:rPr>
                <w:rFonts w:hint="default"/>
                <w:lang w:eastAsia="zh-CN"/>
              </w:rPr>
              <w:t>）</w:t>
            </w:r>
            <w:r>
              <w:rPr>
                <w:rFonts w:hint="default"/>
              </w:rPr>
              <w:t>，企业事业单位应当按照强制公开和自愿公开相结合的原则，及时、如实地公开其环境信息。企业事业单位应当建立健全本单位环境信息公开制度，指定机构负责本单位环境信息公开日常工作，排污单位应当公开以下信息：</w:t>
            </w:r>
          </w:p>
          <w:p>
            <w:pPr>
              <w:pStyle w:val="71"/>
              <w:bidi w:val="0"/>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rPr>
              <w:t>基础信息，包括单位名称、组织机构代码、法定代表人、生产地址、联系方式以及生产经营和管理服务的主要内容、产品及规模</w:t>
            </w:r>
            <w:r>
              <w:rPr>
                <w:rFonts w:hint="default"/>
                <w:lang w:eastAsia="zh-CN"/>
              </w:rPr>
              <w:t>。</w:t>
            </w:r>
          </w:p>
          <w:p>
            <w:pPr>
              <w:pStyle w:val="71"/>
              <w:bidi w:val="0"/>
              <w:rPr>
                <w:rFonts w:hint="default"/>
                <w:lang w:eastAsia="zh-CN"/>
              </w:rPr>
            </w:pPr>
            <w:r>
              <w:rPr>
                <w:rFonts w:hint="default"/>
                <w:lang w:eastAsia="zh-CN"/>
              </w:rPr>
              <w:t>（</w:t>
            </w:r>
            <w:r>
              <w:rPr>
                <w:rFonts w:hint="default"/>
                <w:lang w:val="en-US" w:eastAsia="zh-CN"/>
              </w:rPr>
              <w:t>2</w:t>
            </w:r>
            <w:r>
              <w:rPr>
                <w:rFonts w:hint="default"/>
                <w:lang w:eastAsia="zh-CN"/>
              </w:rPr>
              <w:t>）</w:t>
            </w:r>
            <w:r>
              <w:rPr>
                <w:rFonts w:hint="default"/>
              </w:rPr>
              <w:t>排污信息，包括主要污染物及其他污染物的名称、排放方式、排放口数量和分布情况、排放浓度和总量、超标情况以及执行的污染物排放标准、核定的排放总量</w:t>
            </w:r>
            <w:r>
              <w:rPr>
                <w:rFonts w:hint="default"/>
                <w:lang w:eastAsia="zh-CN"/>
              </w:rPr>
              <w:t>。</w:t>
            </w:r>
          </w:p>
          <w:p>
            <w:pPr>
              <w:pStyle w:val="71"/>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rPr>
              <w:t>防治污染设施的建设和运行情况</w:t>
            </w:r>
            <w:r>
              <w:rPr>
                <w:rFonts w:hint="default"/>
                <w:lang w:eastAsia="zh-CN"/>
              </w:rPr>
              <w:t>。</w:t>
            </w:r>
          </w:p>
          <w:p>
            <w:pPr>
              <w:pStyle w:val="71"/>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rPr>
              <w:t>建设项目环境影响评价及其他环境保护行政许可情况</w:t>
            </w:r>
            <w:r>
              <w:rPr>
                <w:rFonts w:hint="default"/>
                <w:lang w:eastAsia="zh-CN"/>
              </w:rPr>
              <w:t>。</w:t>
            </w:r>
          </w:p>
          <w:p>
            <w:pPr>
              <w:pStyle w:val="71"/>
              <w:bidi w:val="0"/>
              <w:rPr>
                <w:rFonts w:hint="default"/>
                <w:lang w:eastAsia="zh-CN"/>
              </w:rPr>
            </w:pPr>
            <w:r>
              <w:rPr>
                <w:rFonts w:hint="default"/>
                <w:lang w:eastAsia="zh-CN"/>
              </w:rPr>
              <w:t>（</w:t>
            </w:r>
            <w:r>
              <w:rPr>
                <w:rFonts w:hint="default"/>
                <w:lang w:val="en-US" w:eastAsia="zh-CN"/>
              </w:rPr>
              <w:t>5</w:t>
            </w:r>
            <w:r>
              <w:rPr>
                <w:rFonts w:hint="default"/>
                <w:lang w:eastAsia="zh-CN"/>
              </w:rPr>
              <w:t>）</w:t>
            </w:r>
            <w:r>
              <w:rPr>
                <w:rFonts w:hint="default"/>
              </w:rPr>
              <w:t>其他应当公开的环境信息</w:t>
            </w:r>
            <w:r>
              <w:rPr>
                <w:rFonts w:hint="default"/>
                <w:lang w:eastAsia="zh-CN"/>
              </w:rPr>
              <w:t>。</w:t>
            </w:r>
          </w:p>
          <w:p>
            <w:pPr>
              <w:pStyle w:val="70"/>
              <w:bidi w:val="0"/>
              <w:rPr>
                <w:rFonts w:hint="default"/>
              </w:rPr>
            </w:pPr>
            <w:r>
              <w:rPr>
                <w:rFonts w:hint="default"/>
                <w:lang w:val="en-US" w:eastAsia="zh-CN"/>
              </w:rPr>
              <w:t>6.竣工环境保护验收要求</w:t>
            </w:r>
          </w:p>
          <w:p>
            <w:pPr>
              <w:pStyle w:val="71"/>
              <w:bidi w:val="0"/>
              <w:rPr>
                <w:rFonts w:hint="default"/>
                <w:lang w:val="en-US" w:eastAsia="zh-CN"/>
              </w:rPr>
            </w:pPr>
            <w:r>
              <w:rPr>
                <w:rFonts w:hint="default"/>
                <w:lang w:val="en-US" w:eastAsia="zh-CN"/>
              </w:rPr>
              <w:t>根据《建设项目竣工环境保护验收暂行办法》，本项目竣工后，建设单位应及时组织竣工环境保护验收，经验收合格后，本项目方可投入正式运行。</w:t>
            </w: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rPr>
                <w:rFonts w:hint="default"/>
                <w:lang w:val="en-US" w:eastAsia="zh-CN"/>
              </w:rPr>
            </w:pPr>
          </w:p>
          <w:p>
            <w:pPr>
              <w:pStyle w:val="71"/>
              <w:bidi w:val="0"/>
              <w:ind w:left="0" w:leftChars="0" w:firstLine="0" w:firstLineChars="0"/>
              <w:rPr>
                <w:rFonts w:hint="default"/>
                <w:lang w:val="en-US" w:eastAsia="zh-CN"/>
              </w:rPr>
            </w:pPr>
          </w:p>
        </w:tc>
      </w:tr>
    </w:tbl>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cs="Times New Roman"/>
          <w:snapToGrid w:val="0"/>
        </w:rPr>
        <w:br w:type="page"/>
      </w:r>
      <w:r>
        <w:rPr>
          <w:rFonts w:hint="default" w:ascii="Times New Roman" w:hAnsi="Times New Roman" w:eastAsia="黑体" w:cs="Times New Roman"/>
          <w:snapToGrid w:val="0"/>
          <w:sz w:val="30"/>
          <w:szCs w:val="30"/>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noWrap w:val="0"/>
            <w:vAlign w:val="top"/>
          </w:tcPr>
          <w:p>
            <w:pPr>
              <w:pStyle w:val="7"/>
              <w:bidi w:val="0"/>
              <w:jc w:val="both"/>
              <w:rPr>
                <w:rFonts w:hint="default" w:ascii="Times New Roman" w:hAnsi="Times New Roman" w:cs="Times New Roman"/>
              </w:rPr>
            </w:pPr>
            <w:r>
              <w:rPr>
                <w:rFonts w:hint="default"/>
              </w:rPr>
              <w:t>根据上述分析，本项目建成后对周围环境造成废水、废气、噪声污染较小，建设单位若能在建成后切实落实本环评提出的各项环境污染防治措施，落实</w:t>
            </w:r>
            <w:r>
              <w:rPr>
                <w:rFonts w:hint="default"/>
                <w:lang w:eastAsia="zh-CN"/>
              </w:rPr>
              <w:t>“</w:t>
            </w:r>
            <w:r>
              <w:rPr>
                <w:rFonts w:hint="default"/>
              </w:rPr>
              <w:t>三同时</w:t>
            </w:r>
            <w:r>
              <w:rPr>
                <w:rFonts w:hint="default"/>
                <w:lang w:eastAsia="zh-CN"/>
              </w:rPr>
              <w:t>”</w:t>
            </w:r>
            <w:r>
              <w:rPr>
                <w:rFonts w:hint="default"/>
              </w:rPr>
              <w:t>制度，加强环境管理，确保污染物达标排放，则本项目建成投入使用后，对环境的影响是可以接受的。建设单位须严格遵守环保</w:t>
            </w:r>
            <w:r>
              <w:rPr>
                <w:rFonts w:hint="default"/>
                <w:lang w:eastAsia="zh-CN"/>
              </w:rPr>
              <w:t>“</w:t>
            </w:r>
            <w:r>
              <w:rPr>
                <w:rFonts w:hint="default"/>
              </w:rPr>
              <w:t>三同时</w:t>
            </w:r>
            <w:r>
              <w:rPr>
                <w:rFonts w:hint="default"/>
                <w:lang w:eastAsia="zh-CN"/>
              </w:rPr>
              <w:t>”</w:t>
            </w:r>
            <w:r>
              <w:rPr>
                <w:rFonts w:hint="default"/>
              </w:rPr>
              <w:t>制度，各项治理措施需自主验收合格后方可正式投入使用，在此前提下，本项目是可行的。</w:t>
            </w:r>
          </w:p>
        </w:tc>
      </w:tr>
    </w:tbl>
    <w:p>
      <w:pPr>
        <w:rPr>
          <w:rFonts w:hint="default" w:ascii="Times New Roman" w:hAnsi="Times New Roman" w:cs="Times New Roma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adjustRightInd w:val="0"/>
        <w:snapToGrid w:val="0"/>
        <w:spacing w:before="0" w:beforeAutospacing="0" w:after="0" w:afterAutospacing="0" w:line="648" w:lineRule="auto"/>
        <w:outlineLvl w:val="0"/>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附表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方正小标宋_GBK" w:cs="Times New Roman"/>
          <w:snapToGrid w:val="0"/>
          <w:sz w:val="38"/>
          <w:szCs w:val="38"/>
        </w:rPr>
      </w:pPr>
      <w:r>
        <w:rPr>
          <w:rFonts w:hint="default" w:ascii="Times New Roman" w:hAnsi="Times New Roman" w:eastAsia="方正小标宋_GBK" w:cs="Times New Roman"/>
          <w:snapToGrid w:val="0"/>
          <w:sz w:val="38"/>
          <w:szCs w:val="38"/>
        </w:rPr>
        <w:t>建设项目污染物排放量汇总表</w:t>
      </w:r>
    </w:p>
    <w:tbl>
      <w:tblPr>
        <w:tblStyle w:val="24"/>
        <w:tblW w:w="135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262"/>
        <w:gridCol w:w="1604"/>
        <w:gridCol w:w="1251"/>
        <w:gridCol w:w="1670"/>
        <w:gridCol w:w="1532"/>
        <w:gridCol w:w="1729"/>
        <w:gridCol w:w="1925"/>
        <w:gridCol w:w="8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754" w:type="dxa"/>
            <w:tcBorders>
              <w:tl2br w:val="single" w:color="auto" w:sz="4" w:space="0"/>
            </w:tcBorders>
            <w:noWrap w:val="0"/>
            <w:tcMar>
              <w:left w:w="28" w:type="dxa"/>
              <w:right w:w="28" w:type="dxa"/>
            </w:tcMar>
            <w:vAlign w:val="center"/>
          </w:tcPr>
          <w:p>
            <w:pPr>
              <w:pStyle w:val="73"/>
              <w:bidi w:val="0"/>
              <w:rPr>
                <w:rFonts w:hint="default"/>
              </w:rPr>
            </w:pPr>
            <w:r>
              <w:rPr>
                <w:rFonts w:hint="eastAsia"/>
                <w:lang w:val="en-US" w:eastAsia="zh-CN"/>
              </w:rPr>
              <w:t xml:space="preserve">  </w:t>
            </w:r>
            <w:r>
              <w:rPr>
                <w:rFonts w:hint="default"/>
              </w:rPr>
              <w:t>项目</w:t>
            </w:r>
          </w:p>
          <w:p>
            <w:pPr>
              <w:pStyle w:val="73"/>
              <w:bidi w:val="0"/>
              <w:rPr>
                <w:rFonts w:hint="default"/>
              </w:rPr>
            </w:pPr>
          </w:p>
          <w:p>
            <w:pPr>
              <w:pStyle w:val="73"/>
              <w:bidi w:val="0"/>
              <w:jc w:val="both"/>
              <w:rPr>
                <w:rFonts w:hint="default"/>
              </w:rPr>
            </w:pPr>
            <w:r>
              <w:rPr>
                <w:rFonts w:hint="default"/>
              </w:rPr>
              <w:t>分类</w:t>
            </w:r>
          </w:p>
        </w:tc>
        <w:tc>
          <w:tcPr>
            <w:tcW w:w="2262" w:type="dxa"/>
            <w:noWrap w:val="0"/>
            <w:tcMar>
              <w:left w:w="28" w:type="dxa"/>
              <w:right w:w="28" w:type="dxa"/>
            </w:tcMar>
            <w:vAlign w:val="center"/>
          </w:tcPr>
          <w:p>
            <w:pPr>
              <w:pStyle w:val="73"/>
              <w:bidi w:val="0"/>
              <w:rPr>
                <w:rFonts w:hint="default"/>
              </w:rPr>
            </w:pPr>
            <w:r>
              <w:rPr>
                <w:rFonts w:hint="default"/>
              </w:rPr>
              <w:t>污染物名称</w:t>
            </w:r>
          </w:p>
        </w:tc>
        <w:tc>
          <w:tcPr>
            <w:tcW w:w="1604" w:type="dxa"/>
            <w:noWrap w:val="0"/>
            <w:tcMar>
              <w:left w:w="28" w:type="dxa"/>
              <w:right w:w="28" w:type="dxa"/>
            </w:tcMar>
            <w:vAlign w:val="center"/>
          </w:tcPr>
          <w:p>
            <w:pPr>
              <w:pStyle w:val="73"/>
              <w:bidi w:val="0"/>
              <w:rPr>
                <w:rFonts w:hint="default"/>
              </w:rPr>
            </w:pPr>
            <w:r>
              <w:rPr>
                <w:rFonts w:hint="default"/>
              </w:rPr>
              <w:t>现有工程</w:t>
            </w:r>
          </w:p>
          <w:p>
            <w:pPr>
              <w:pStyle w:val="73"/>
              <w:bidi w:val="0"/>
              <w:rPr>
                <w:rFonts w:hint="default"/>
              </w:rPr>
            </w:pPr>
            <w:r>
              <w:rPr>
                <w:rFonts w:hint="default"/>
              </w:rPr>
              <w:t>排放量（固体废物产生量）</w:t>
            </w:r>
            <w:r>
              <w:rPr>
                <w:rFonts w:hint="default"/>
              </w:rPr>
              <w:fldChar w:fldCharType="begin"/>
            </w:r>
            <w:r>
              <w:rPr>
                <w:rFonts w:hint="default"/>
              </w:rPr>
              <w:instrText xml:space="preserve">=1\*GB3\*MERGEFORMAT</w:instrText>
            </w:r>
            <w:r>
              <w:rPr>
                <w:rFonts w:hint="default"/>
              </w:rPr>
              <w:fldChar w:fldCharType="separate"/>
            </w:r>
            <w:r>
              <w:rPr>
                <w:rFonts w:hint="default"/>
              </w:rPr>
              <w:t>①</w:t>
            </w:r>
            <w:r>
              <w:rPr>
                <w:rFonts w:hint="default"/>
              </w:rPr>
              <w:fldChar w:fldCharType="end"/>
            </w:r>
          </w:p>
        </w:tc>
        <w:tc>
          <w:tcPr>
            <w:tcW w:w="1251" w:type="dxa"/>
            <w:noWrap w:val="0"/>
            <w:tcMar>
              <w:left w:w="28" w:type="dxa"/>
              <w:right w:w="28" w:type="dxa"/>
            </w:tcMar>
            <w:vAlign w:val="center"/>
          </w:tcPr>
          <w:p>
            <w:pPr>
              <w:pStyle w:val="73"/>
              <w:bidi w:val="0"/>
              <w:rPr>
                <w:rFonts w:hint="default"/>
              </w:rPr>
            </w:pPr>
            <w:r>
              <w:rPr>
                <w:rFonts w:hint="default"/>
              </w:rPr>
              <w:t>现有工程</w:t>
            </w:r>
          </w:p>
          <w:p>
            <w:pPr>
              <w:pStyle w:val="73"/>
              <w:bidi w:val="0"/>
              <w:rPr>
                <w:rFonts w:hint="default"/>
              </w:rPr>
            </w:pPr>
            <w:r>
              <w:rPr>
                <w:rFonts w:hint="default"/>
              </w:rPr>
              <w:t>许可排放量</w:t>
            </w:r>
          </w:p>
          <w:p>
            <w:pPr>
              <w:pStyle w:val="73"/>
              <w:bidi w:val="0"/>
              <w:rPr>
                <w:rFonts w:hint="default"/>
              </w:rPr>
            </w:pPr>
            <w:r>
              <w:rPr>
                <w:rFonts w:hint="default"/>
              </w:rPr>
              <w:fldChar w:fldCharType="begin"/>
            </w:r>
            <w:r>
              <w:rPr>
                <w:rFonts w:hint="default"/>
              </w:rPr>
              <w:instrText xml:space="preserve">=2\*GB3\*MERGEFORMAT</w:instrText>
            </w:r>
            <w:r>
              <w:rPr>
                <w:rFonts w:hint="default"/>
              </w:rPr>
              <w:fldChar w:fldCharType="separate"/>
            </w:r>
            <w:r>
              <w:rPr>
                <w:rFonts w:hint="default"/>
              </w:rPr>
              <w:t>②</w:t>
            </w:r>
            <w:r>
              <w:rPr>
                <w:rFonts w:hint="default"/>
              </w:rPr>
              <w:fldChar w:fldCharType="end"/>
            </w:r>
          </w:p>
        </w:tc>
        <w:tc>
          <w:tcPr>
            <w:tcW w:w="1670" w:type="dxa"/>
            <w:noWrap w:val="0"/>
            <w:tcMar>
              <w:left w:w="28" w:type="dxa"/>
              <w:right w:w="28" w:type="dxa"/>
            </w:tcMar>
            <w:vAlign w:val="center"/>
          </w:tcPr>
          <w:p>
            <w:pPr>
              <w:pStyle w:val="73"/>
              <w:bidi w:val="0"/>
              <w:rPr>
                <w:rFonts w:hint="default"/>
              </w:rPr>
            </w:pPr>
            <w:r>
              <w:rPr>
                <w:rFonts w:hint="default"/>
              </w:rPr>
              <w:t>在建工程</w:t>
            </w:r>
          </w:p>
          <w:p>
            <w:pPr>
              <w:pStyle w:val="73"/>
              <w:bidi w:val="0"/>
              <w:rPr>
                <w:rFonts w:hint="default"/>
              </w:rPr>
            </w:pPr>
            <w:r>
              <w:rPr>
                <w:rFonts w:hint="default"/>
              </w:rPr>
              <w:t>排放量（固体废物产生量）</w:t>
            </w:r>
            <w:r>
              <w:rPr>
                <w:rFonts w:hint="default"/>
              </w:rPr>
              <w:fldChar w:fldCharType="begin"/>
            </w:r>
            <w:r>
              <w:rPr>
                <w:rFonts w:hint="default"/>
              </w:rPr>
              <w:instrText xml:space="preserve">=3\*GB3\*MERGEFORMAT</w:instrText>
            </w:r>
            <w:r>
              <w:rPr>
                <w:rFonts w:hint="default"/>
              </w:rPr>
              <w:fldChar w:fldCharType="separate"/>
            </w:r>
            <w:r>
              <w:rPr>
                <w:rFonts w:hint="default"/>
              </w:rPr>
              <w:t>③</w:t>
            </w:r>
            <w:r>
              <w:rPr>
                <w:rFonts w:hint="default"/>
              </w:rPr>
              <w:fldChar w:fldCharType="end"/>
            </w:r>
          </w:p>
        </w:tc>
        <w:tc>
          <w:tcPr>
            <w:tcW w:w="1532" w:type="dxa"/>
            <w:noWrap w:val="0"/>
            <w:tcMar>
              <w:left w:w="28" w:type="dxa"/>
              <w:right w:w="28" w:type="dxa"/>
            </w:tcMar>
            <w:vAlign w:val="center"/>
          </w:tcPr>
          <w:p>
            <w:pPr>
              <w:pStyle w:val="73"/>
              <w:bidi w:val="0"/>
              <w:rPr>
                <w:rFonts w:hint="default"/>
              </w:rPr>
            </w:pPr>
            <w:r>
              <w:rPr>
                <w:rFonts w:hint="default"/>
              </w:rPr>
              <w:t>本项目</w:t>
            </w:r>
          </w:p>
          <w:p>
            <w:pPr>
              <w:pStyle w:val="73"/>
              <w:bidi w:val="0"/>
              <w:rPr>
                <w:rFonts w:hint="default"/>
              </w:rPr>
            </w:pPr>
            <w:r>
              <w:rPr>
                <w:rFonts w:hint="default"/>
              </w:rPr>
              <w:t>排放量（固体废物产生量）</w:t>
            </w:r>
            <w:r>
              <w:rPr>
                <w:rFonts w:hint="default"/>
              </w:rPr>
              <w:fldChar w:fldCharType="begin"/>
            </w:r>
            <w:r>
              <w:rPr>
                <w:rFonts w:hint="default"/>
              </w:rPr>
              <w:instrText xml:space="preserve">=4\*GB3\*MERGEFORMAT</w:instrText>
            </w:r>
            <w:r>
              <w:rPr>
                <w:rFonts w:hint="default"/>
              </w:rPr>
              <w:fldChar w:fldCharType="separate"/>
            </w:r>
            <w:r>
              <w:rPr>
                <w:rFonts w:hint="default"/>
              </w:rPr>
              <w:t>④</w:t>
            </w:r>
            <w:r>
              <w:rPr>
                <w:rFonts w:hint="default"/>
              </w:rPr>
              <w:fldChar w:fldCharType="end"/>
            </w:r>
          </w:p>
        </w:tc>
        <w:tc>
          <w:tcPr>
            <w:tcW w:w="1729" w:type="dxa"/>
            <w:noWrap w:val="0"/>
            <w:tcMar>
              <w:left w:w="28" w:type="dxa"/>
              <w:right w:w="28" w:type="dxa"/>
            </w:tcMar>
            <w:vAlign w:val="center"/>
          </w:tcPr>
          <w:p>
            <w:pPr>
              <w:pStyle w:val="73"/>
              <w:bidi w:val="0"/>
              <w:rPr>
                <w:rFonts w:hint="default"/>
              </w:rPr>
            </w:pPr>
            <w:r>
              <w:rPr>
                <w:rFonts w:hint="default"/>
              </w:rPr>
              <w:t>以新带老削减量</w:t>
            </w:r>
          </w:p>
          <w:p>
            <w:pPr>
              <w:pStyle w:val="73"/>
              <w:bidi w:val="0"/>
              <w:rPr>
                <w:rFonts w:hint="default"/>
              </w:rPr>
            </w:pPr>
            <w:r>
              <w:rPr>
                <w:rFonts w:hint="default"/>
              </w:rPr>
              <w:t>（新建项目不填）</w:t>
            </w:r>
            <w:r>
              <w:rPr>
                <w:rFonts w:hint="default"/>
              </w:rPr>
              <w:fldChar w:fldCharType="begin"/>
            </w:r>
            <w:r>
              <w:rPr>
                <w:rFonts w:hint="default"/>
              </w:rPr>
              <w:instrText xml:space="preserve">=5\*GB3\*MERGEFORMAT</w:instrText>
            </w:r>
            <w:r>
              <w:rPr>
                <w:rFonts w:hint="default"/>
              </w:rPr>
              <w:fldChar w:fldCharType="separate"/>
            </w:r>
            <w:r>
              <w:rPr>
                <w:rFonts w:hint="default"/>
              </w:rPr>
              <w:t>⑤</w:t>
            </w:r>
            <w:r>
              <w:rPr>
                <w:rFonts w:hint="default"/>
              </w:rPr>
              <w:fldChar w:fldCharType="end"/>
            </w:r>
          </w:p>
        </w:tc>
        <w:tc>
          <w:tcPr>
            <w:tcW w:w="1925" w:type="dxa"/>
            <w:noWrap w:val="0"/>
            <w:tcMar>
              <w:left w:w="28" w:type="dxa"/>
              <w:right w:w="28" w:type="dxa"/>
            </w:tcMar>
            <w:vAlign w:val="center"/>
          </w:tcPr>
          <w:p>
            <w:pPr>
              <w:pStyle w:val="73"/>
              <w:bidi w:val="0"/>
              <w:rPr>
                <w:rFonts w:hint="default"/>
              </w:rPr>
            </w:pPr>
            <w:r>
              <w:rPr>
                <w:rFonts w:hint="default"/>
              </w:rPr>
              <w:t>本项目建成后</w:t>
            </w:r>
          </w:p>
          <w:p>
            <w:pPr>
              <w:pStyle w:val="73"/>
              <w:bidi w:val="0"/>
              <w:rPr>
                <w:rFonts w:hint="default"/>
              </w:rPr>
            </w:pPr>
            <w:r>
              <w:rPr>
                <w:rFonts w:hint="default"/>
              </w:rPr>
              <w:t>全厂排放量（固体废物产生量）</w:t>
            </w:r>
            <w:r>
              <w:rPr>
                <w:rFonts w:hint="default"/>
              </w:rPr>
              <w:fldChar w:fldCharType="begin"/>
            </w:r>
            <w:r>
              <w:rPr>
                <w:rFonts w:hint="default"/>
              </w:rPr>
              <w:instrText xml:space="preserve">=6\*GB3\*MERGEFORMAT</w:instrText>
            </w:r>
            <w:r>
              <w:rPr>
                <w:rFonts w:hint="default"/>
              </w:rPr>
              <w:fldChar w:fldCharType="separate"/>
            </w:r>
            <w:r>
              <w:rPr>
                <w:rFonts w:hint="default"/>
              </w:rPr>
              <w:t>⑥</w:t>
            </w:r>
            <w:r>
              <w:rPr>
                <w:rFonts w:hint="default"/>
              </w:rPr>
              <w:fldChar w:fldCharType="end"/>
            </w:r>
          </w:p>
        </w:tc>
        <w:tc>
          <w:tcPr>
            <w:tcW w:w="809" w:type="dxa"/>
            <w:noWrap w:val="0"/>
            <w:tcMar>
              <w:left w:w="28" w:type="dxa"/>
              <w:right w:w="28" w:type="dxa"/>
            </w:tcMar>
            <w:vAlign w:val="center"/>
          </w:tcPr>
          <w:p>
            <w:pPr>
              <w:pStyle w:val="73"/>
              <w:bidi w:val="0"/>
              <w:rPr>
                <w:rFonts w:hint="default"/>
              </w:rPr>
            </w:pPr>
            <w:r>
              <w:rPr>
                <w:rFonts w:hint="default"/>
              </w:rPr>
              <w:t>变化量</w:t>
            </w:r>
          </w:p>
          <w:p>
            <w:pPr>
              <w:pStyle w:val="73"/>
              <w:bidi w:val="0"/>
              <w:rPr>
                <w:rFonts w:hint="default"/>
              </w:rPr>
            </w:pPr>
            <w:r>
              <w:rPr>
                <w:rFonts w:hint="default"/>
              </w:rPr>
              <w:fldChar w:fldCharType="begin"/>
            </w:r>
            <w:r>
              <w:rPr>
                <w:rFonts w:hint="default"/>
              </w:rPr>
              <w:instrText xml:space="preserve">=7\*GB3\*MERGEFORMAT</w:instrText>
            </w:r>
            <w:r>
              <w:rPr>
                <w:rFonts w:hint="default"/>
              </w:rPr>
              <w:fldChar w:fldCharType="separate"/>
            </w:r>
            <w:r>
              <w:rPr>
                <w:rFonts w:hint="default"/>
              </w:rPr>
              <w:t>⑦</w:t>
            </w:r>
            <w:r>
              <w:rPr>
                <w:rFonts w:hint="default"/>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54" w:type="dxa"/>
            <w:vMerge w:val="restart"/>
            <w:noWrap w:val="0"/>
            <w:vAlign w:val="center"/>
          </w:tcPr>
          <w:p>
            <w:pPr>
              <w:pStyle w:val="73"/>
              <w:bidi w:val="0"/>
              <w:rPr>
                <w:rFonts w:hint="default"/>
                <w:lang w:val="en-US" w:eastAsia="zh-CN"/>
              </w:rPr>
            </w:pPr>
            <w:r>
              <w:rPr>
                <w:rFonts w:hint="eastAsia"/>
                <w:lang w:val="en-US" w:eastAsia="zh-CN"/>
              </w:rPr>
              <w:t>废气</w:t>
            </w:r>
          </w:p>
        </w:tc>
        <w:tc>
          <w:tcPr>
            <w:tcW w:w="2262" w:type="dxa"/>
            <w:noWrap w:val="0"/>
            <w:vAlign w:val="center"/>
          </w:tcPr>
          <w:p>
            <w:pPr>
              <w:pStyle w:val="73"/>
              <w:bidi w:val="0"/>
              <w:rPr>
                <w:rFonts w:hint="default"/>
                <w:lang w:val="en-US" w:eastAsia="zh-CN"/>
              </w:rPr>
            </w:pPr>
            <w:r>
              <w:rPr>
                <w:rFonts w:hint="default"/>
                <w:lang w:val="en-US" w:eastAsia="zh-CN"/>
              </w:rPr>
              <w:t>H</w:t>
            </w:r>
            <w:r>
              <w:rPr>
                <w:rFonts w:hint="default"/>
                <w:vertAlign w:val="subscript"/>
                <w:lang w:val="en-US" w:eastAsia="zh-CN"/>
              </w:rPr>
              <w:t>2</w:t>
            </w:r>
            <w:r>
              <w:rPr>
                <w:rFonts w:hint="default"/>
                <w:lang w:val="en-US" w:eastAsia="zh-CN"/>
              </w:rPr>
              <w:t>S</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73"/>
              <w:bidi w:val="0"/>
              <w:rPr>
                <w:rFonts w:hint="default"/>
                <w:lang w:val="en-US" w:eastAsia="zh-CN"/>
              </w:rPr>
            </w:pPr>
            <w:r>
              <w:rPr>
                <w:rFonts w:hint="eastAsia"/>
                <w:lang w:val="en-US" w:eastAsia="zh-CN"/>
              </w:rPr>
              <w:t>2.46</w:t>
            </w:r>
            <w:r>
              <w:rPr>
                <w:rFonts w:hint="default"/>
                <w:lang w:val="en-US" w:eastAsia="zh-CN"/>
              </w:rPr>
              <w:t>×10</w:t>
            </w:r>
            <w:r>
              <w:rPr>
                <w:rFonts w:hint="default"/>
                <w:vertAlign w:val="superscript"/>
                <w:lang w:val="en-US" w:eastAsia="zh-CN"/>
              </w:rPr>
              <w:t>-</w:t>
            </w:r>
            <w:r>
              <w:rPr>
                <w:rFonts w:hint="eastAsia"/>
                <w:vertAlign w:val="superscript"/>
                <w:lang w:val="en-US" w:eastAsia="zh-CN"/>
              </w:rPr>
              <w:t>4</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73"/>
              <w:bidi w:val="0"/>
              <w:rPr>
                <w:rFonts w:hint="default"/>
                <w:lang w:val="en-US" w:eastAsia="zh-CN"/>
              </w:rPr>
            </w:pPr>
            <w:r>
              <w:rPr>
                <w:rFonts w:hint="eastAsia"/>
                <w:lang w:val="en-US" w:eastAsia="zh-CN"/>
              </w:rPr>
              <w:t>2.46</w:t>
            </w:r>
            <w:r>
              <w:rPr>
                <w:rFonts w:hint="default"/>
                <w:lang w:val="en-US" w:eastAsia="zh-CN"/>
              </w:rPr>
              <w:t>×10</w:t>
            </w:r>
            <w:r>
              <w:rPr>
                <w:rFonts w:hint="default"/>
                <w:vertAlign w:val="superscript"/>
                <w:lang w:val="en-US" w:eastAsia="zh-CN"/>
              </w:rPr>
              <w:t>-</w:t>
            </w:r>
            <w:r>
              <w:rPr>
                <w:rFonts w:hint="eastAsia"/>
                <w:vertAlign w:val="superscript"/>
                <w:lang w:val="en-US" w:eastAsia="zh-CN"/>
              </w:rPr>
              <w:t>4</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54" w:type="dxa"/>
            <w:vMerge w:val="continue"/>
            <w:noWrap w:val="0"/>
            <w:vAlign w:val="center"/>
          </w:tcPr>
          <w:p>
            <w:pPr>
              <w:pStyle w:val="73"/>
              <w:bidi w:val="0"/>
              <w:rPr>
                <w:rFonts w:hint="default"/>
              </w:rPr>
            </w:pPr>
          </w:p>
        </w:tc>
        <w:tc>
          <w:tcPr>
            <w:tcW w:w="2262" w:type="dxa"/>
            <w:noWrap w:val="0"/>
            <w:vAlign w:val="center"/>
          </w:tcPr>
          <w:p>
            <w:pPr>
              <w:pStyle w:val="73"/>
              <w:bidi w:val="0"/>
              <w:rPr>
                <w:rFonts w:hint="default"/>
                <w:lang w:val="en-US" w:eastAsia="zh-CN"/>
              </w:rPr>
            </w:pPr>
            <w:r>
              <w:rPr>
                <w:rFonts w:hint="default"/>
                <w:lang w:val="en-US" w:eastAsia="zh-CN"/>
              </w:rPr>
              <w:t>NH</w:t>
            </w:r>
            <w:r>
              <w:rPr>
                <w:rFonts w:hint="default"/>
                <w:vertAlign w:val="subscript"/>
                <w:lang w:val="en-US" w:eastAsia="zh-CN"/>
              </w:rPr>
              <w:t>3</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73"/>
              <w:bidi w:val="0"/>
              <w:rPr>
                <w:rFonts w:hint="default"/>
                <w:lang w:val="en-US" w:eastAsia="zh-CN"/>
              </w:rPr>
            </w:pPr>
            <w:r>
              <w:rPr>
                <w:rFonts w:hint="eastAsia"/>
                <w:lang w:val="en-US" w:eastAsia="zh-CN"/>
              </w:rPr>
              <w:t>4.</w:t>
            </w:r>
            <w:r>
              <w:rPr>
                <w:rFonts w:hint="default" w:ascii="Times New Roman" w:hAnsi="Times New Roman" w:cs="Times New Roman"/>
                <w:lang w:val="en-US" w:eastAsia="zh-CN"/>
              </w:rPr>
              <w:t>69×10</w:t>
            </w:r>
            <w:r>
              <w:rPr>
                <w:rFonts w:hint="default" w:ascii="Times New Roman" w:hAnsi="Times New Roman" w:cs="Times New Roman"/>
                <w:vertAlign w:val="superscript"/>
                <w:lang w:val="en-US" w:eastAsia="zh-CN"/>
              </w:rPr>
              <w:t>-</w:t>
            </w:r>
            <w:r>
              <w:rPr>
                <w:rFonts w:hint="eastAsia" w:ascii="Times New Roman" w:hAnsi="Times New Roman" w:cs="Times New Roman"/>
                <w:vertAlign w:val="superscript"/>
                <w:lang w:val="en-US" w:eastAsia="zh-CN"/>
              </w:rPr>
              <w:t>3</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73"/>
              <w:bidi w:val="0"/>
              <w:rPr>
                <w:rFonts w:hint="default"/>
                <w:lang w:val="en-US" w:eastAsia="zh-CN"/>
              </w:rPr>
            </w:pPr>
            <w:r>
              <w:rPr>
                <w:rFonts w:hint="eastAsia"/>
                <w:lang w:val="en-US" w:eastAsia="zh-CN"/>
              </w:rPr>
              <w:t>4.69×10</w:t>
            </w:r>
            <w:r>
              <w:rPr>
                <w:rFonts w:hint="eastAsia"/>
                <w:vertAlign w:val="superscript"/>
                <w:lang w:val="en-US" w:eastAsia="zh-CN"/>
              </w:rPr>
              <w:t>-3</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754" w:type="dxa"/>
            <w:vMerge w:val="restart"/>
            <w:noWrap w:val="0"/>
            <w:vAlign w:val="center"/>
          </w:tcPr>
          <w:p>
            <w:pPr>
              <w:pStyle w:val="73"/>
              <w:bidi w:val="0"/>
              <w:rPr>
                <w:rFonts w:hint="default"/>
              </w:rPr>
            </w:pPr>
            <w:r>
              <w:rPr>
                <w:rFonts w:hint="default"/>
              </w:rPr>
              <w:t>废水</w:t>
            </w:r>
          </w:p>
        </w:tc>
        <w:tc>
          <w:tcPr>
            <w:tcW w:w="2262" w:type="dxa"/>
            <w:noWrap w:val="0"/>
            <w:vAlign w:val="center"/>
          </w:tcPr>
          <w:p>
            <w:pPr>
              <w:pStyle w:val="73"/>
              <w:bidi w:val="0"/>
              <w:rPr>
                <w:rFonts w:hint="default"/>
                <w:lang w:val="en-US" w:eastAsia="zh-CN"/>
              </w:rPr>
            </w:pPr>
            <w:r>
              <w:rPr>
                <w:rFonts w:hint="default"/>
              </w:rPr>
              <w:t>COD</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73"/>
              <w:bidi w:val="0"/>
              <w:rPr>
                <w:rFonts w:hint="default"/>
                <w:lang w:val="en-US" w:eastAsia="zh-CN"/>
              </w:rPr>
            </w:pPr>
            <w:r>
              <w:rPr>
                <w:rFonts w:hint="eastAsia"/>
                <w:lang w:val="en-US" w:eastAsia="zh-CN"/>
              </w:rPr>
              <w:t>0.425</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73"/>
              <w:bidi w:val="0"/>
              <w:rPr>
                <w:rFonts w:hint="default"/>
              </w:rPr>
            </w:pPr>
            <w:r>
              <w:rPr>
                <w:rFonts w:hint="eastAsia"/>
                <w:lang w:val="en-US" w:eastAsia="zh-CN"/>
              </w:rPr>
              <w:t>0.425</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754" w:type="dxa"/>
            <w:vMerge w:val="continue"/>
            <w:noWrap w:val="0"/>
            <w:vAlign w:val="center"/>
          </w:tcPr>
          <w:p>
            <w:pPr>
              <w:pStyle w:val="73"/>
              <w:bidi w:val="0"/>
              <w:rPr>
                <w:rFonts w:hint="default"/>
              </w:rPr>
            </w:pPr>
          </w:p>
        </w:tc>
        <w:tc>
          <w:tcPr>
            <w:tcW w:w="2262" w:type="dxa"/>
            <w:noWrap w:val="0"/>
            <w:vAlign w:val="center"/>
          </w:tcPr>
          <w:p>
            <w:pPr>
              <w:pStyle w:val="73"/>
              <w:bidi w:val="0"/>
              <w:rPr>
                <w:rFonts w:hint="default"/>
                <w:lang w:val="en-US" w:eastAsia="zh-CN"/>
              </w:rPr>
            </w:pPr>
            <w:r>
              <w:rPr>
                <w:rFonts w:hint="default"/>
              </w:rPr>
              <w:t>BOD</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73"/>
              <w:bidi w:val="0"/>
              <w:rPr>
                <w:rFonts w:hint="default"/>
                <w:lang w:val="en-US" w:eastAsia="zh-CN"/>
              </w:rPr>
            </w:pPr>
            <w:r>
              <w:rPr>
                <w:rFonts w:hint="eastAsia"/>
                <w:lang w:val="en-US" w:eastAsia="zh-CN"/>
              </w:rPr>
              <w:t>0.144</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73"/>
              <w:bidi w:val="0"/>
              <w:rPr>
                <w:rFonts w:hint="default"/>
                <w:lang w:val="en-US" w:eastAsia="zh-CN"/>
              </w:rPr>
            </w:pPr>
            <w:r>
              <w:rPr>
                <w:rFonts w:hint="eastAsia"/>
                <w:lang w:val="en-US" w:eastAsia="zh-CN"/>
              </w:rPr>
              <w:t>0.144</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754" w:type="dxa"/>
            <w:vMerge w:val="continue"/>
            <w:noWrap w:val="0"/>
            <w:vAlign w:val="center"/>
          </w:tcPr>
          <w:p>
            <w:pPr>
              <w:pStyle w:val="73"/>
              <w:bidi w:val="0"/>
              <w:rPr>
                <w:rFonts w:hint="default"/>
              </w:rPr>
            </w:pPr>
          </w:p>
        </w:tc>
        <w:tc>
          <w:tcPr>
            <w:tcW w:w="2262" w:type="dxa"/>
            <w:noWrap w:val="0"/>
            <w:vAlign w:val="center"/>
          </w:tcPr>
          <w:p>
            <w:pPr>
              <w:pStyle w:val="73"/>
              <w:bidi w:val="0"/>
              <w:rPr>
                <w:rFonts w:hint="default"/>
                <w:lang w:val="en-US" w:eastAsia="zh-CN"/>
              </w:rPr>
            </w:pPr>
            <w:r>
              <w:rPr>
                <w:rFonts w:hint="default"/>
              </w:rPr>
              <w:t>SS</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73"/>
              <w:bidi w:val="0"/>
              <w:rPr>
                <w:rFonts w:hint="default"/>
                <w:lang w:val="en-US" w:eastAsia="zh-CN"/>
              </w:rPr>
            </w:pPr>
            <w:r>
              <w:rPr>
                <w:rFonts w:hint="eastAsia"/>
                <w:lang w:val="en-US" w:eastAsia="zh-CN"/>
              </w:rPr>
              <w:t>0.242</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73"/>
              <w:bidi w:val="0"/>
              <w:rPr>
                <w:rFonts w:hint="default"/>
                <w:lang w:val="en-US" w:eastAsia="zh-CN"/>
              </w:rPr>
            </w:pPr>
            <w:r>
              <w:rPr>
                <w:rFonts w:hint="eastAsia"/>
                <w:lang w:val="en-US" w:eastAsia="zh-CN"/>
              </w:rPr>
              <w:t>0.242</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54" w:type="dxa"/>
            <w:vMerge w:val="continue"/>
            <w:noWrap w:val="0"/>
            <w:vAlign w:val="center"/>
          </w:tcPr>
          <w:p>
            <w:pPr>
              <w:pStyle w:val="73"/>
              <w:bidi w:val="0"/>
              <w:rPr>
                <w:rFonts w:hint="default"/>
              </w:rPr>
            </w:pPr>
          </w:p>
        </w:tc>
        <w:tc>
          <w:tcPr>
            <w:tcW w:w="2262" w:type="dxa"/>
            <w:noWrap w:val="0"/>
            <w:vAlign w:val="center"/>
          </w:tcPr>
          <w:p>
            <w:pPr>
              <w:pStyle w:val="73"/>
              <w:bidi w:val="0"/>
              <w:rPr>
                <w:rFonts w:hint="default"/>
                <w:lang w:val="en-US" w:eastAsia="zh-CN"/>
              </w:rPr>
            </w:pPr>
            <w:r>
              <w:rPr>
                <w:rFonts w:hint="default"/>
              </w:rPr>
              <w:t>NH</w:t>
            </w:r>
            <w:r>
              <w:rPr>
                <w:rFonts w:hint="default"/>
                <w:vertAlign w:val="subscript"/>
              </w:rPr>
              <w:t>3</w:t>
            </w:r>
            <w:r>
              <w:rPr>
                <w:rFonts w:hint="default"/>
              </w:rPr>
              <w:t>-N</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73"/>
              <w:bidi w:val="0"/>
              <w:rPr>
                <w:rFonts w:hint="default"/>
                <w:lang w:val="en-US" w:eastAsia="zh-CN"/>
              </w:rPr>
            </w:pPr>
            <w:r>
              <w:rPr>
                <w:rFonts w:hint="eastAsia"/>
                <w:lang w:val="en-US" w:eastAsia="zh-CN"/>
              </w:rPr>
              <w:t>0.788</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73"/>
              <w:bidi w:val="0"/>
              <w:rPr>
                <w:rFonts w:hint="default"/>
                <w:lang w:val="en-US" w:eastAsia="zh-CN"/>
              </w:rPr>
            </w:pPr>
            <w:r>
              <w:rPr>
                <w:rFonts w:hint="eastAsia"/>
                <w:lang w:val="en-US" w:eastAsia="zh-CN"/>
              </w:rPr>
              <w:t>0.788</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754" w:type="dxa"/>
            <w:vMerge w:val="continue"/>
            <w:noWrap w:val="0"/>
            <w:vAlign w:val="center"/>
          </w:tcPr>
          <w:p>
            <w:pPr>
              <w:pStyle w:val="73"/>
              <w:bidi w:val="0"/>
              <w:rPr>
                <w:rFonts w:hint="default"/>
              </w:rPr>
            </w:pPr>
          </w:p>
        </w:tc>
        <w:tc>
          <w:tcPr>
            <w:tcW w:w="2262" w:type="dxa"/>
            <w:noWrap w:val="0"/>
            <w:vAlign w:val="center"/>
          </w:tcPr>
          <w:p>
            <w:pPr>
              <w:pStyle w:val="73"/>
              <w:bidi w:val="0"/>
              <w:rPr>
                <w:rFonts w:hint="default"/>
                <w:lang w:val="en-US" w:eastAsia="zh-CN"/>
              </w:rPr>
            </w:pPr>
            <w:r>
              <w:rPr>
                <w:rFonts w:hint="default"/>
              </w:rPr>
              <w:t>动植物油</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73"/>
              <w:bidi w:val="0"/>
              <w:rPr>
                <w:rFonts w:hint="default"/>
                <w:lang w:val="en-US" w:eastAsia="zh-CN"/>
              </w:rPr>
            </w:pPr>
            <w:r>
              <w:rPr>
                <w:rFonts w:hint="eastAsia"/>
                <w:lang w:val="en-US" w:eastAsia="zh-CN"/>
              </w:rPr>
              <w:t>0.065</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73"/>
              <w:bidi w:val="0"/>
              <w:rPr>
                <w:rFonts w:hint="default"/>
                <w:lang w:val="en-US" w:eastAsia="zh-CN"/>
              </w:rPr>
            </w:pPr>
            <w:r>
              <w:rPr>
                <w:rFonts w:hint="eastAsia"/>
                <w:lang w:val="en-US" w:eastAsia="zh-CN"/>
              </w:rPr>
              <w:t>0.065</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754" w:type="dxa"/>
            <w:vMerge w:val="restart"/>
            <w:noWrap w:val="0"/>
            <w:vAlign w:val="center"/>
          </w:tcPr>
          <w:p>
            <w:pPr>
              <w:pStyle w:val="73"/>
              <w:bidi w:val="0"/>
              <w:rPr>
                <w:rFonts w:hint="default"/>
              </w:rPr>
            </w:pPr>
            <w:r>
              <w:rPr>
                <w:rFonts w:hint="default"/>
              </w:rPr>
              <w:t>一般工业</w:t>
            </w:r>
          </w:p>
          <w:p>
            <w:pPr>
              <w:pStyle w:val="73"/>
              <w:bidi w:val="0"/>
              <w:rPr>
                <w:rFonts w:hint="default"/>
              </w:rPr>
            </w:pPr>
            <w:r>
              <w:rPr>
                <w:rFonts w:hint="default"/>
              </w:rPr>
              <w:t>固体废物</w:t>
            </w:r>
          </w:p>
        </w:tc>
        <w:tc>
          <w:tcPr>
            <w:tcW w:w="2262" w:type="dxa"/>
            <w:noWrap w:val="0"/>
            <w:vAlign w:val="center"/>
          </w:tcPr>
          <w:p>
            <w:pPr>
              <w:pStyle w:val="69"/>
              <w:bidi w:val="0"/>
              <w:rPr>
                <w:rFonts w:hint="default"/>
                <w:lang w:val="en-US" w:eastAsia="zh-CN"/>
              </w:rPr>
            </w:pPr>
            <w:r>
              <w:rPr>
                <w:rFonts w:hint="eastAsia"/>
                <w:lang w:val="en-US" w:eastAsia="zh-CN"/>
              </w:rPr>
              <w:t>牛羊</w:t>
            </w:r>
            <w:r>
              <w:rPr>
                <w:rFonts w:hint="default"/>
              </w:rPr>
              <w:t>粪便</w:t>
            </w:r>
            <w:r>
              <w:rPr>
                <w:rFonts w:hint="eastAsia"/>
                <w:lang w:val="en-US" w:eastAsia="zh-CN"/>
              </w:rPr>
              <w:t>及垫料</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69"/>
              <w:bidi w:val="0"/>
              <w:rPr>
                <w:rFonts w:hint="default"/>
                <w:lang w:val="en-US"/>
              </w:rPr>
            </w:pPr>
            <w:r>
              <w:rPr>
                <w:rFonts w:hint="eastAsia" w:cs="Times New Roman"/>
                <w:kern w:val="2"/>
                <w:sz w:val="21"/>
                <w:szCs w:val="21"/>
                <w:lang w:val="en-US" w:eastAsia="zh-CN" w:bidi="ar-SA"/>
              </w:rPr>
              <w:t>3.59</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69"/>
              <w:bidi w:val="0"/>
              <w:rPr>
                <w:rFonts w:hint="default"/>
                <w:lang w:val="en-US"/>
              </w:rPr>
            </w:pPr>
            <w:r>
              <w:rPr>
                <w:rFonts w:hint="eastAsia" w:cs="Times New Roman"/>
                <w:kern w:val="2"/>
                <w:sz w:val="21"/>
                <w:szCs w:val="21"/>
                <w:lang w:val="en-US" w:eastAsia="zh-CN" w:bidi="ar-SA"/>
              </w:rPr>
              <w:t>3.59</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54" w:type="dxa"/>
            <w:vMerge w:val="continue"/>
            <w:noWrap w:val="0"/>
            <w:vAlign w:val="center"/>
          </w:tcPr>
          <w:p>
            <w:pPr>
              <w:pStyle w:val="49"/>
              <w:keepNext w:val="0"/>
              <w:keepLines w:val="0"/>
              <w:pageBreakBefore w:val="0"/>
              <w:widowControl w:val="0"/>
              <w:kinsoku/>
              <w:wordWrap/>
              <w:overflowPunct/>
              <w:topLinePunct w:val="0"/>
              <w:autoSpaceDE/>
              <w:autoSpaceDN/>
              <w:bidi w:val="0"/>
              <w:spacing w:beforeLines="0" w:afterLines="0" w:line="240" w:lineRule="auto"/>
              <w:textAlignment w:val="auto"/>
              <w:rPr>
                <w:rFonts w:hint="default" w:ascii="Times New Roman" w:hAnsi="Times New Roman" w:cs="Times New Roman"/>
                <w:snapToGrid w:val="0"/>
                <w:color w:val="000000"/>
                <w:kern w:val="21"/>
                <w:szCs w:val="21"/>
              </w:rPr>
            </w:pPr>
          </w:p>
        </w:tc>
        <w:tc>
          <w:tcPr>
            <w:tcW w:w="2262" w:type="dxa"/>
            <w:noWrap w:val="0"/>
            <w:vAlign w:val="center"/>
          </w:tcPr>
          <w:p>
            <w:pPr>
              <w:pStyle w:val="69"/>
              <w:bidi w:val="0"/>
              <w:rPr>
                <w:rFonts w:hint="default"/>
                <w:lang w:val="en-US" w:eastAsia="zh-CN"/>
              </w:rPr>
            </w:pPr>
            <w:r>
              <w:rPr>
                <w:rFonts w:hint="eastAsia"/>
                <w:lang w:val="en-US" w:eastAsia="zh-CN"/>
              </w:rPr>
              <w:t>屠宰废物、肠胃内容物</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69"/>
              <w:bidi w:val="0"/>
              <w:rPr>
                <w:rFonts w:hint="default"/>
                <w:lang w:val="en-US" w:eastAsia="zh-CN"/>
              </w:rPr>
            </w:pPr>
            <w:r>
              <w:rPr>
                <w:rFonts w:hint="eastAsia"/>
                <w:lang w:val="en-US" w:eastAsia="zh-CN"/>
              </w:rPr>
              <w:t>170</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69"/>
              <w:bidi w:val="0"/>
              <w:rPr>
                <w:rFonts w:hint="default"/>
                <w:lang w:val="en-US" w:eastAsia="zh-CN"/>
              </w:rPr>
            </w:pPr>
            <w:r>
              <w:rPr>
                <w:rFonts w:hint="eastAsia"/>
                <w:lang w:val="en-US" w:eastAsia="zh-CN"/>
              </w:rPr>
              <w:t>170</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754" w:type="dxa"/>
            <w:vMerge w:val="continue"/>
            <w:noWrap w:val="0"/>
            <w:vAlign w:val="center"/>
          </w:tcPr>
          <w:p>
            <w:pPr>
              <w:pStyle w:val="49"/>
              <w:keepNext w:val="0"/>
              <w:keepLines w:val="0"/>
              <w:pageBreakBefore w:val="0"/>
              <w:widowControl w:val="0"/>
              <w:kinsoku/>
              <w:wordWrap/>
              <w:overflowPunct/>
              <w:topLinePunct w:val="0"/>
              <w:autoSpaceDE/>
              <w:autoSpaceDN/>
              <w:bidi w:val="0"/>
              <w:spacing w:beforeLines="0" w:afterLines="0" w:line="240" w:lineRule="auto"/>
              <w:textAlignment w:val="auto"/>
              <w:rPr>
                <w:rFonts w:hint="default" w:ascii="Times New Roman" w:hAnsi="Times New Roman" w:cs="Times New Roman"/>
                <w:snapToGrid w:val="0"/>
                <w:color w:val="000000"/>
                <w:kern w:val="21"/>
                <w:szCs w:val="21"/>
              </w:rPr>
            </w:pPr>
          </w:p>
        </w:tc>
        <w:tc>
          <w:tcPr>
            <w:tcW w:w="2262" w:type="dxa"/>
            <w:noWrap w:val="0"/>
            <w:vAlign w:val="center"/>
          </w:tcPr>
          <w:p>
            <w:pPr>
              <w:pStyle w:val="69"/>
              <w:bidi w:val="0"/>
              <w:rPr>
                <w:rFonts w:hint="default"/>
                <w:lang w:val="en-US" w:eastAsia="zh-CN"/>
              </w:rPr>
            </w:pPr>
            <w:r>
              <w:rPr>
                <w:rFonts w:hint="default"/>
                <w:lang w:val="en-US" w:eastAsia="zh-CN"/>
              </w:rPr>
              <w:t>污泥、栅渣</w:t>
            </w:r>
          </w:p>
        </w:tc>
        <w:tc>
          <w:tcPr>
            <w:tcW w:w="1604" w:type="dxa"/>
            <w:noWrap w:val="0"/>
            <w:vAlign w:val="center"/>
          </w:tcPr>
          <w:p>
            <w:pPr>
              <w:pStyle w:val="73"/>
              <w:bidi w:val="0"/>
              <w:rPr>
                <w:rFonts w:hint="eastAsia" w:eastAsia="宋体"/>
                <w:lang w:val="en-US" w:eastAsia="zh-CN"/>
              </w:rPr>
            </w:pPr>
            <w:r>
              <w:rPr>
                <w:rFonts w:hint="eastAsia"/>
                <w:lang w:val="en-US" w:eastAsia="zh-CN"/>
              </w:rPr>
              <w:t>/</w:t>
            </w:r>
          </w:p>
        </w:tc>
        <w:tc>
          <w:tcPr>
            <w:tcW w:w="1251" w:type="dxa"/>
            <w:noWrap w:val="0"/>
            <w:vAlign w:val="center"/>
          </w:tcPr>
          <w:p>
            <w:pPr>
              <w:pStyle w:val="73"/>
              <w:bidi w:val="0"/>
              <w:rPr>
                <w:rFonts w:hint="default"/>
              </w:rPr>
            </w:pPr>
            <w:r>
              <w:rPr>
                <w:rFonts w:hint="eastAsia"/>
                <w:lang w:val="en-US" w:eastAsia="zh-CN"/>
              </w:rPr>
              <w:t>/</w:t>
            </w:r>
          </w:p>
        </w:tc>
        <w:tc>
          <w:tcPr>
            <w:tcW w:w="1670" w:type="dxa"/>
            <w:noWrap w:val="0"/>
            <w:vAlign w:val="center"/>
          </w:tcPr>
          <w:p>
            <w:pPr>
              <w:pStyle w:val="73"/>
              <w:bidi w:val="0"/>
              <w:rPr>
                <w:rFonts w:hint="default"/>
              </w:rPr>
            </w:pPr>
            <w:r>
              <w:rPr>
                <w:rFonts w:hint="eastAsia"/>
                <w:lang w:val="en-US" w:eastAsia="zh-CN"/>
              </w:rPr>
              <w:t>/</w:t>
            </w:r>
          </w:p>
        </w:tc>
        <w:tc>
          <w:tcPr>
            <w:tcW w:w="1532" w:type="dxa"/>
            <w:noWrap w:val="0"/>
            <w:vAlign w:val="center"/>
          </w:tcPr>
          <w:p>
            <w:pPr>
              <w:pStyle w:val="69"/>
              <w:bidi w:val="0"/>
              <w:rPr>
                <w:rFonts w:hint="default"/>
                <w:lang w:val="en-US" w:eastAsia="zh-CN"/>
              </w:rPr>
            </w:pPr>
            <w:r>
              <w:rPr>
                <w:rFonts w:hint="eastAsia"/>
                <w:lang w:val="en-US" w:eastAsia="zh-CN"/>
              </w:rPr>
              <w:t>0.831</w:t>
            </w:r>
          </w:p>
        </w:tc>
        <w:tc>
          <w:tcPr>
            <w:tcW w:w="1729" w:type="dxa"/>
            <w:noWrap w:val="0"/>
            <w:vAlign w:val="center"/>
          </w:tcPr>
          <w:p>
            <w:pPr>
              <w:pStyle w:val="73"/>
              <w:bidi w:val="0"/>
              <w:rPr>
                <w:rFonts w:hint="default"/>
              </w:rPr>
            </w:pPr>
            <w:r>
              <w:rPr>
                <w:rFonts w:hint="eastAsia"/>
                <w:lang w:val="en-US" w:eastAsia="zh-CN"/>
              </w:rPr>
              <w:t>/</w:t>
            </w:r>
          </w:p>
        </w:tc>
        <w:tc>
          <w:tcPr>
            <w:tcW w:w="1925" w:type="dxa"/>
            <w:noWrap w:val="0"/>
            <w:vAlign w:val="center"/>
          </w:tcPr>
          <w:p>
            <w:pPr>
              <w:pStyle w:val="69"/>
              <w:bidi w:val="0"/>
              <w:rPr>
                <w:rFonts w:hint="default"/>
              </w:rPr>
            </w:pPr>
            <w:r>
              <w:rPr>
                <w:rFonts w:hint="eastAsia"/>
                <w:lang w:val="en-US" w:eastAsia="zh-CN"/>
              </w:rPr>
              <w:t>0.831</w:t>
            </w:r>
          </w:p>
        </w:tc>
        <w:tc>
          <w:tcPr>
            <w:tcW w:w="809" w:type="dxa"/>
            <w:noWrap w:val="0"/>
            <w:vAlign w:val="center"/>
          </w:tcPr>
          <w:p>
            <w:pPr>
              <w:pStyle w:val="73"/>
              <w:bidi w:val="0"/>
              <w:rPr>
                <w:rFonts w:hint="default" w:ascii="Times New Roman" w:hAnsi="Times New Roman" w:cs="Times New Roman"/>
                <w:snapToGrid w:val="0"/>
                <w:color w:val="000000"/>
                <w:kern w:val="21"/>
                <w:szCs w:val="21"/>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754" w:type="dxa"/>
            <w:vMerge w:val="continue"/>
            <w:noWrap w:val="0"/>
            <w:vAlign w:val="center"/>
          </w:tcPr>
          <w:p>
            <w:pPr>
              <w:pStyle w:val="49"/>
              <w:keepNext w:val="0"/>
              <w:keepLines w:val="0"/>
              <w:pageBreakBefore w:val="0"/>
              <w:widowControl w:val="0"/>
              <w:kinsoku/>
              <w:wordWrap/>
              <w:overflowPunct/>
              <w:topLinePunct w:val="0"/>
              <w:autoSpaceDE/>
              <w:autoSpaceDN/>
              <w:bidi w:val="0"/>
              <w:spacing w:beforeLines="0" w:afterLines="0" w:line="240" w:lineRule="auto"/>
              <w:textAlignment w:val="auto"/>
              <w:rPr>
                <w:rFonts w:hint="default" w:ascii="Times New Roman" w:hAnsi="Times New Roman" w:cs="Times New Roman"/>
                <w:snapToGrid w:val="0"/>
                <w:color w:val="000000"/>
                <w:kern w:val="21"/>
                <w:szCs w:val="21"/>
              </w:rPr>
            </w:pPr>
          </w:p>
        </w:tc>
        <w:tc>
          <w:tcPr>
            <w:tcW w:w="2262" w:type="dxa"/>
            <w:noWrap w:val="0"/>
            <w:vAlign w:val="center"/>
          </w:tcPr>
          <w:p>
            <w:pPr>
              <w:pStyle w:val="69"/>
              <w:bidi w:val="0"/>
              <w:rPr>
                <w:rFonts w:hint="eastAsia"/>
                <w:lang w:val="en-US" w:eastAsia="zh-CN"/>
              </w:rPr>
            </w:pPr>
            <w:r>
              <w:rPr>
                <w:rFonts w:hint="eastAsia"/>
                <w:lang w:val="en-US" w:eastAsia="zh-CN"/>
              </w:rPr>
              <w:t>病死牛羊</w:t>
            </w:r>
          </w:p>
        </w:tc>
        <w:tc>
          <w:tcPr>
            <w:tcW w:w="1604" w:type="dxa"/>
            <w:noWrap w:val="0"/>
            <w:vAlign w:val="center"/>
          </w:tcPr>
          <w:p>
            <w:pPr>
              <w:pStyle w:val="73"/>
              <w:bidi w:val="0"/>
              <w:rPr>
                <w:rFonts w:hint="default"/>
                <w:lang w:val="en-US" w:eastAsia="zh-CN"/>
              </w:rPr>
            </w:pPr>
            <w:r>
              <w:rPr>
                <w:rFonts w:hint="eastAsia"/>
                <w:lang w:val="en-US" w:eastAsia="zh-CN"/>
              </w:rPr>
              <w:t>/</w:t>
            </w:r>
          </w:p>
        </w:tc>
        <w:tc>
          <w:tcPr>
            <w:tcW w:w="1251" w:type="dxa"/>
            <w:noWrap w:val="0"/>
            <w:vAlign w:val="center"/>
          </w:tcPr>
          <w:p>
            <w:pPr>
              <w:pStyle w:val="73"/>
              <w:bidi w:val="0"/>
              <w:rPr>
                <w:rFonts w:hint="default"/>
                <w:lang w:val="en-US" w:eastAsia="zh-CN"/>
              </w:rPr>
            </w:pPr>
            <w:r>
              <w:rPr>
                <w:rFonts w:hint="eastAsia"/>
                <w:lang w:val="en-US" w:eastAsia="zh-CN"/>
              </w:rPr>
              <w:t>/</w:t>
            </w:r>
          </w:p>
        </w:tc>
        <w:tc>
          <w:tcPr>
            <w:tcW w:w="1670" w:type="dxa"/>
            <w:noWrap w:val="0"/>
            <w:vAlign w:val="center"/>
          </w:tcPr>
          <w:p>
            <w:pPr>
              <w:pStyle w:val="73"/>
              <w:bidi w:val="0"/>
              <w:rPr>
                <w:rFonts w:hint="default"/>
                <w:lang w:val="en-US" w:eastAsia="zh-CN"/>
              </w:rPr>
            </w:pPr>
            <w:r>
              <w:rPr>
                <w:rFonts w:hint="eastAsia"/>
                <w:lang w:val="en-US" w:eastAsia="zh-CN"/>
              </w:rPr>
              <w:t>/</w:t>
            </w:r>
          </w:p>
        </w:tc>
        <w:tc>
          <w:tcPr>
            <w:tcW w:w="1532" w:type="dxa"/>
            <w:noWrap w:val="0"/>
            <w:vAlign w:val="center"/>
          </w:tcPr>
          <w:p>
            <w:pPr>
              <w:pStyle w:val="69"/>
              <w:bidi w:val="0"/>
              <w:rPr>
                <w:rFonts w:hint="default"/>
                <w:lang w:val="en-US" w:eastAsia="zh-CN"/>
              </w:rPr>
            </w:pPr>
            <w:r>
              <w:rPr>
                <w:rFonts w:hint="default"/>
                <w:lang w:val="en-US" w:eastAsia="zh-CN"/>
              </w:rPr>
              <w:t>0.1</w:t>
            </w:r>
          </w:p>
        </w:tc>
        <w:tc>
          <w:tcPr>
            <w:tcW w:w="1729" w:type="dxa"/>
            <w:noWrap w:val="0"/>
            <w:vAlign w:val="center"/>
          </w:tcPr>
          <w:p>
            <w:pPr>
              <w:pStyle w:val="73"/>
              <w:bidi w:val="0"/>
              <w:rPr>
                <w:rFonts w:hint="default"/>
                <w:lang w:val="en-US" w:eastAsia="zh-CN"/>
              </w:rPr>
            </w:pPr>
            <w:r>
              <w:rPr>
                <w:rFonts w:hint="eastAsia"/>
                <w:lang w:val="en-US" w:eastAsia="zh-CN"/>
              </w:rPr>
              <w:t>/</w:t>
            </w:r>
          </w:p>
        </w:tc>
        <w:tc>
          <w:tcPr>
            <w:tcW w:w="1925" w:type="dxa"/>
            <w:noWrap w:val="0"/>
            <w:vAlign w:val="center"/>
          </w:tcPr>
          <w:p>
            <w:pPr>
              <w:pStyle w:val="69"/>
              <w:bidi w:val="0"/>
              <w:rPr>
                <w:rFonts w:hint="default"/>
                <w:lang w:val="en-US" w:eastAsia="zh-CN"/>
              </w:rPr>
            </w:pPr>
            <w:r>
              <w:rPr>
                <w:rFonts w:hint="default"/>
                <w:lang w:val="en-US" w:eastAsia="zh-CN"/>
              </w:rPr>
              <w:t>0.1</w:t>
            </w:r>
          </w:p>
        </w:tc>
        <w:tc>
          <w:tcPr>
            <w:tcW w:w="809" w:type="dxa"/>
            <w:noWrap w:val="0"/>
            <w:vAlign w:val="center"/>
          </w:tcPr>
          <w:p>
            <w:pPr>
              <w:pStyle w:val="73"/>
              <w:bidi w:val="0"/>
              <w:rPr>
                <w:rFonts w:hint="default"/>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754" w:type="dxa"/>
            <w:vMerge w:val="continue"/>
            <w:noWrap w:val="0"/>
            <w:vAlign w:val="center"/>
          </w:tcPr>
          <w:p>
            <w:pPr>
              <w:pStyle w:val="49"/>
              <w:keepNext w:val="0"/>
              <w:keepLines w:val="0"/>
              <w:pageBreakBefore w:val="0"/>
              <w:widowControl w:val="0"/>
              <w:kinsoku/>
              <w:wordWrap/>
              <w:overflowPunct/>
              <w:topLinePunct w:val="0"/>
              <w:autoSpaceDE/>
              <w:autoSpaceDN/>
              <w:bidi w:val="0"/>
              <w:spacing w:beforeLines="0" w:afterLines="0" w:line="240" w:lineRule="auto"/>
              <w:textAlignment w:val="auto"/>
              <w:rPr>
                <w:rFonts w:hint="default" w:ascii="Times New Roman" w:hAnsi="Times New Roman" w:cs="Times New Roman"/>
                <w:snapToGrid w:val="0"/>
                <w:color w:val="000000"/>
                <w:kern w:val="21"/>
                <w:szCs w:val="21"/>
              </w:rPr>
            </w:pPr>
          </w:p>
        </w:tc>
        <w:tc>
          <w:tcPr>
            <w:tcW w:w="2262" w:type="dxa"/>
            <w:noWrap w:val="0"/>
            <w:vAlign w:val="center"/>
          </w:tcPr>
          <w:p>
            <w:pPr>
              <w:pStyle w:val="69"/>
              <w:bidi w:val="0"/>
              <w:rPr>
                <w:rFonts w:hint="eastAsia"/>
                <w:lang w:val="en-US" w:eastAsia="zh-CN"/>
              </w:rPr>
            </w:pPr>
            <w:r>
              <w:rPr>
                <w:rFonts w:hint="default"/>
                <w:lang w:val="en-US" w:eastAsia="zh-CN"/>
              </w:rPr>
              <w:t>检疫残肉</w:t>
            </w:r>
          </w:p>
        </w:tc>
        <w:tc>
          <w:tcPr>
            <w:tcW w:w="1604" w:type="dxa"/>
            <w:noWrap w:val="0"/>
            <w:vAlign w:val="center"/>
          </w:tcPr>
          <w:p>
            <w:pPr>
              <w:pStyle w:val="73"/>
              <w:bidi w:val="0"/>
              <w:rPr>
                <w:rFonts w:hint="eastAsia"/>
                <w:lang w:val="en-US" w:eastAsia="zh-CN"/>
              </w:rPr>
            </w:pPr>
          </w:p>
        </w:tc>
        <w:tc>
          <w:tcPr>
            <w:tcW w:w="1251" w:type="dxa"/>
            <w:noWrap w:val="0"/>
            <w:vAlign w:val="center"/>
          </w:tcPr>
          <w:p>
            <w:pPr>
              <w:pStyle w:val="73"/>
              <w:bidi w:val="0"/>
              <w:rPr>
                <w:rFonts w:hint="eastAsia"/>
                <w:lang w:val="en-US" w:eastAsia="zh-CN"/>
              </w:rPr>
            </w:pPr>
          </w:p>
        </w:tc>
        <w:tc>
          <w:tcPr>
            <w:tcW w:w="1670" w:type="dxa"/>
            <w:noWrap w:val="0"/>
            <w:vAlign w:val="center"/>
          </w:tcPr>
          <w:p>
            <w:pPr>
              <w:pStyle w:val="73"/>
              <w:bidi w:val="0"/>
              <w:rPr>
                <w:rFonts w:hint="eastAsia"/>
                <w:lang w:val="en-US" w:eastAsia="zh-CN"/>
              </w:rPr>
            </w:pPr>
          </w:p>
        </w:tc>
        <w:tc>
          <w:tcPr>
            <w:tcW w:w="1532" w:type="dxa"/>
            <w:noWrap w:val="0"/>
            <w:vAlign w:val="center"/>
          </w:tcPr>
          <w:p>
            <w:pPr>
              <w:pStyle w:val="69"/>
              <w:bidi w:val="0"/>
              <w:rPr>
                <w:rFonts w:hint="eastAsia"/>
                <w:lang w:val="en-US" w:eastAsia="zh-CN"/>
              </w:rPr>
            </w:pPr>
            <w:r>
              <w:rPr>
                <w:rFonts w:hint="eastAsia"/>
                <w:lang w:val="en-US" w:eastAsia="zh-CN"/>
              </w:rPr>
              <w:t>0.099</w:t>
            </w:r>
          </w:p>
        </w:tc>
        <w:tc>
          <w:tcPr>
            <w:tcW w:w="1729" w:type="dxa"/>
            <w:noWrap w:val="0"/>
            <w:vAlign w:val="center"/>
          </w:tcPr>
          <w:p>
            <w:pPr>
              <w:pStyle w:val="73"/>
              <w:bidi w:val="0"/>
              <w:rPr>
                <w:rFonts w:hint="eastAsia"/>
                <w:lang w:val="en-US" w:eastAsia="zh-CN"/>
              </w:rPr>
            </w:pPr>
          </w:p>
        </w:tc>
        <w:tc>
          <w:tcPr>
            <w:tcW w:w="1925" w:type="dxa"/>
            <w:noWrap w:val="0"/>
            <w:vAlign w:val="center"/>
          </w:tcPr>
          <w:p>
            <w:pPr>
              <w:pStyle w:val="69"/>
              <w:bidi w:val="0"/>
              <w:rPr>
                <w:rFonts w:hint="eastAsia"/>
                <w:lang w:val="en-US" w:eastAsia="zh-CN"/>
              </w:rPr>
            </w:pPr>
            <w:r>
              <w:rPr>
                <w:rFonts w:hint="eastAsia"/>
                <w:lang w:val="en-US" w:eastAsia="zh-CN"/>
              </w:rPr>
              <w:t>0.099</w:t>
            </w:r>
          </w:p>
        </w:tc>
        <w:tc>
          <w:tcPr>
            <w:tcW w:w="809" w:type="dxa"/>
            <w:noWrap w:val="0"/>
            <w:vAlign w:val="center"/>
          </w:tcPr>
          <w:p>
            <w:pPr>
              <w:pStyle w:val="73"/>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754" w:type="dxa"/>
            <w:vMerge w:val="continue"/>
            <w:noWrap w:val="0"/>
            <w:vAlign w:val="center"/>
          </w:tcPr>
          <w:p>
            <w:pPr>
              <w:pStyle w:val="49"/>
              <w:keepNext w:val="0"/>
              <w:keepLines w:val="0"/>
              <w:pageBreakBefore w:val="0"/>
              <w:widowControl w:val="0"/>
              <w:kinsoku/>
              <w:wordWrap/>
              <w:overflowPunct/>
              <w:topLinePunct w:val="0"/>
              <w:autoSpaceDE/>
              <w:autoSpaceDN/>
              <w:bidi w:val="0"/>
              <w:spacing w:beforeLines="0" w:afterLines="0" w:line="240" w:lineRule="auto"/>
              <w:textAlignment w:val="auto"/>
              <w:rPr>
                <w:rFonts w:hint="default" w:ascii="Times New Roman" w:hAnsi="Times New Roman" w:cs="Times New Roman"/>
                <w:snapToGrid w:val="0"/>
                <w:color w:val="000000"/>
                <w:kern w:val="21"/>
                <w:szCs w:val="21"/>
              </w:rPr>
            </w:pPr>
          </w:p>
        </w:tc>
        <w:tc>
          <w:tcPr>
            <w:tcW w:w="2262" w:type="dxa"/>
            <w:noWrap w:val="0"/>
            <w:vAlign w:val="center"/>
          </w:tcPr>
          <w:p>
            <w:pPr>
              <w:pStyle w:val="69"/>
              <w:bidi w:val="0"/>
              <w:rPr>
                <w:rFonts w:hint="eastAsia"/>
                <w:lang w:val="en-US" w:eastAsia="zh-CN"/>
              </w:rPr>
            </w:pPr>
            <w:r>
              <w:rPr>
                <w:rFonts w:hint="eastAsia"/>
                <w:lang w:val="en-US" w:eastAsia="zh-CN"/>
              </w:rPr>
              <w:t>不可食用内脏</w:t>
            </w:r>
          </w:p>
        </w:tc>
        <w:tc>
          <w:tcPr>
            <w:tcW w:w="1604" w:type="dxa"/>
            <w:noWrap w:val="0"/>
            <w:vAlign w:val="center"/>
          </w:tcPr>
          <w:p>
            <w:pPr>
              <w:pStyle w:val="73"/>
              <w:bidi w:val="0"/>
              <w:rPr>
                <w:rFonts w:hint="eastAsia"/>
                <w:lang w:val="en-US" w:eastAsia="zh-CN"/>
              </w:rPr>
            </w:pPr>
          </w:p>
        </w:tc>
        <w:tc>
          <w:tcPr>
            <w:tcW w:w="1251" w:type="dxa"/>
            <w:noWrap w:val="0"/>
            <w:vAlign w:val="center"/>
          </w:tcPr>
          <w:p>
            <w:pPr>
              <w:pStyle w:val="73"/>
              <w:bidi w:val="0"/>
              <w:rPr>
                <w:rFonts w:hint="eastAsia"/>
                <w:lang w:val="en-US" w:eastAsia="zh-CN"/>
              </w:rPr>
            </w:pPr>
          </w:p>
        </w:tc>
        <w:tc>
          <w:tcPr>
            <w:tcW w:w="1670" w:type="dxa"/>
            <w:noWrap w:val="0"/>
            <w:vAlign w:val="center"/>
          </w:tcPr>
          <w:p>
            <w:pPr>
              <w:pStyle w:val="73"/>
              <w:bidi w:val="0"/>
              <w:rPr>
                <w:rFonts w:hint="eastAsia"/>
                <w:lang w:val="en-US" w:eastAsia="zh-CN"/>
              </w:rPr>
            </w:pPr>
          </w:p>
        </w:tc>
        <w:tc>
          <w:tcPr>
            <w:tcW w:w="1532" w:type="dxa"/>
            <w:noWrap w:val="0"/>
            <w:vAlign w:val="center"/>
          </w:tcPr>
          <w:p>
            <w:pPr>
              <w:pStyle w:val="69"/>
              <w:bidi w:val="0"/>
              <w:rPr>
                <w:rFonts w:hint="eastAsia"/>
                <w:lang w:val="en-US" w:eastAsia="zh-CN"/>
              </w:rPr>
            </w:pPr>
            <w:r>
              <w:rPr>
                <w:rFonts w:hint="eastAsia"/>
                <w:lang w:val="en-US" w:eastAsia="zh-CN"/>
              </w:rPr>
              <w:t>25</w:t>
            </w:r>
          </w:p>
        </w:tc>
        <w:tc>
          <w:tcPr>
            <w:tcW w:w="1729" w:type="dxa"/>
            <w:noWrap w:val="0"/>
            <w:vAlign w:val="center"/>
          </w:tcPr>
          <w:p>
            <w:pPr>
              <w:pStyle w:val="73"/>
              <w:bidi w:val="0"/>
              <w:rPr>
                <w:rFonts w:hint="eastAsia"/>
                <w:lang w:val="en-US" w:eastAsia="zh-CN"/>
              </w:rPr>
            </w:pPr>
          </w:p>
        </w:tc>
        <w:tc>
          <w:tcPr>
            <w:tcW w:w="1925" w:type="dxa"/>
            <w:noWrap w:val="0"/>
            <w:vAlign w:val="center"/>
          </w:tcPr>
          <w:p>
            <w:pPr>
              <w:pStyle w:val="69"/>
              <w:bidi w:val="0"/>
              <w:rPr>
                <w:rFonts w:hint="eastAsia"/>
                <w:lang w:val="en-US" w:eastAsia="zh-CN"/>
              </w:rPr>
            </w:pPr>
            <w:r>
              <w:rPr>
                <w:rFonts w:hint="eastAsia"/>
                <w:lang w:val="en-US" w:eastAsia="zh-CN"/>
              </w:rPr>
              <w:t>25</w:t>
            </w:r>
          </w:p>
        </w:tc>
        <w:tc>
          <w:tcPr>
            <w:tcW w:w="809" w:type="dxa"/>
            <w:noWrap w:val="0"/>
            <w:vAlign w:val="center"/>
          </w:tcPr>
          <w:p>
            <w:pPr>
              <w:pStyle w:val="73"/>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754" w:type="dxa"/>
            <w:vMerge w:val="continue"/>
            <w:noWrap w:val="0"/>
            <w:vAlign w:val="center"/>
          </w:tcPr>
          <w:p>
            <w:pPr>
              <w:pStyle w:val="49"/>
              <w:keepNext w:val="0"/>
              <w:keepLines w:val="0"/>
              <w:pageBreakBefore w:val="0"/>
              <w:widowControl w:val="0"/>
              <w:kinsoku/>
              <w:wordWrap/>
              <w:overflowPunct/>
              <w:topLinePunct w:val="0"/>
              <w:autoSpaceDE/>
              <w:autoSpaceDN/>
              <w:bidi w:val="0"/>
              <w:spacing w:beforeLines="0" w:afterLines="0" w:line="240" w:lineRule="auto"/>
              <w:textAlignment w:val="auto"/>
              <w:rPr>
                <w:rFonts w:hint="default" w:ascii="Times New Roman" w:hAnsi="Times New Roman" w:cs="Times New Roman"/>
                <w:snapToGrid w:val="0"/>
                <w:color w:val="000000"/>
                <w:kern w:val="21"/>
                <w:szCs w:val="21"/>
              </w:rPr>
            </w:pPr>
          </w:p>
        </w:tc>
        <w:tc>
          <w:tcPr>
            <w:tcW w:w="2262" w:type="dxa"/>
            <w:noWrap w:val="0"/>
            <w:vAlign w:val="center"/>
          </w:tcPr>
          <w:p>
            <w:pPr>
              <w:pStyle w:val="73"/>
              <w:bidi w:val="0"/>
              <w:rPr>
                <w:rFonts w:hint="eastAsia"/>
                <w:lang w:val="en-US" w:eastAsia="zh-CN"/>
              </w:rPr>
            </w:pPr>
            <w:r>
              <w:rPr>
                <w:rFonts w:hint="eastAsia"/>
                <w:lang w:val="en-US" w:eastAsia="zh-CN"/>
              </w:rPr>
              <w:t>废弃卫生检疫用品</w:t>
            </w:r>
          </w:p>
        </w:tc>
        <w:tc>
          <w:tcPr>
            <w:tcW w:w="1604" w:type="dxa"/>
            <w:noWrap w:val="0"/>
            <w:vAlign w:val="center"/>
          </w:tcPr>
          <w:p>
            <w:pPr>
              <w:pStyle w:val="73"/>
              <w:bidi w:val="0"/>
              <w:rPr>
                <w:rFonts w:hint="eastAsia"/>
                <w:lang w:val="en-US" w:eastAsia="zh-CN"/>
              </w:rPr>
            </w:pPr>
            <w:r>
              <w:rPr>
                <w:rFonts w:hint="eastAsia"/>
                <w:lang w:val="en-US" w:eastAsia="zh-CN"/>
              </w:rPr>
              <w:t>/</w:t>
            </w:r>
          </w:p>
        </w:tc>
        <w:tc>
          <w:tcPr>
            <w:tcW w:w="1251" w:type="dxa"/>
            <w:noWrap w:val="0"/>
            <w:vAlign w:val="center"/>
          </w:tcPr>
          <w:p>
            <w:pPr>
              <w:pStyle w:val="73"/>
              <w:bidi w:val="0"/>
              <w:rPr>
                <w:rFonts w:hint="eastAsia"/>
                <w:lang w:val="en-US" w:eastAsia="zh-CN"/>
              </w:rPr>
            </w:pPr>
            <w:r>
              <w:rPr>
                <w:rFonts w:hint="eastAsia"/>
                <w:lang w:val="en-US" w:eastAsia="zh-CN"/>
              </w:rPr>
              <w:t>/</w:t>
            </w:r>
          </w:p>
        </w:tc>
        <w:tc>
          <w:tcPr>
            <w:tcW w:w="1670" w:type="dxa"/>
            <w:noWrap w:val="0"/>
            <w:vAlign w:val="center"/>
          </w:tcPr>
          <w:p>
            <w:pPr>
              <w:pStyle w:val="73"/>
              <w:bidi w:val="0"/>
              <w:rPr>
                <w:rFonts w:hint="eastAsia"/>
                <w:lang w:val="en-US" w:eastAsia="zh-CN"/>
              </w:rPr>
            </w:pPr>
            <w:r>
              <w:rPr>
                <w:rFonts w:hint="eastAsia"/>
                <w:lang w:val="en-US" w:eastAsia="zh-CN"/>
              </w:rPr>
              <w:t>/</w:t>
            </w:r>
          </w:p>
        </w:tc>
        <w:tc>
          <w:tcPr>
            <w:tcW w:w="1532" w:type="dxa"/>
            <w:noWrap w:val="0"/>
            <w:vAlign w:val="center"/>
          </w:tcPr>
          <w:p>
            <w:pPr>
              <w:pStyle w:val="73"/>
              <w:bidi w:val="0"/>
              <w:rPr>
                <w:rFonts w:hint="eastAsia"/>
                <w:lang w:val="en-US" w:eastAsia="zh-CN"/>
              </w:rPr>
            </w:pPr>
            <w:r>
              <w:rPr>
                <w:rFonts w:hint="eastAsia"/>
                <w:lang w:val="en-US" w:eastAsia="zh-CN"/>
              </w:rPr>
              <w:t>0.1</w:t>
            </w:r>
          </w:p>
        </w:tc>
        <w:tc>
          <w:tcPr>
            <w:tcW w:w="1729" w:type="dxa"/>
            <w:noWrap w:val="0"/>
            <w:vAlign w:val="center"/>
          </w:tcPr>
          <w:p>
            <w:pPr>
              <w:pStyle w:val="73"/>
              <w:bidi w:val="0"/>
              <w:rPr>
                <w:rFonts w:hint="eastAsia"/>
                <w:lang w:val="en-US" w:eastAsia="zh-CN"/>
              </w:rPr>
            </w:pPr>
            <w:r>
              <w:rPr>
                <w:rFonts w:hint="eastAsia"/>
                <w:lang w:val="en-US" w:eastAsia="zh-CN"/>
              </w:rPr>
              <w:t>/</w:t>
            </w:r>
          </w:p>
        </w:tc>
        <w:tc>
          <w:tcPr>
            <w:tcW w:w="1925" w:type="dxa"/>
            <w:noWrap w:val="0"/>
            <w:vAlign w:val="center"/>
          </w:tcPr>
          <w:p>
            <w:pPr>
              <w:pStyle w:val="73"/>
              <w:bidi w:val="0"/>
              <w:rPr>
                <w:rFonts w:hint="eastAsia"/>
                <w:lang w:val="en-US" w:eastAsia="zh-CN"/>
              </w:rPr>
            </w:pPr>
            <w:r>
              <w:rPr>
                <w:rFonts w:hint="eastAsia"/>
                <w:lang w:val="en-US" w:eastAsia="zh-CN"/>
              </w:rPr>
              <w:t>0.1</w:t>
            </w:r>
          </w:p>
        </w:tc>
        <w:tc>
          <w:tcPr>
            <w:tcW w:w="809" w:type="dxa"/>
            <w:noWrap w:val="0"/>
            <w:vAlign w:val="center"/>
          </w:tcPr>
          <w:p>
            <w:pPr>
              <w:pStyle w:val="73"/>
              <w:bidi w:val="0"/>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754" w:type="dxa"/>
            <w:noWrap w:val="0"/>
            <w:vAlign w:val="center"/>
          </w:tcPr>
          <w:p>
            <w:pPr>
              <w:pStyle w:val="49"/>
              <w:keepNext w:val="0"/>
              <w:keepLines w:val="0"/>
              <w:pageBreakBefore w:val="0"/>
              <w:widowControl w:val="0"/>
              <w:kinsoku/>
              <w:wordWrap/>
              <w:overflowPunct/>
              <w:topLinePunct w:val="0"/>
              <w:autoSpaceDE/>
              <w:autoSpaceDN/>
              <w:bidi w:val="0"/>
              <w:spacing w:beforeLines="0" w:afterLines="0" w:line="240" w:lineRule="auto"/>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b w:val="0"/>
                <w:kern w:val="2"/>
                <w:sz w:val="21"/>
                <w:szCs w:val="21"/>
                <w:lang w:val="en-US" w:eastAsia="zh-CN" w:bidi="ar-SA"/>
              </w:rPr>
              <w:t>危险废物</w:t>
            </w:r>
          </w:p>
        </w:tc>
        <w:tc>
          <w:tcPr>
            <w:tcW w:w="2262" w:type="dxa"/>
            <w:noWrap w:val="0"/>
            <w:vAlign w:val="center"/>
          </w:tcPr>
          <w:p>
            <w:pPr>
              <w:pStyle w:val="73"/>
              <w:bidi w:val="0"/>
              <w:rPr>
                <w:rFonts w:hint="eastAsia"/>
                <w:lang w:val="en-US" w:eastAsia="zh-CN"/>
              </w:rPr>
            </w:pPr>
            <w:r>
              <w:rPr>
                <w:rFonts w:hint="default"/>
                <w:lang w:val="en-US" w:eastAsia="zh-CN"/>
              </w:rPr>
              <w:t>废润滑油及废润滑油桶</w:t>
            </w:r>
          </w:p>
        </w:tc>
        <w:tc>
          <w:tcPr>
            <w:tcW w:w="1604" w:type="dxa"/>
            <w:noWrap w:val="0"/>
            <w:vAlign w:val="center"/>
          </w:tcPr>
          <w:p>
            <w:pPr>
              <w:pStyle w:val="73"/>
              <w:bidi w:val="0"/>
              <w:rPr>
                <w:rFonts w:hint="default"/>
                <w:lang w:val="en-US" w:eastAsia="zh-CN"/>
              </w:rPr>
            </w:pPr>
            <w:r>
              <w:rPr>
                <w:rFonts w:hint="eastAsia"/>
                <w:lang w:val="en-US" w:eastAsia="zh-CN"/>
              </w:rPr>
              <w:t>/</w:t>
            </w:r>
          </w:p>
        </w:tc>
        <w:tc>
          <w:tcPr>
            <w:tcW w:w="1251" w:type="dxa"/>
            <w:noWrap w:val="0"/>
            <w:vAlign w:val="center"/>
          </w:tcPr>
          <w:p>
            <w:pPr>
              <w:pStyle w:val="73"/>
              <w:bidi w:val="0"/>
              <w:rPr>
                <w:rFonts w:hint="default"/>
                <w:lang w:val="en-US" w:eastAsia="zh-CN"/>
              </w:rPr>
            </w:pPr>
            <w:r>
              <w:rPr>
                <w:rFonts w:hint="eastAsia"/>
                <w:lang w:val="en-US" w:eastAsia="zh-CN"/>
              </w:rPr>
              <w:t>/</w:t>
            </w:r>
          </w:p>
        </w:tc>
        <w:tc>
          <w:tcPr>
            <w:tcW w:w="1670" w:type="dxa"/>
            <w:noWrap w:val="0"/>
            <w:vAlign w:val="center"/>
          </w:tcPr>
          <w:p>
            <w:pPr>
              <w:pStyle w:val="73"/>
              <w:bidi w:val="0"/>
              <w:rPr>
                <w:rFonts w:hint="default"/>
                <w:lang w:val="en-US" w:eastAsia="zh-CN"/>
              </w:rPr>
            </w:pPr>
            <w:r>
              <w:rPr>
                <w:rFonts w:hint="eastAsia"/>
                <w:lang w:val="en-US" w:eastAsia="zh-CN"/>
              </w:rPr>
              <w:t>/</w:t>
            </w:r>
          </w:p>
        </w:tc>
        <w:tc>
          <w:tcPr>
            <w:tcW w:w="1532" w:type="dxa"/>
            <w:noWrap w:val="0"/>
            <w:vAlign w:val="center"/>
          </w:tcPr>
          <w:p>
            <w:pPr>
              <w:pStyle w:val="73"/>
              <w:bidi w:val="0"/>
              <w:rPr>
                <w:rFonts w:hint="default"/>
                <w:lang w:val="en-US" w:eastAsia="zh-CN"/>
              </w:rPr>
            </w:pPr>
            <w:r>
              <w:rPr>
                <w:rFonts w:hint="eastAsia"/>
                <w:lang w:val="en-US" w:eastAsia="zh-CN"/>
              </w:rPr>
              <w:t>0.5</w:t>
            </w:r>
          </w:p>
        </w:tc>
        <w:tc>
          <w:tcPr>
            <w:tcW w:w="1729" w:type="dxa"/>
            <w:noWrap w:val="0"/>
            <w:vAlign w:val="center"/>
          </w:tcPr>
          <w:p>
            <w:pPr>
              <w:pStyle w:val="73"/>
              <w:bidi w:val="0"/>
              <w:rPr>
                <w:rFonts w:hint="default"/>
                <w:lang w:val="en-US" w:eastAsia="zh-CN"/>
              </w:rPr>
            </w:pPr>
            <w:r>
              <w:rPr>
                <w:rFonts w:hint="eastAsia"/>
                <w:lang w:val="en-US" w:eastAsia="zh-CN"/>
              </w:rPr>
              <w:t>/</w:t>
            </w:r>
          </w:p>
        </w:tc>
        <w:tc>
          <w:tcPr>
            <w:tcW w:w="1925" w:type="dxa"/>
            <w:noWrap w:val="0"/>
            <w:vAlign w:val="center"/>
          </w:tcPr>
          <w:p>
            <w:pPr>
              <w:pStyle w:val="73"/>
              <w:bidi w:val="0"/>
              <w:rPr>
                <w:rFonts w:hint="default"/>
                <w:lang w:val="en-US" w:eastAsia="zh-CN"/>
              </w:rPr>
            </w:pPr>
            <w:r>
              <w:rPr>
                <w:rFonts w:hint="eastAsia"/>
                <w:lang w:val="en-US" w:eastAsia="zh-CN"/>
              </w:rPr>
              <w:t>0.5</w:t>
            </w:r>
          </w:p>
        </w:tc>
        <w:tc>
          <w:tcPr>
            <w:tcW w:w="809" w:type="dxa"/>
            <w:noWrap w:val="0"/>
            <w:vAlign w:val="center"/>
          </w:tcPr>
          <w:p>
            <w:pPr>
              <w:pStyle w:val="73"/>
              <w:bidi w:val="0"/>
              <w:rPr>
                <w:rFonts w:hint="default"/>
                <w:lang w:val="en-US" w:eastAsia="zh-CN"/>
              </w:rPr>
            </w:pPr>
            <w:r>
              <w:rPr>
                <w:rFonts w:hint="eastAsia"/>
                <w:lang w:val="en-US" w:eastAsia="zh-CN"/>
              </w:rPr>
              <w:t>/</w:t>
            </w:r>
          </w:p>
        </w:tc>
      </w:tr>
    </w:tbl>
    <w:p>
      <w:pPr>
        <w:rPr>
          <w:rFonts w:hint="default" w:ascii="Times New Roman" w:hAnsi="Times New Roman" w:eastAsia="黑体" w:cs="Times New Roman"/>
        </w:rPr>
      </w:pPr>
      <w:r>
        <w:rPr>
          <w:rFonts w:hint="default" w:ascii="Times New Roman" w:hAnsi="Times New Roman" w:eastAsia="黑体" w:cs="Times New Roman"/>
        </w:rPr>
        <w:t>注：</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=6\*GB3\*MERGEFORMAT</w:instrText>
      </w:r>
      <w:r>
        <w:rPr>
          <w:rFonts w:hint="default" w:ascii="Times New Roman" w:hAnsi="Times New Roman" w:eastAsia="黑体" w:cs="Times New Roman"/>
        </w:rPr>
        <w:fldChar w:fldCharType="separate"/>
      </w:r>
      <w:r>
        <w:rPr>
          <w:rFonts w:hint="default" w:ascii="Times New Roman" w:hAnsi="Times New Roman" w:eastAsia="黑体" w:cs="Times New Roman"/>
        </w:rPr>
        <w:t>⑥</w:t>
      </w:r>
      <w:r>
        <w:rPr>
          <w:rFonts w:hint="default" w:ascii="Times New Roman" w:hAnsi="Times New Roman" w:eastAsia="黑体" w:cs="Times New Roman"/>
        </w:rPr>
        <w:fldChar w:fldCharType="end"/>
      </w:r>
      <w:r>
        <w:rPr>
          <w:rFonts w:hint="default" w:ascii="Times New Roman" w:hAnsi="Times New Roman" w:eastAsia="黑体" w:cs="Times New Roman"/>
        </w:rPr>
        <w:t>=</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=1\*GB3\*MERGEFORMAT</w:instrText>
      </w:r>
      <w:r>
        <w:rPr>
          <w:rFonts w:hint="default" w:ascii="Times New Roman" w:hAnsi="Times New Roman" w:eastAsia="黑体" w:cs="Times New Roman"/>
        </w:rPr>
        <w:fldChar w:fldCharType="separate"/>
      </w:r>
      <w:r>
        <w:rPr>
          <w:rFonts w:hint="default" w:ascii="Times New Roman" w:hAnsi="Times New Roman" w:eastAsia="黑体" w:cs="Times New Roman"/>
        </w:rPr>
        <w:t>①</w:t>
      </w:r>
      <w:r>
        <w:rPr>
          <w:rFonts w:hint="default" w:ascii="Times New Roman" w:hAnsi="Times New Roman" w:eastAsia="黑体" w:cs="Times New Roman"/>
        </w:rPr>
        <w:fldChar w:fldCharType="end"/>
      </w:r>
      <w:r>
        <w:rPr>
          <w:rFonts w:hint="default" w:ascii="Times New Roman" w:hAnsi="Times New Roman" w:eastAsia="黑体" w:cs="Times New Roman"/>
        </w:rPr>
        <w:t>+</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=3\*GB3\*MERGEFORMAT</w:instrText>
      </w:r>
      <w:r>
        <w:rPr>
          <w:rFonts w:hint="default" w:ascii="Times New Roman" w:hAnsi="Times New Roman" w:eastAsia="黑体" w:cs="Times New Roman"/>
        </w:rPr>
        <w:fldChar w:fldCharType="separate"/>
      </w:r>
      <w:r>
        <w:rPr>
          <w:rFonts w:hint="default" w:ascii="Times New Roman" w:hAnsi="Times New Roman" w:eastAsia="黑体" w:cs="Times New Roman"/>
        </w:rPr>
        <w:t>③</w:t>
      </w:r>
      <w:r>
        <w:rPr>
          <w:rFonts w:hint="default" w:ascii="Times New Roman" w:hAnsi="Times New Roman" w:eastAsia="黑体" w:cs="Times New Roman"/>
        </w:rPr>
        <w:fldChar w:fldCharType="end"/>
      </w:r>
      <w:r>
        <w:rPr>
          <w:rFonts w:hint="default" w:ascii="Times New Roman" w:hAnsi="Times New Roman" w:eastAsia="黑体" w:cs="Times New Roman"/>
        </w:rPr>
        <w:t>+</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=4\*GB3\*MERGEFORMAT</w:instrText>
      </w:r>
      <w:r>
        <w:rPr>
          <w:rFonts w:hint="default" w:ascii="Times New Roman" w:hAnsi="Times New Roman" w:eastAsia="黑体" w:cs="Times New Roman"/>
        </w:rPr>
        <w:fldChar w:fldCharType="separate"/>
      </w:r>
      <w:r>
        <w:rPr>
          <w:rFonts w:hint="default" w:ascii="Times New Roman" w:hAnsi="Times New Roman" w:eastAsia="黑体" w:cs="Times New Roman"/>
        </w:rPr>
        <w:t>④</w:t>
      </w:r>
      <w:r>
        <w:rPr>
          <w:rFonts w:hint="default" w:ascii="Times New Roman" w:hAnsi="Times New Roman" w:eastAsia="黑体" w:cs="Times New Roman"/>
        </w:rPr>
        <w:fldChar w:fldCharType="end"/>
      </w:r>
      <w:r>
        <w:rPr>
          <w:rFonts w:hint="default" w:ascii="Times New Roman" w:hAnsi="Times New Roman" w:eastAsia="黑体" w:cs="Times New Roman"/>
        </w:rPr>
        <w:t>-</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=5\*GB3\*MERGEFORMAT</w:instrText>
      </w:r>
      <w:r>
        <w:rPr>
          <w:rFonts w:hint="default" w:ascii="Times New Roman" w:hAnsi="Times New Roman" w:eastAsia="黑体" w:cs="Times New Roman"/>
        </w:rPr>
        <w:fldChar w:fldCharType="separate"/>
      </w:r>
      <w:r>
        <w:rPr>
          <w:rFonts w:hint="default" w:ascii="Times New Roman" w:hAnsi="Times New Roman" w:eastAsia="黑体" w:cs="Times New Roman"/>
        </w:rPr>
        <w:t>⑤</w:t>
      </w:r>
      <w:r>
        <w:rPr>
          <w:rFonts w:hint="default" w:ascii="Times New Roman" w:hAnsi="Times New Roman" w:eastAsia="黑体" w:cs="Times New Roman"/>
        </w:rPr>
        <w:fldChar w:fldCharType="end"/>
      </w:r>
      <w:r>
        <w:rPr>
          <w:rFonts w:hint="default" w:ascii="Times New Roman" w:hAnsi="Times New Roman" w:eastAsia="黑体" w:cs="Times New Roman"/>
        </w:rPr>
        <w:t>；</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=7\*GB3\*MERGEFORMAT</w:instrText>
      </w:r>
      <w:r>
        <w:rPr>
          <w:rFonts w:hint="default" w:ascii="Times New Roman" w:hAnsi="Times New Roman" w:eastAsia="黑体" w:cs="Times New Roman"/>
        </w:rPr>
        <w:fldChar w:fldCharType="separate"/>
      </w:r>
      <w:r>
        <w:rPr>
          <w:rFonts w:hint="default" w:ascii="Times New Roman" w:hAnsi="Times New Roman" w:eastAsia="黑体" w:cs="Times New Roman"/>
        </w:rPr>
        <w:t>⑦</w:t>
      </w:r>
      <w:r>
        <w:rPr>
          <w:rFonts w:hint="default" w:ascii="Times New Roman" w:hAnsi="Times New Roman" w:eastAsia="黑体" w:cs="Times New Roman"/>
        </w:rPr>
        <w:fldChar w:fldCharType="end"/>
      </w:r>
      <w:r>
        <w:rPr>
          <w:rFonts w:hint="default" w:ascii="Times New Roman" w:hAnsi="Times New Roman" w:eastAsia="黑体" w:cs="Times New Roman"/>
        </w:rPr>
        <w:t>=</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=6\*GB3\*MERGEFORMAT</w:instrText>
      </w:r>
      <w:r>
        <w:rPr>
          <w:rFonts w:hint="default" w:ascii="Times New Roman" w:hAnsi="Times New Roman" w:eastAsia="黑体" w:cs="Times New Roman"/>
        </w:rPr>
        <w:fldChar w:fldCharType="separate"/>
      </w:r>
      <w:r>
        <w:rPr>
          <w:rFonts w:hint="default" w:ascii="Times New Roman" w:hAnsi="Times New Roman" w:eastAsia="黑体" w:cs="Times New Roman"/>
        </w:rPr>
        <w:t>⑥</w:t>
      </w:r>
      <w:r>
        <w:rPr>
          <w:rFonts w:hint="default" w:ascii="Times New Roman" w:hAnsi="Times New Roman" w:eastAsia="黑体" w:cs="Times New Roman"/>
        </w:rPr>
        <w:fldChar w:fldCharType="end"/>
      </w:r>
      <w:r>
        <w:rPr>
          <w:rFonts w:hint="default" w:ascii="Times New Roman" w:hAnsi="Times New Roman" w:eastAsia="黑体" w:cs="Times New Roman"/>
        </w:rPr>
        <w:t>-</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=1\*GB3\*MERGEFORMAT</w:instrText>
      </w:r>
      <w:r>
        <w:rPr>
          <w:rFonts w:hint="default" w:ascii="Times New Roman" w:hAnsi="Times New Roman" w:eastAsia="黑体" w:cs="Times New Roman"/>
        </w:rPr>
        <w:fldChar w:fldCharType="separate"/>
      </w:r>
      <w:r>
        <w:rPr>
          <w:rFonts w:hint="default" w:ascii="Times New Roman" w:hAnsi="Times New Roman" w:eastAsia="黑体" w:cs="Times New Roman"/>
        </w:rPr>
        <w:t>①</w:t>
      </w:r>
      <w:r>
        <w:rPr>
          <w:rFonts w:hint="default" w:ascii="Times New Roman" w:hAnsi="Times New Roman" w:eastAsia="黑体" w:cs="Times New Roman"/>
        </w:rPr>
        <w:fldChar w:fldCharType="end"/>
      </w:r>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09D2BE-1136-4977-A21A-AB544A42A8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81E45A87-F428-41AB-88D2-750E6FA57350}"/>
  </w:font>
  <w:font w:name="楷体_GB2312">
    <w:panose1 w:val="02010609030101010101"/>
    <w:charset w:val="86"/>
    <w:family w:val="modern"/>
    <w:pitch w:val="default"/>
    <w:sig w:usb0="00000001" w:usb1="080E0000" w:usb2="00000000" w:usb3="00000000" w:csb0="00040000" w:csb1="00000000"/>
    <w:embedRegular r:id="rId3" w:fontKey="{9F40BD81-95B5-48C4-B518-92224B7287B2}"/>
  </w:font>
  <w:font w:name="方正小标宋_GBK">
    <w:panose1 w:val="03000509000000000000"/>
    <w:charset w:val="86"/>
    <w:family w:val="script"/>
    <w:pitch w:val="default"/>
    <w:sig w:usb0="00000001" w:usb1="080E0000" w:usb2="00000000" w:usb3="00000000" w:csb0="00040000" w:csb1="00000000"/>
    <w:embedRegular r:id="rId4" w:fontKey="{9DCF5407-38E4-44CA-9508-5C70B7A9C9E5}"/>
  </w:font>
  <w:font w:name="仿宋">
    <w:panose1 w:val="02010609060101010101"/>
    <w:charset w:val="86"/>
    <w:family w:val="auto"/>
    <w:pitch w:val="default"/>
    <w:sig w:usb0="800002BF" w:usb1="38CF7CFA" w:usb2="00000016" w:usb3="00000000" w:csb0="00040001" w:csb1="00000000"/>
    <w:embedRegular r:id="rId5" w:fontKey="{25538AC2-53DF-4FE8-8467-5F29DA850CB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9</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11</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F1660"/>
    <w:multiLevelType w:val="singleLevel"/>
    <w:tmpl w:val="022F1660"/>
    <w:lvl w:ilvl="0" w:tentative="0">
      <w:start w:val="1"/>
      <w:numFmt w:val="decimal"/>
      <w:suff w:val="nothing"/>
      <w:lvlText w:val="（%1）"/>
      <w:lvlJc w:val="left"/>
    </w:lvl>
  </w:abstractNum>
  <w:abstractNum w:abstractNumId="1">
    <w:nsid w:val="151C7C3C"/>
    <w:multiLevelType w:val="singleLevel"/>
    <w:tmpl w:val="151C7C3C"/>
    <w:lvl w:ilvl="0" w:tentative="0">
      <w:start w:val="1"/>
      <w:numFmt w:val="decimal"/>
      <w:suff w:val="nothing"/>
      <w:lvlText w:val="（%1）"/>
      <w:lvlJc w:val="left"/>
    </w:lvl>
  </w:abstractNum>
  <w:abstractNum w:abstractNumId="2">
    <w:nsid w:val="5324C92E"/>
    <w:multiLevelType w:val="singleLevel"/>
    <w:tmpl w:val="5324C92E"/>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2JmYzgyZjk2NGIyN2ZlYWM1NDcxZjYxMGNmMGIifQ=="/>
  </w:docVars>
  <w:rsids>
    <w:rsidRoot w:val="00A14947"/>
    <w:rsid w:val="000060B3"/>
    <w:rsid w:val="00042FC7"/>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44F1"/>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4020F"/>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D37F7"/>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07EB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1607"/>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318AF"/>
    <w:rsid w:val="01115A2F"/>
    <w:rsid w:val="01290F7E"/>
    <w:rsid w:val="014B4542"/>
    <w:rsid w:val="015D1E09"/>
    <w:rsid w:val="015D7DFD"/>
    <w:rsid w:val="01601D05"/>
    <w:rsid w:val="0164066F"/>
    <w:rsid w:val="0168325F"/>
    <w:rsid w:val="01753569"/>
    <w:rsid w:val="017B11E4"/>
    <w:rsid w:val="017F5061"/>
    <w:rsid w:val="01C74429"/>
    <w:rsid w:val="01D57149"/>
    <w:rsid w:val="02104022"/>
    <w:rsid w:val="02213484"/>
    <w:rsid w:val="02433A6E"/>
    <w:rsid w:val="024737BC"/>
    <w:rsid w:val="0264567A"/>
    <w:rsid w:val="02664FAB"/>
    <w:rsid w:val="02697903"/>
    <w:rsid w:val="02751607"/>
    <w:rsid w:val="02AC29FE"/>
    <w:rsid w:val="02BE1420"/>
    <w:rsid w:val="02DD2177"/>
    <w:rsid w:val="02F96569"/>
    <w:rsid w:val="03176895"/>
    <w:rsid w:val="0333016F"/>
    <w:rsid w:val="036A59B4"/>
    <w:rsid w:val="03977E2B"/>
    <w:rsid w:val="039B7C31"/>
    <w:rsid w:val="039E740C"/>
    <w:rsid w:val="03B67E06"/>
    <w:rsid w:val="03C4048E"/>
    <w:rsid w:val="03DA602B"/>
    <w:rsid w:val="03EA7B21"/>
    <w:rsid w:val="03ED19EE"/>
    <w:rsid w:val="04874510"/>
    <w:rsid w:val="04994FB8"/>
    <w:rsid w:val="05184F9C"/>
    <w:rsid w:val="0524626C"/>
    <w:rsid w:val="052878D5"/>
    <w:rsid w:val="05466A9D"/>
    <w:rsid w:val="05484147"/>
    <w:rsid w:val="0598363A"/>
    <w:rsid w:val="05DD4BBB"/>
    <w:rsid w:val="05F83EAE"/>
    <w:rsid w:val="05FA5FF7"/>
    <w:rsid w:val="060406CC"/>
    <w:rsid w:val="06362943"/>
    <w:rsid w:val="063A45FB"/>
    <w:rsid w:val="063E7D85"/>
    <w:rsid w:val="067F305E"/>
    <w:rsid w:val="06992250"/>
    <w:rsid w:val="06AC7B5E"/>
    <w:rsid w:val="06B976C3"/>
    <w:rsid w:val="06F0725F"/>
    <w:rsid w:val="070A2979"/>
    <w:rsid w:val="07211EC6"/>
    <w:rsid w:val="072611FA"/>
    <w:rsid w:val="07293586"/>
    <w:rsid w:val="07295285"/>
    <w:rsid w:val="07636392"/>
    <w:rsid w:val="07770C56"/>
    <w:rsid w:val="07C17B6D"/>
    <w:rsid w:val="07DC147F"/>
    <w:rsid w:val="07EA1545"/>
    <w:rsid w:val="0856428E"/>
    <w:rsid w:val="08A273E4"/>
    <w:rsid w:val="08D33112"/>
    <w:rsid w:val="08E85537"/>
    <w:rsid w:val="08EC6E9E"/>
    <w:rsid w:val="09175E81"/>
    <w:rsid w:val="092217DD"/>
    <w:rsid w:val="093A7294"/>
    <w:rsid w:val="094C42CE"/>
    <w:rsid w:val="095F5195"/>
    <w:rsid w:val="0976720A"/>
    <w:rsid w:val="097875EB"/>
    <w:rsid w:val="09862E1C"/>
    <w:rsid w:val="099C1E63"/>
    <w:rsid w:val="09AE19F3"/>
    <w:rsid w:val="09C074C5"/>
    <w:rsid w:val="09FD7DA2"/>
    <w:rsid w:val="0A0E0CA5"/>
    <w:rsid w:val="0A263993"/>
    <w:rsid w:val="0A2D3AC2"/>
    <w:rsid w:val="0A2F1BEE"/>
    <w:rsid w:val="0A495478"/>
    <w:rsid w:val="0A8D5656"/>
    <w:rsid w:val="0AA755DF"/>
    <w:rsid w:val="0ABF7E3F"/>
    <w:rsid w:val="0B120D44"/>
    <w:rsid w:val="0B7149E3"/>
    <w:rsid w:val="0B996A25"/>
    <w:rsid w:val="0BB25A7A"/>
    <w:rsid w:val="0BD27BF6"/>
    <w:rsid w:val="0BD77A17"/>
    <w:rsid w:val="0BD83B32"/>
    <w:rsid w:val="0BDA2518"/>
    <w:rsid w:val="0BFD1732"/>
    <w:rsid w:val="0C0F70F9"/>
    <w:rsid w:val="0C2E1EF2"/>
    <w:rsid w:val="0C3563D0"/>
    <w:rsid w:val="0C3B3C7D"/>
    <w:rsid w:val="0C3F702F"/>
    <w:rsid w:val="0C9310FF"/>
    <w:rsid w:val="0CAB2EAE"/>
    <w:rsid w:val="0CC61E6B"/>
    <w:rsid w:val="0CC71DE3"/>
    <w:rsid w:val="0CD45C9B"/>
    <w:rsid w:val="0CFD51A3"/>
    <w:rsid w:val="0D027947"/>
    <w:rsid w:val="0D201FBB"/>
    <w:rsid w:val="0D2206D5"/>
    <w:rsid w:val="0D621C7D"/>
    <w:rsid w:val="0D815602"/>
    <w:rsid w:val="0D8530B8"/>
    <w:rsid w:val="0DB16782"/>
    <w:rsid w:val="0DBC211A"/>
    <w:rsid w:val="0DBF06AB"/>
    <w:rsid w:val="0DC64292"/>
    <w:rsid w:val="0DDB1A3D"/>
    <w:rsid w:val="0DF35F53"/>
    <w:rsid w:val="0E083AC4"/>
    <w:rsid w:val="0E122C17"/>
    <w:rsid w:val="0E651252"/>
    <w:rsid w:val="0E73034D"/>
    <w:rsid w:val="0E905A81"/>
    <w:rsid w:val="0E906D5F"/>
    <w:rsid w:val="0EA3134B"/>
    <w:rsid w:val="0ED2335F"/>
    <w:rsid w:val="0EE71E6E"/>
    <w:rsid w:val="0EF93D84"/>
    <w:rsid w:val="0F13775A"/>
    <w:rsid w:val="0F567C8E"/>
    <w:rsid w:val="0F5F45FE"/>
    <w:rsid w:val="0F786E15"/>
    <w:rsid w:val="0F972A7C"/>
    <w:rsid w:val="0F9A112B"/>
    <w:rsid w:val="0FA1168B"/>
    <w:rsid w:val="0FCE1FA0"/>
    <w:rsid w:val="0FDE1960"/>
    <w:rsid w:val="100D2E80"/>
    <w:rsid w:val="100E7E71"/>
    <w:rsid w:val="10430A3B"/>
    <w:rsid w:val="10477E7E"/>
    <w:rsid w:val="10537B9F"/>
    <w:rsid w:val="106D2F64"/>
    <w:rsid w:val="10890389"/>
    <w:rsid w:val="10B63710"/>
    <w:rsid w:val="10C40700"/>
    <w:rsid w:val="10F10820"/>
    <w:rsid w:val="10F33E0B"/>
    <w:rsid w:val="10FF1EB7"/>
    <w:rsid w:val="11146F5F"/>
    <w:rsid w:val="111C2F7A"/>
    <w:rsid w:val="111F65C1"/>
    <w:rsid w:val="114B56FE"/>
    <w:rsid w:val="114F61E9"/>
    <w:rsid w:val="116520B4"/>
    <w:rsid w:val="11665CA1"/>
    <w:rsid w:val="11687758"/>
    <w:rsid w:val="1182557E"/>
    <w:rsid w:val="120A3F99"/>
    <w:rsid w:val="121C431D"/>
    <w:rsid w:val="123F7349"/>
    <w:rsid w:val="125F7176"/>
    <w:rsid w:val="126568A9"/>
    <w:rsid w:val="12792BDE"/>
    <w:rsid w:val="12AD659F"/>
    <w:rsid w:val="12B74046"/>
    <w:rsid w:val="12CD27E6"/>
    <w:rsid w:val="12D06EB6"/>
    <w:rsid w:val="12E904C9"/>
    <w:rsid w:val="12E92B2D"/>
    <w:rsid w:val="132A2A6A"/>
    <w:rsid w:val="13314F43"/>
    <w:rsid w:val="136A6914"/>
    <w:rsid w:val="13951726"/>
    <w:rsid w:val="13A65694"/>
    <w:rsid w:val="13E16C08"/>
    <w:rsid w:val="13E508C6"/>
    <w:rsid w:val="14092589"/>
    <w:rsid w:val="14223741"/>
    <w:rsid w:val="14337E6D"/>
    <w:rsid w:val="14396509"/>
    <w:rsid w:val="14491F8C"/>
    <w:rsid w:val="14A3531F"/>
    <w:rsid w:val="14BB66D7"/>
    <w:rsid w:val="14D804D8"/>
    <w:rsid w:val="14DD2C3C"/>
    <w:rsid w:val="14E8107C"/>
    <w:rsid w:val="14F30BEA"/>
    <w:rsid w:val="14F808B6"/>
    <w:rsid w:val="153B2D0D"/>
    <w:rsid w:val="153C6A85"/>
    <w:rsid w:val="15525368"/>
    <w:rsid w:val="156100F4"/>
    <w:rsid w:val="158A77F0"/>
    <w:rsid w:val="15CA4090"/>
    <w:rsid w:val="15DB3DD2"/>
    <w:rsid w:val="15DD3558"/>
    <w:rsid w:val="16087E1D"/>
    <w:rsid w:val="160B79D8"/>
    <w:rsid w:val="16264D6B"/>
    <w:rsid w:val="163E4FD8"/>
    <w:rsid w:val="1650018F"/>
    <w:rsid w:val="165D2B8A"/>
    <w:rsid w:val="1682614F"/>
    <w:rsid w:val="16865227"/>
    <w:rsid w:val="1695469E"/>
    <w:rsid w:val="16AE5CC1"/>
    <w:rsid w:val="17127A9D"/>
    <w:rsid w:val="173853C5"/>
    <w:rsid w:val="17701D14"/>
    <w:rsid w:val="17735226"/>
    <w:rsid w:val="17797F06"/>
    <w:rsid w:val="17C23271"/>
    <w:rsid w:val="17D65D9B"/>
    <w:rsid w:val="17D731CD"/>
    <w:rsid w:val="180C3220"/>
    <w:rsid w:val="18136A92"/>
    <w:rsid w:val="181949BB"/>
    <w:rsid w:val="18464FF4"/>
    <w:rsid w:val="185F31B6"/>
    <w:rsid w:val="186E51A7"/>
    <w:rsid w:val="187F1162"/>
    <w:rsid w:val="189F624C"/>
    <w:rsid w:val="18A256A4"/>
    <w:rsid w:val="18B35F90"/>
    <w:rsid w:val="195A431C"/>
    <w:rsid w:val="19EA31F0"/>
    <w:rsid w:val="1A1018BF"/>
    <w:rsid w:val="1A1C66C0"/>
    <w:rsid w:val="1A240D07"/>
    <w:rsid w:val="1A42393B"/>
    <w:rsid w:val="1A5F0986"/>
    <w:rsid w:val="1A7135DA"/>
    <w:rsid w:val="1A7E1CE2"/>
    <w:rsid w:val="1A9F3D91"/>
    <w:rsid w:val="1AAD45DE"/>
    <w:rsid w:val="1ABD41C4"/>
    <w:rsid w:val="1AC6061B"/>
    <w:rsid w:val="1AEA49F5"/>
    <w:rsid w:val="1AFA4A54"/>
    <w:rsid w:val="1AFB7E3E"/>
    <w:rsid w:val="1B046F80"/>
    <w:rsid w:val="1B065452"/>
    <w:rsid w:val="1B1C538E"/>
    <w:rsid w:val="1B3267B5"/>
    <w:rsid w:val="1B40161D"/>
    <w:rsid w:val="1B441859"/>
    <w:rsid w:val="1B5D38BA"/>
    <w:rsid w:val="1B6606B1"/>
    <w:rsid w:val="1B7D4E70"/>
    <w:rsid w:val="1BC3290A"/>
    <w:rsid w:val="1BED2F2F"/>
    <w:rsid w:val="1BF75E1D"/>
    <w:rsid w:val="1C262893"/>
    <w:rsid w:val="1C2D5579"/>
    <w:rsid w:val="1C595CF1"/>
    <w:rsid w:val="1C5E7925"/>
    <w:rsid w:val="1CAB6B89"/>
    <w:rsid w:val="1CB2592C"/>
    <w:rsid w:val="1CFD070F"/>
    <w:rsid w:val="1D183933"/>
    <w:rsid w:val="1D411960"/>
    <w:rsid w:val="1D5F6196"/>
    <w:rsid w:val="1D6132A5"/>
    <w:rsid w:val="1D6B2AB2"/>
    <w:rsid w:val="1D8E56D5"/>
    <w:rsid w:val="1DA17DCD"/>
    <w:rsid w:val="1DAF6D38"/>
    <w:rsid w:val="1DB518C2"/>
    <w:rsid w:val="1DCF6C7F"/>
    <w:rsid w:val="1DFE521F"/>
    <w:rsid w:val="1E1E2E46"/>
    <w:rsid w:val="1E4C0AE9"/>
    <w:rsid w:val="1E7A43DA"/>
    <w:rsid w:val="1E806103"/>
    <w:rsid w:val="1EC23E64"/>
    <w:rsid w:val="1EE73F05"/>
    <w:rsid w:val="1EFC6016"/>
    <w:rsid w:val="1EFD5728"/>
    <w:rsid w:val="1F454B81"/>
    <w:rsid w:val="1F507F0B"/>
    <w:rsid w:val="1F9A2D26"/>
    <w:rsid w:val="1FAA2A49"/>
    <w:rsid w:val="1FE7539E"/>
    <w:rsid w:val="1FF03995"/>
    <w:rsid w:val="2007660D"/>
    <w:rsid w:val="202B17D4"/>
    <w:rsid w:val="20505621"/>
    <w:rsid w:val="20671BE0"/>
    <w:rsid w:val="20963CB8"/>
    <w:rsid w:val="20A81A1B"/>
    <w:rsid w:val="20A97AC2"/>
    <w:rsid w:val="20AB4ADC"/>
    <w:rsid w:val="20B07FB6"/>
    <w:rsid w:val="20B646FB"/>
    <w:rsid w:val="20D858B3"/>
    <w:rsid w:val="20E73D60"/>
    <w:rsid w:val="20F5782E"/>
    <w:rsid w:val="20F936E2"/>
    <w:rsid w:val="213B74B1"/>
    <w:rsid w:val="214B077B"/>
    <w:rsid w:val="215A2310"/>
    <w:rsid w:val="219803FE"/>
    <w:rsid w:val="21CB6979"/>
    <w:rsid w:val="21DE318A"/>
    <w:rsid w:val="21EF5B80"/>
    <w:rsid w:val="220444D6"/>
    <w:rsid w:val="22384334"/>
    <w:rsid w:val="22465845"/>
    <w:rsid w:val="22576990"/>
    <w:rsid w:val="225937B9"/>
    <w:rsid w:val="226A7D01"/>
    <w:rsid w:val="227B6E3E"/>
    <w:rsid w:val="22885A35"/>
    <w:rsid w:val="22950329"/>
    <w:rsid w:val="22A12BC6"/>
    <w:rsid w:val="22BE6D2B"/>
    <w:rsid w:val="22F47480"/>
    <w:rsid w:val="23780635"/>
    <w:rsid w:val="238057DC"/>
    <w:rsid w:val="23DE1C48"/>
    <w:rsid w:val="23DE59BA"/>
    <w:rsid w:val="23EB61A9"/>
    <w:rsid w:val="240210CD"/>
    <w:rsid w:val="240C5CDF"/>
    <w:rsid w:val="24950C71"/>
    <w:rsid w:val="24B93C4E"/>
    <w:rsid w:val="24BF09F7"/>
    <w:rsid w:val="24CC3ED3"/>
    <w:rsid w:val="24E01944"/>
    <w:rsid w:val="24F160DB"/>
    <w:rsid w:val="250E136F"/>
    <w:rsid w:val="25151D04"/>
    <w:rsid w:val="25233C17"/>
    <w:rsid w:val="252D53FE"/>
    <w:rsid w:val="254B4E0F"/>
    <w:rsid w:val="254F25A0"/>
    <w:rsid w:val="25740886"/>
    <w:rsid w:val="25EC2D81"/>
    <w:rsid w:val="26084E8D"/>
    <w:rsid w:val="26146B0C"/>
    <w:rsid w:val="26257297"/>
    <w:rsid w:val="26310E4D"/>
    <w:rsid w:val="26341C2C"/>
    <w:rsid w:val="263C6620"/>
    <w:rsid w:val="264E1335"/>
    <w:rsid w:val="2674607E"/>
    <w:rsid w:val="26FE4F2B"/>
    <w:rsid w:val="27352E75"/>
    <w:rsid w:val="277057A2"/>
    <w:rsid w:val="277D4D20"/>
    <w:rsid w:val="27BE338B"/>
    <w:rsid w:val="281A340C"/>
    <w:rsid w:val="28432F96"/>
    <w:rsid w:val="28456613"/>
    <w:rsid w:val="28694B8B"/>
    <w:rsid w:val="2871356E"/>
    <w:rsid w:val="288A69FC"/>
    <w:rsid w:val="28A864B3"/>
    <w:rsid w:val="28AA7A7D"/>
    <w:rsid w:val="28BE6196"/>
    <w:rsid w:val="28CA149B"/>
    <w:rsid w:val="28D76D98"/>
    <w:rsid w:val="28DF11D4"/>
    <w:rsid w:val="28E60D8A"/>
    <w:rsid w:val="29206EB8"/>
    <w:rsid w:val="292B199D"/>
    <w:rsid w:val="29337D36"/>
    <w:rsid w:val="29595666"/>
    <w:rsid w:val="297D7915"/>
    <w:rsid w:val="298567F4"/>
    <w:rsid w:val="29874881"/>
    <w:rsid w:val="29B27D0E"/>
    <w:rsid w:val="29BC1FFB"/>
    <w:rsid w:val="29E325E0"/>
    <w:rsid w:val="29F51284"/>
    <w:rsid w:val="29F67EB2"/>
    <w:rsid w:val="2A452503"/>
    <w:rsid w:val="2A4770AE"/>
    <w:rsid w:val="2A5952CB"/>
    <w:rsid w:val="2A6666EF"/>
    <w:rsid w:val="2A7F4FF2"/>
    <w:rsid w:val="2A852162"/>
    <w:rsid w:val="2A9C2048"/>
    <w:rsid w:val="2AB060B5"/>
    <w:rsid w:val="2AB16048"/>
    <w:rsid w:val="2B93677F"/>
    <w:rsid w:val="2BA30183"/>
    <w:rsid w:val="2BA936A8"/>
    <w:rsid w:val="2BA97CE6"/>
    <w:rsid w:val="2BC728D8"/>
    <w:rsid w:val="2BE42D39"/>
    <w:rsid w:val="2C2E65E3"/>
    <w:rsid w:val="2C315A5A"/>
    <w:rsid w:val="2C4B1C25"/>
    <w:rsid w:val="2C590426"/>
    <w:rsid w:val="2C8E40A8"/>
    <w:rsid w:val="2C9100DB"/>
    <w:rsid w:val="2CB06F6C"/>
    <w:rsid w:val="2CC118F2"/>
    <w:rsid w:val="2D076D64"/>
    <w:rsid w:val="2D0E5CCB"/>
    <w:rsid w:val="2D170DFB"/>
    <w:rsid w:val="2D1F7CD3"/>
    <w:rsid w:val="2D2452BF"/>
    <w:rsid w:val="2D2B57F7"/>
    <w:rsid w:val="2D314CC9"/>
    <w:rsid w:val="2D73024D"/>
    <w:rsid w:val="2D7F1BFC"/>
    <w:rsid w:val="2D8566CB"/>
    <w:rsid w:val="2D9E56F5"/>
    <w:rsid w:val="2DC6144E"/>
    <w:rsid w:val="2DEA37BF"/>
    <w:rsid w:val="2E3424E9"/>
    <w:rsid w:val="2E3A235F"/>
    <w:rsid w:val="2E4C3757"/>
    <w:rsid w:val="2E667F96"/>
    <w:rsid w:val="2E6921A7"/>
    <w:rsid w:val="2E8226AB"/>
    <w:rsid w:val="2E9A2B77"/>
    <w:rsid w:val="2F146FFE"/>
    <w:rsid w:val="2F222ACD"/>
    <w:rsid w:val="2F382465"/>
    <w:rsid w:val="2F610B1C"/>
    <w:rsid w:val="2F966127"/>
    <w:rsid w:val="2FCC27F9"/>
    <w:rsid w:val="2FD065E6"/>
    <w:rsid w:val="2FD16694"/>
    <w:rsid w:val="2FD96870"/>
    <w:rsid w:val="30402D63"/>
    <w:rsid w:val="30580BC9"/>
    <w:rsid w:val="305D7B83"/>
    <w:rsid w:val="306E71C1"/>
    <w:rsid w:val="30840777"/>
    <w:rsid w:val="30C22C1D"/>
    <w:rsid w:val="30D2337C"/>
    <w:rsid w:val="30E1769D"/>
    <w:rsid w:val="310D1708"/>
    <w:rsid w:val="31124E12"/>
    <w:rsid w:val="311E2ED7"/>
    <w:rsid w:val="31314F2B"/>
    <w:rsid w:val="315619EE"/>
    <w:rsid w:val="315C449C"/>
    <w:rsid w:val="317531F9"/>
    <w:rsid w:val="31953D8E"/>
    <w:rsid w:val="31B82709"/>
    <w:rsid w:val="31C4003F"/>
    <w:rsid w:val="31D05482"/>
    <w:rsid w:val="31F10DBA"/>
    <w:rsid w:val="31F469D0"/>
    <w:rsid w:val="321C5FB9"/>
    <w:rsid w:val="32251406"/>
    <w:rsid w:val="323631B3"/>
    <w:rsid w:val="32400B34"/>
    <w:rsid w:val="32470AEB"/>
    <w:rsid w:val="32644C04"/>
    <w:rsid w:val="329E6876"/>
    <w:rsid w:val="32AF2FF8"/>
    <w:rsid w:val="32B039CB"/>
    <w:rsid w:val="32EE6723"/>
    <w:rsid w:val="32FB135A"/>
    <w:rsid w:val="333015F2"/>
    <w:rsid w:val="334B6320"/>
    <w:rsid w:val="334E61F4"/>
    <w:rsid w:val="336B65CE"/>
    <w:rsid w:val="336E5D6E"/>
    <w:rsid w:val="33A8162D"/>
    <w:rsid w:val="33AE06CE"/>
    <w:rsid w:val="33C053B5"/>
    <w:rsid w:val="33C341A1"/>
    <w:rsid w:val="33C426F1"/>
    <w:rsid w:val="33D934D4"/>
    <w:rsid w:val="33DB598F"/>
    <w:rsid w:val="33EB3B02"/>
    <w:rsid w:val="33EB4B61"/>
    <w:rsid w:val="33FE2F6A"/>
    <w:rsid w:val="34000F51"/>
    <w:rsid w:val="340E07E5"/>
    <w:rsid w:val="34235BF7"/>
    <w:rsid w:val="343113AF"/>
    <w:rsid w:val="34487760"/>
    <w:rsid w:val="344C46D9"/>
    <w:rsid w:val="344E57AD"/>
    <w:rsid w:val="34627D4C"/>
    <w:rsid w:val="34A43FD3"/>
    <w:rsid w:val="34AC76B4"/>
    <w:rsid w:val="34FA62E8"/>
    <w:rsid w:val="35233101"/>
    <w:rsid w:val="35254263"/>
    <w:rsid w:val="354229E8"/>
    <w:rsid w:val="357F3EA8"/>
    <w:rsid w:val="358C5FA8"/>
    <w:rsid w:val="35C15DF1"/>
    <w:rsid w:val="35D46B3A"/>
    <w:rsid w:val="35EF7136"/>
    <w:rsid w:val="35FC315F"/>
    <w:rsid w:val="36074A7F"/>
    <w:rsid w:val="362B14C6"/>
    <w:rsid w:val="36321AB2"/>
    <w:rsid w:val="365D6BFC"/>
    <w:rsid w:val="36723C5D"/>
    <w:rsid w:val="36923549"/>
    <w:rsid w:val="36B47471"/>
    <w:rsid w:val="36B75FBF"/>
    <w:rsid w:val="36B95D91"/>
    <w:rsid w:val="36BD0C45"/>
    <w:rsid w:val="36D52B5C"/>
    <w:rsid w:val="37207A8A"/>
    <w:rsid w:val="375717D0"/>
    <w:rsid w:val="37657CF6"/>
    <w:rsid w:val="379C71E3"/>
    <w:rsid w:val="37CD76E3"/>
    <w:rsid w:val="37CF36DF"/>
    <w:rsid w:val="37E00298"/>
    <w:rsid w:val="382724E4"/>
    <w:rsid w:val="384F457A"/>
    <w:rsid w:val="38572B05"/>
    <w:rsid w:val="38B302F9"/>
    <w:rsid w:val="38CA4A0B"/>
    <w:rsid w:val="38E4728C"/>
    <w:rsid w:val="38F12CD3"/>
    <w:rsid w:val="38F94775"/>
    <w:rsid w:val="390239BE"/>
    <w:rsid w:val="391A0D07"/>
    <w:rsid w:val="392971ED"/>
    <w:rsid w:val="39325651"/>
    <w:rsid w:val="393924A8"/>
    <w:rsid w:val="39840379"/>
    <w:rsid w:val="39961C40"/>
    <w:rsid w:val="39C33047"/>
    <w:rsid w:val="39E737ED"/>
    <w:rsid w:val="39FC0CDC"/>
    <w:rsid w:val="3A1A5C49"/>
    <w:rsid w:val="3A352A2C"/>
    <w:rsid w:val="3A514E81"/>
    <w:rsid w:val="3A872856"/>
    <w:rsid w:val="3AC151B3"/>
    <w:rsid w:val="3ACC6880"/>
    <w:rsid w:val="3AD150C0"/>
    <w:rsid w:val="3AFC6F52"/>
    <w:rsid w:val="3B070843"/>
    <w:rsid w:val="3B3763D1"/>
    <w:rsid w:val="3B4F6884"/>
    <w:rsid w:val="3BBE05D2"/>
    <w:rsid w:val="3C0B455A"/>
    <w:rsid w:val="3C2F6E1E"/>
    <w:rsid w:val="3C360C7A"/>
    <w:rsid w:val="3C3A2175"/>
    <w:rsid w:val="3C4F64BA"/>
    <w:rsid w:val="3C5F7280"/>
    <w:rsid w:val="3C963605"/>
    <w:rsid w:val="3CC33464"/>
    <w:rsid w:val="3CDA245A"/>
    <w:rsid w:val="3D0C4711"/>
    <w:rsid w:val="3D1E06B7"/>
    <w:rsid w:val="3D8B01EE"/>
    <w:rsid w:val="3D903F4F"/>
    <w:rsid w:val="3D9406C6"/>
    <w:rsid w:val="3DB74195"/>
    <w:rsid w:val="3DEE05E6"/>
    <w:rsid w:val="3DF14431"/>
    <w:rsid w:val="3DF254DF"/>
    <w:rsid w:val="3E0D35E4"/>
    <w:rsid w:val="3E101141"/>
    <w:rsid w:val="3E1C4E5F"/>
    <w:rsid w:val="3E3F6B1A"/>
    <w:rsid w:val="3E7A5A21"/>
    <w:rsid w:val="3E86299B"/>
    <w:rsid w:val="3ED43706"/>
    <w:rsid w:val="3EDA0523"/>
    <w:rsid w:val="3EFD65C9"/>
    <w:rsid w:val="3F1E4982"/>
    <w:rsid w:val="3F531295"/>
    <w:rsid w:val="3F57155F"/>
    <w:rsid w:val="3F787BC1"/>
    <w:rsid w:val="3F7F6FBF"/>
    <w:rsid w:val="3FB362C2"/>
    <w:rsid w:val="3FE252FC"/>
    <w:rsid w:val="400564D6"/>
    <w:rsid w:val="40290D80"/>
    <w:rsid w:val="4048653E"/>
    <w:rsid w:val="4066051A"/>
    <w:rsid w:val="407A6407"/>
    <w:rsid w:val="40AB06A4"/>
    <w:rsid w:val="40F57A4A"/>
    <w:rsid w:val="410836C4"/>
    <w:rsid w:val="414F176A"/>
    <w:rsid w:val="41650F8E"/>
    <w:rsid w:val="41852EDF"/>
    <w:rsid w:val="419E4C5B"/>
    <w:rsid w:val="41BA6CA1"/>
    <w:rsid w:val="41DA3135"/>
    <w:rsid w:val="4200449D"/>
    <w:rsid w:val="421109B6"/>
    <w:rsid w:val="42205950"/>
    <w:rsid w:val="4221776B"/>
    <w:rsid w:val="42220C2D"/>
    <w:rsid w:val="422D4E0E"/>
    <w:rsid w:val="423A3BCC"/>
    <w:rsid w:val="424E57D2"/>
    <w:rsid w:val="426125CF"/>
    <w:rsid w:val="42B26C49"/>
    <w:rsid w:val="42CD2C0B"/>
    <w:rsid w:val="42DD1357"/>
    <w:rsid w:val="42E17DEF"/>
    <w:rsid w:val="433A6FE6"/>
    <w:rsid w:val="43480868"/>
    <w:rsid w:val="434D31F4"/>
    <w:rsid w:val="4350713C"/>
    <w:rsid w:val="435B1BF9"/>
    <w:rsid w:val="435E77ED"/>
    <w:rsid w:val="435F387D"/>
    <w:rsid w:val="435F53F9"/>
    <w:rsid w:val="436653E0"/>
    <w:rsid w:val="43873B38"/>
    <w:rsid w:val="43917E43"/>
    <w:rsid w:val="43C4431A"/>
    <w:rsid w:val="44213381"/>
    <w:rsid w:val="44862465"/>
    <w:rsid w:val="44B951CC"/>
    <w:rsid w:val="44CD14E0"/>
    <w:rsid w:val="44DE708D"/>
    <w:rsid w:val="44F20B0B"/>
    <w:rsid w:val="45083623"/>
    <w:rsid w:val="450B5B21"/>
    <w:rsid w:val="450E5003"/>
    <w:rsid w:val="4519207C"/>
    <w:rsid w:val="4519550E"/>
    <w:rsid w:val="452E5F4C"/>
    <w:rsid w:val="454461C7"/>
    <w:rsid w:val="45611C3F"/>
    <w:rsid w:val="45612018"/>
    <w:rsid w:val="458946E9"/>
    <w:rsid w:val="45A47C0E"/>
    <w:rsid w:val="45B53671"/>
    <w:rsid w:val="45C049E4"/>
    <w:rsid w:val="45E0774E"/>
    <w:rsid w:val="460B58B3"/>
    <w:rsid w:val="46226934"/>
    <w:rsid w:val="462C7812"/>
    <w:rsid w:val="46577FD6"/>
    <w:rsid w:val="466C40D0"/>
    <w:rsid w:val="46C83729"/>
    <w:rsid w:val="46CD362D"/>
    <w:rsid w:val="46D06EA9"/>
    <w:rsid w:val="46D1677D"/>
    <w:rsid w:val="46D955A7"/>
    <w:rsid w:val="46EC38B4"/>
    <w:rsid w:val="47103AD6"/>
    <w:rsid w:val="47133957"/>
    <w:rsid w:val="47211043"/>
    <w:rsid w:val="472D7E58"/>
    <w:rsid w:val="47412FF1"/>
    <w:rsid w:val="478959B3"/>
    <w:rsid w:val="47A07E0C"/>
    <w:rsid w:val="47B15AAD"/>
    <w:rsid w:val="47C415B1"/>
    <w:rsid w:val="47CE0457"/>
    <w:rsid w:val="47D63B8E"/>
    <w:rsid w:val="47DA6FC2"/>
    <w:rsid w:val="47F630F4"/>
    <w:rsid w:val="48566341"/>
    <w:rsid w:val="4870272E"/>
    <w:rsid w:val="48836DBB"/>
    <w:rsid w:val="48AE0B5A"/>
    <w:rsid w:val="48E84F3D"/>
    <w:rsid w:val="48F462A8"/>
    <w:rsid w:val="493279A7"/>
    <w:rsid w:val="4963096F"/>
    <w:rsid w:val="49647D7D"/>
    <w:rsid w:val="496E4457"/>
    <w:rsid w:val="497004D0"/>
    <w:rsid w:val="49DC7715"/>
    <w:rsid w:val="49DD4384"/>
    <w:rsid w:val="4A023139"/>
    <w:rsid w:val="4A39241D"/>
    <w:rsid w:val="4A756F38"/>
    <w:rsid w:val="4A7B576F"/>
    <w:rsid w:val="4A7F1FCA"/>
    <w:rsid w:val="4A7F5CBF"/>
    <w:rsid w:val="4A8C30E7"/>
    <w:rsid w:val="4ABD44F4"/>
    <w:rsid w:val="4AD9363D"/>
    <w:rsid w:val="4AF561A9"/>
    <w:rsid w:val="4B16705D"/>
    <w:rsid w:val="4B71769C"/>
    <w:rsid w:val="4B900D85"/>
    <w:rsid w:val="4BCF5981"/>
    <w:rsid w:val="4BD06B63"/>
    <w:rsid w:val="4BDB21D3"/>
    <w:rsid w:val="4BE233FC"/>
    <w:rsid w:val="4C206CA4"/>
    <w:rsid w:val="4C48636C"/>
    <w:rsid w:val="4C4A0649"/>
    <w:rsid w:val="4C6D0CF6"/>
    <w:rsid w:val="4C7E5ECA"/>
    <w:rsid w:val="4C876AA5"/>
    <w:rsid w:val="4C8B1AC5"/>
    <w:rsid w:val="4CC8704A"/>
    <w:rsid w:val="4CD36B70"/>
    <w:rsid w:val="4D0241A8"/>
    <w:rsid w:val="4D0E00FB"/>
    <w:rsid w:val="4D176606"/>
    <w:rsid w:val="4D26277C"/>
    <w:rsid w:val="4D384F53"/>
    <w:rsid w:val="4D9834B9"/>
    <w:rsid w:val="4DAA4BC8"/>
    <w:rsid w:val="4DC97FD3"/>
    <w:rsid w:val="4DCE64BD"/>
    <w:rsid w:val="4DCF1283"/>
    <w:rsid w:val="4DEC4FB0"/>
    <w:rsid w:val="4DF255D5"/>
    <w:rsid w:val="4DFC0F8C"/>
    <w:rsid w:val="4DFD4DF7"/>
    <w:rsid w:val="4E052BE9"/>
    <w:rsid w:val="4E075D8A"/>
    <w:rsid w:val="4E1C0C26"/>
    <w:rsid w:val="4E237D58"/>
    <w:rsid w:val="4E2D7EA2"/>
    <w:rsid w:val="4EAC7402"/>
    <w:rsid w:val="4EC00FAD"/>
    <w:rsid w:val="4F186505"/>
    <w:rsid w:val="4F217219"/>
    <w:rsid w:val="4F302BDB"/>
    <w:rsid w:val="4F3E3578"/>
    <w:rsid w:val="4F415003"/>
    <w:rsid w:val="4F631549"/>
    <w:rsid w:val="4F89078D"/>
    <w:rsid w:val="4F9843DC"/>
    <w:rsid w:val="4FBD7B85"/>
    <w:rsid w:val="4FC62A8C"/>
    <w:rsid w:val="4FE20F0D"/>
    <w:rsid w:val="4FE51552"/>
    <w:rsid w:val="4FFD0FD6"/>
    <w:rsid w:val="502C7077"/>
    <w:rsid w:val="504612C2"/>
    <w:rsid w:val="50504C4B"/>
    <w:rsid w:val="505418DC"/>
    <w:rsid w:val="509C6E7C"/>
    <w:rsid w:val="511C0054"/>
    <w:rsid w:val="51257DF2"/>
    <w:rsid w:val="513C75A3"/>
    <w:rsid w:val="514402EF"/>
    <w:rsid w:val="5162104E"/>
    <w:rsid w:val="517D78EE"/>
    <w:rsid w:val="51A5040D"/>
    <w:rsid w:val="51C163AF"/>
    <w:rsid w:val="51D02DC2"/>
    <w:rsid w:val="51D72D57"/>
    <w:rsid w:val="51D87B88"/>
    <w:rsid w:val="51EC522D"/>
    <w:rsid w:val="525B30B6"/>
    <w:rsid w:val="52921BFD"/>
    <w:rsid w:val="529F5CB0"/>
    <w:rsid w:val="52B0678D"/>
    <w:rsid w:val="52BB18E9"/>
    <w:rsid w:val="530E12FC"/>
    <w:rsid w:val="533845DF"/>
    <w:rsid w:val="5385419F"/>
    <w:rsid w:val="53897DFB"/>
    <w:rsid w:val="538E0A00"/>
    <w:rsid w:val="539150AB"/>
    <w:rsid w:val="53A039CC"/>
    <w:rsid w:val="53A1505A"/>
    <w:rsid w:val="53C33B6F"/>
    <w:rsid w:val="54063E08"/>
    <w:rsid w:val="541303D5"/>
    <w:rsid w:val="543437E8"/>
    <w:rsid w:val="54776BB6"/>
    <w:rsid w:val="547F1F0F"/>
    <w:rsid w:val="54817E66"/>
    <w:rsid w:val="549F775E"/>
    <w:rsid w:val="54F40207"/>
    <w:rsid w:val="54F73313"/>
    <w:rsid w:val="54F80955"/>
    <w:rsid w:val="5530322A"/>
    <w:rsid w:val="553A6B82"/>
    <w:rsid w:val="55461CE9"/>
    <w:rsid w:val="555170A7"/>
    <w:rsid w:val="55623C48"/>
    <w:rsid w:val="55776102"/>
    <w:rsid w:val="55807CEC"/>
    <w:rsid w:val="5587536D"/>
    <w:rsid w:val="55904E18"/>
    <w:rsid w:val="559B174B"/>
    <w:rsid w:val="55AC012E"/>
    <w:rsid w:val="55C51FC7"/>
    <w:rsid w:val="55CE0CF4"/>
    <w:rsid w:val="55DF67F9"/>
    <w:rsid w:val="55F940F1"/>
    <w:rsid w:val="561251CC"/>
    <w:rsid w:val="56822410"/>
    <w:rsid w:val="56A75F4D"/>
    <w:rsid w:val="56B22A9C"/>
    <w:rsid w:val="56C50A58"/>
    <w:rsid w:val="576854F3"/>
    <w:rsid w:val="577C4766"/>
    <w:rsid w:val="578C0BCA"/>
    <w:rsid w:val="57B72A76"/>
    <w:rsid w:val="57C3426C"/>
    <w:rsid w:val="57C6510F"/>
    <w:rsid w:val="57CE1F93"/>
    <w:rsid w:val="57DF4680"/>
    <w:rsid w:val="57E53239"/>
    <w:rsid w:val="57FF75EE"/>
    <w:rsid w:val="580B3CD0"/>
    <w:rsid w:val="580E7831"/>
    <w:rsid w:val="582E1C82"/>
    <w:rsid w:val="588743D1"/>
    <w:rsid w:val="5887505A"/>
    <w:rsid w:val="5887701A"/>
    <w:rsid w:val="58B33F35"/>
    <w:rsid w:val="58BA1767"/>
    <w:rsid w:val="58BD6B62"/>
    <w:rsid w:val="58C726A2"/>
    <w:rsid w:val="58FF592C"/>
    <w:rsid w:val="59371E2A"/>
    <w:rsid w:val="599B6DB6"/>
    <w:rsid w:val="59C0439F"/>
    <w:rsid w:val="59EC24A4"/>
    <w:rsid w:val="5A5556B3"/>
    <w:rsid w:val="5AB66C71"/>
    <w:rsid w:val="5AB91385"/>
    <w:rsid w:val="5ABE2233"/>
    <w:rsid w:val="5AC022F3"/>
    <w:rsid w:val="5ACC6FD8"/>
    <w:rsid w:val="5ADA22C5"/>
    <w:rsid w:val="5AF4436C"/>
    <w:rsid w:val="5B3816B8"/>
    <w:rsid w:val="5B7A485D"/>
    <w:rsid w:val="5B891F73"/>
    <w:rsid w:val="5BB11028"/>
    <w:rsid w:val="5BB73B7E"/>
    <w:rsid w:val="5BDF5D95"/>
    <w:rsid w:val="5BED63C8"/>
    <w:rsid w:val="5BFE7528"/>
    <w:rsid w:val="5C040B4A"/>
    <w:rsid w:val="5C120A6D"/>
    <w:rsid w:val="5C317F92"/>
    <w:rsid w:val="5C726BE1"/>
    <w:rsid w:val="5C885B27"/>
    <w:rsid w:val="5C8A1212"/>
    <w:rsid w:val="5C9B66E3"/>
    <w:rsid w:val="5C9F449C"/>
    <w:rsid w:val="5CB739DC"/>
    <w:rsid w:val="5CC42F36"/>
    <w:rsid w:val="5D011AC0"/>
    <w:rsid w:val="5D090336"/>
    <w:rsid w:val="5D0F5F09"/>
    <w:rsid w:val="5D1F467E"/>
    <w:rsid w:val="5D2D075A"/>
    <w:rsid w:val="5D3A4C25"/>
    <w:rsid w:val="5D5366E7"/>
    <w:rsid w:val="5D5C4F84"/>
    <w:rsid w:val="5D5D5272"/>
    <w:rsid w:val="5D63417B"/>
    <w:rsid w:val="5DCF7F17"/>
    <w:rsid w:val="5DD30E71"/>
    <w:rsid w:val="5E1B0577"/>
    <w:rsid w:val="5E2467F1"/>
    <w:rsid w:val="5E751504"/>
    <w:rsid w:val="5EA36A26"/>
    <w:rsid w:val="5EB44D5F"/>
    <w:rsid w:val="5ED574D6"/>
    <w:rsid w:val="5EE81CB5"/>
    <w:rsid w:val="5F04716E"/>
    <w:rsid w:val="5F1A2B43"/>
    <w:rsid w:val="5F275E09"/>
    <w:rsid w:val="5F3C5259"/>
    <w:rsid w:val="5F444A93"/>
    <w:rsid w:val="5F6366B5"/>
    <w:rsid w:val="5F636E7A"/>
    <w:rsid w:val="5F803225"/>
    <w:rsid w:val="5F82492F"/>
    <w:rsid w:val="5F957AB9"/>
    <w:rsid w:val="5FB837BB"/>
    <w:rsid w:val="5FC8327A"/>
    <w:rsid w:val="60391310"/>
    <w:rsid w:val="603E6271"/>
    <w:rsid w:val="605060C1"/>
    <w:rsid w:val="6065484F"/>
    <w:rsid w:val="60890DC1"/>
    <w:rsid w:val="609440A6"/>
    <w:rsid w:val="60C9788F"/>
    <w:rsid w:val="60CC405A"/>
    <w:rsid w:val="60E977CF"/>
    <w:rsid w:val="6111693C"/>
    <w:rsid w:val="613B181F"/>
    <w:rsid w:val="61597845"/>
    <w:rsid w:val="616C0EBD"/>
    <w:rsid w:val="61771CA4"/>
    <w:rsid w:val="618D2F06"/>
    <w:rsid w:val="619A2136"/>
    <w:rsid w:val="61E062F9"/>
    <w:rsid w:val="61E215D8"/>
    <w:rsid w:val="61F821CD"/>
    <w:rsid w:val="62070517"/>
    <w:rsid w:val="621B3775"/>
    <w:rsid w:val="622C06BD"/>
    <w:rsid w:val="62364782"/>
    <w:rsid w:val="625524C3"/>
    <w:rsid w:val="62BE353F"/>
    <w:rsid w:val="62CC78E7"/>
    <w:rsid w:val="62DE1DC5"/>
    <w:rsid w:val="62E0654E"/>
    <w:rsid w:val="62EB5BA9"/>
    <w:rsid w:val="62F27738"/>
    <w:rsid w:val="633F4351"/>
    <w:rsid w:val="634265CE"/>
    <w:rsid w:val="63620412"/>
    <w:rsid w:val="6394356A"/>
    <w:rsid w:val="63B13457"/>
    <w:rsid w:val="63C61B2C"/>
    <w:rsid w:val="63D01E3F"/>
    <w:rsid w:val="63D40BE9"/>
    <w:rsid w:val="63F275D3"/>
    <w:rsid w:val="640137DE"/>
    <w:rsid w:val="64102431"/>
    <w:rsid w:val="641A26E5"/>
    <w:rsid w:val="641D19A9"/>
    <w:rsid w:val="6449383A"/>
    <w:rsid w:val="64922473"/>
    <w:rsid w:val="64A5243A"/>
    <w:rsid w:val="64B32242"/>
    <w:rsid w:val="64F531DE"/>
    <w:rsid w:val="6510024E"/>
    <w:rsid w:val="651931E3"/>
    <w:rsid w:val="652E5108"/>
    <w:rsid w:val="65373578"/>
    <w:rsid w:val="656854E8"/>
    <w:rsid w:val="658203FE"/>
    <w:rsid w:val="65982B66"/>
    <w:rsid w:val="65A215B9"/>
    <w:rsid w:val="65A40F6F"/>
    <w:rsid w:val="65CF420C"/>
    <w:rsid w:val="66026DB5"/>
    <w:rsid w:val="66106E6A"/>
    <w:rsid w:val="6630410B"/>
    <w:rsid w:val="663D6E4A"/>
    <w:rsid w:val="66512605"/>
    <w:rsid w:val="665F3237"/>
    <w:rsid w:val="668D4A74"/>
    <w:rsid w:val="66AC4ECE"/>
    <w:rsid w:val="66C52595"/>
    <w:rsid w:val="66D11E25"/>
    <w:rsid w:val="67040CE3"/>
    <w:rsid w:val="67047D8B"/>
    <w:rsid w:val="671F124A"/>
    <w:rsid w:val="674A545A"/>
    <w:rsid w:val="67775575"/>
    <w:rsid w:val="677A33C6"/>
    <w:rsid w:val="678514C0"/>
    <w:rsid w:val="678A0557"/>
    <w:rsid w:val="678B1E3E"/>
    <w:rsid w:val="67A91325"/>
    <w:rsid w:val="67DB076F"/>
    <w:rsid w:val="67DC5256"/>
    <w:rsid w:val="67E03307"/>
    <w:rsid w:val="681F6961"/>
    <w:rsid w:val="685C0409"/>
    <w:rsid w:val="68610A2F"/>
    <w:rsid w:val="68617463"/>
    <w:rsid w:val="68805514"/>
    <w:rsid w:val="688721DA"/>
    <w:rsid w:val="688875A4"/>
    <w:rsid w:val="689B39B3"/>
    <w:rsid w:val="68C538AD"/>
    <w:rsid w:val="68CF159A"/>
    <w:rsid w:val="68E5638C"/>
    <w:rsid w:val="69017AC8"/>
    <w:rsid w:val="69182250"/>
    <w:rsid w:val="691D3513"/>
    <w:rsid w:val="69313863"/>
    <w:rsid w:val="69316E2F"/>
    <w:rsid w:val="693F388F"/>
    <w:rsid w:val="694447C8"/>
    <w:rsid w:val="694B4271"/>
    <w:rsid w:val="694E2071"/>
    <w:rsid w:val="69520B2D"/>
    <w:rsid w:val="696510BA"/>
    <w:rsid w:val="69766163"/>
    <w:rsid w:val="697A3B33"/>
    <w:rsid w:val="69877444"/>
    <w:rsid w:val="698E38EF"/>
    <w:rsid w:val="6993437B"/>
    <w:rsid w:val="69A70E63"/>
    <w:rsid w:val="69AB7F25"/>
    <w:rsid w:val="69B11CC2"/>
    <w:rsid w:val="69C73C06"/>
    <w:rsid w:val="69CA10DE"/>
    <w:rsid w:val="69CF0253"/>
    <w:rsid w:val="69D16911"/>
    <w:rsid w:val="69D44760"/>
    <w:rsid w:val="69DF783E"/>
    <w:rsid w:val="69ED0C16"/>
    <w:rsid w:val="6A0450F6"/>
    <w:rsid w:val="6A056D78"/>
    <w:rsid w:val="6A1005B1"/>
    <w:rsid w:val="6A1B22BF"/>
    <w:rsid w:val="6A2518F0"/>
    <w:rsid w:val="6A4E2E50"/>
    <w:rsid w:val="6A520EC7"/>
    <w:rsid w:val="6A697570"/>
    <w:rsid w:val="6A8E549C"/>
    <w:rsid w:val="6A933D82"/>
    <w:rsid w:val="6AB724ED"/>
    <w:rsid w:val="6AC83870"/>
    <w:rsid w:val="6ACA7D81"/>
    <w:rsid w:val="6AD0590A"/>
    <w:rsid w:val="6AF87E20"/>
    <w:rsid w:val="6B133D48"/>
    <w:rsid w:val="6B322639"/>
    <w:rsid w:val="6B8C3CA2"/>
    <w:rsid w:val="6BAC0161"/>
    <w:rsid w:val="6C005149"/>
    <w:rsid w:val="6C314E5C"/>
    <w:rsid w:val="6C4A06C2"/>
    <w:rsid w:val="6C636C38"/>
    <w:rsid w:val="6CA16A6E"/>
    <w:rsid w:val="6CA67C13"/>
    <w:rsid w:val="6CBA12FB"/>
    <w:rsid w:val="6D052E3A"/>
    <w:rsid w:val="6D2D73B5"/>
    <w:rsid w:val="6D4A1D4A"/>
    <w:rsid w:val="6D5D4199"/>
    <w:rsid w:val="6D632275"/>
    <w:rsid w:val="6DB34098"/>
    <w:rsid w:val="6DB545B6"/>
    <w:rsid w:val="6DDE39F2"/>
    <w:rsid w:val="6DE02FB4"/>
    <w:rsid w:val="6DE40BAD"/>
    <w:rsid w:val="6DFA5D8B"/>
    <w:rsid w:val="6E056665"/>
    <w:rsid w:val="6E1323D2"/>
    <w:rsid w:val="6E1E4572"/>
    <w:rsid w:val="6E2D223D"/>
    <w:rsid w:val="6E4F4146"/>
    <w:rsid w:val="6E514CED"/>
    <w:rsid w:val="6E623CFD"/>
    <w:rsid w:val="6E7F6EA2"/>
    <w:rsid w:val="6E8B52E0"/>
    <w:rsid w:val="6E8C2E06"/>
    <w:rsid w:val="6EB563D5"/>
    <w:rsid w:val="6ED92677"/>
    <w:rsid w:val="6EE406AC"/>
    <w:rsid w:val="6F225983"/>
    <w:rsid w:val="6F2F02CE"/>
    <w:rsid w:val="6F302CBB"/>
    <w:rsid w:val="6F3D1479"/>
    <w:rsid w:val="6F5D0AEB"/>
    <w:rsid w:val="6F6959BA"/>
    <w:rsid w:val="6FFC5590"/>
    <w:rsid w:val="70241DD7"/>
    <w:rsid w:val="706B47A9"/>
    <w:rsid w:val="706D1DD0"/>
    <w:rsid w:val="70815B0F"/>
    <w:rsid w:val="70856B87"/>
    <w:rsid w:val="70AA73F9"/>
    <w:rsid w:val="70BF5022"/>
    <w:rsid w:val="70D527EE"/>
    <w:rsid w:val="70E1141A"/>
    <w:rsid w:val="71003FE6"/>
    <w:rsid w:val="71031F9C"/>
    <w:rsid w:val="71127B9B"/>
    <w:rsid w:val="71251F7C"/>
    <w:rsid w:val="712D01D1"/>
    <w:rsid w:val="71410EDE"/>
    <w:rsid w:val="715B5300"/>
    <w:rsid w:val="718E43F8"/>
    <w:rsid w:val="718E5902"/>
    <w:rsid w:val="71D27F8A"/>
    <w:rsid w:val="71F825F1"/>
    <w:rsid w:val="71FF29F4"/>
    <w:rsid w:val="720E534A"/>
    <w:rsid w:val="72156009"/>
    <w:rsid w:val="72553024"/>
    <w:rsid w:val="7285284B"/>
    <w:rsid w:val="728A2FD0"/>
    <w:rsid w:val="72F96B8A"/>
    <w:rsid w:val="73122968"/>
    <w:rsid w:val="731F5D5E"/>
    <w:rsid w:val="732F1926"/>
    <w:rsid w:val="737E32EA"/>
    <w:rsid w:val="73C51AD5"/>
    <w:rsid w:val="73F24D5A"/>
    <w:rsid w:val="74170238"/>
    <w:rsid w:val="741E793C"/>
    <w:rsid w:val="74276D17"/>
    <w:rsid w:val="74393855"/>
    <w:rsid w:val="743B2627"/>
    <w:rsid w:val="744917F4"/>
    <w:rsid w:val="745E3944"/>
    <w:rsid w:val="749F40A2"/>
    <w:rsid w:val="74F11F67"/>
    <w:rsid w:val="74F1655B"/>
    <w:rsid w:val="75106C6C"/>
    <w:rsid w:val="75243D99"/>
    <w:rsid w:val="754B7416"/>
    <w:rsid w:val="754C17BB"/>
    <w:rsid w:val="754E4A1F"/>
    <w:rsid w:val="75797C0B"/>
    <w:rsid w:val="759910C2"/>
    <w:rsid w:val="75A1363B"/>
    <w:rsid w:val="75C301AF"/>
    <w:rsid w:val="75C86E1A"/>
    <w:rsid w:val="75D147EA"/>
    <w:rsid w:val="75DD320D"/>
    <w:rsid w:val="75E83CBD"/>
    <w:rsid w:val="75EE39E4"/>
    <w:rsid w:val="7635099D"/>
    <w:rsid w:val="76371577"/>
    <w:rsid w:val="763C33CC"/>
    <w:rsid w:val="763D3998"/>
    <w:rsid w:val="765E3944"/>
    <w:rsid w:val="766942F3"/>
    <w:rsid w:val="766B233D"/>
    <w:rsid w:val="769B452E"/>
    <w:rsid w:val="76D31F1A"/>
    <w:rsid w:val="77132317"/>
    <w:rsid w:val="77364257"/>
    <w:rsid w:val="77395FE9"/>
    <w:rsid w:val="7756434C"/>
    <w:rsid w:val="776E55E8"/>
    <w:rsid w:val="7773221D"/>
    <w:rsid w:val="77740388"/>
    <w:rsid w:val="77762421"/>
    <w:rsid w:val="77B56B1F"/>
    <w:rsid w:val="77C30229"/>
    <w:rsid w:val="77D11FA1"/>
    <w:rsid w:val="77E744C6"/>
    <w:rsid w:val="77ED4049"/>
    <w:rsid w:val="780C2DA9"/>
    <w:rsid w:val="780F09F4"/>
    <w:rsid w:val="781510E2"/>
    <w:rsid w:val="783B6E03"/>
    <w:rsid w:val="78727E6D"/>
    <w:rsid w:val="787710DB"/>
    <w:rsid w:val="78A2099B"/>
    <w:rsid w:val="78A90480"/>
    <w:rsid w:val="78B36A8C"/>
    <w:rsid w:val="78B83176"/>
    <w:rsid w:val="78BF6145"/>
    <w:rsid w:val="78D21D5D"/>
    <w:rsid w:val="78E21FA1"/>
    <w:rsid w:val="78E87052"/>
    <w:rsid w:val="78EA6A67"/>
    <w:rsid w:val="78F326BE"/>
    <w:rsid w:val="78FD2481"/>
    <w:rsid w:val="790D0768"/>
    <w:rsid w:val="791A285B"/>
    <w:rsid w:val="791E4FA3"/>
    <w:rsid w:val="79375137"/>
    <w:rsid w:val="793D5FA7"/>
    <w:rsid w:val="794B0E75"/>
    <w:rsid w:val="798C39B4"/>
    <w:rsid w:val="798F24AB"/>
    <w:rsid w:val="79D34622"/>
    <w:rsid w:val="79E70ECE"/>
    <w:rsid w:val="7A117F06"/>
    <w:rsid w:val="7A133D3C"/>
    <w:rsid w:val="7A2C5F9D"/>
    <w:rsid w:val="7A364017"/>
    <w:rsid w:val="7A3E58FC"/>
    <w:rsid w:val="7A402080"/>
    <w:rsid w:val="7A4647B1"/>
    <w:rsid w:val="7A7505B8"/>
    <w:rsid w:val="7A8265E1"/>
    <w:rsid w:val="7B686D42"/>
    <w:rsid w:val="7B6960EA"/>
    <w:rsid w:val="7B841746"/>
    <w:rsid w:val="7BAE782E"/>
    <w:rsid w:val="7BDE6FC1"/>
    <w:rsid w:val="7C1E44CC"/>
    <w:rsid w:val="7C2E7EB6"/>
    <w:rsid w:val="7C2F42D0"/>
    <w:rsid w:val="7C597FAC"/>
    <w:rsid w:val="7C5C650E"/>
    <w:rsid w:val="7C663B4C"/>
    <w:rsid w:val="7C6C5AC7"/>
    <w:rsid w:val="7CB4696C"/>
    <w:rsid w:val="7CBC6344"/>
    <w:rsid w:val="7CC6544B"/>
    <w:rsid w:val="7D0239FF"/>
    <w:rsid w:val="7D4A1712"/>
    <w:rsid w:val="7D5E40CD"/>
    <w:rsid w:val="7D9B4E14"/>
    <w:rsid w:val="7DBD318E"/>
    <w:rsid w:val="7DCD56F2"/>
    <w:rsid w:val="7DCE6F97"/>
    <w:rsid w:val="7DE954EF"/>
    <w:rsid w:val="7E266DD3"/>
    <w:rsid w:val="7E3D5ECB"/>
    <w:rsid w:val="7E48253A"/>
    <w:rsid w:val="7E7B38FA"/>
    <w:rsid w:val="7E8835EA"/>
    <w:rsid w:val="7E8B34AA"/>
    <w:rsid w:val="7EB11F67"/>
    <w:rsid w:val="7EBB2477"/>
    <w:rsid w:val="7EBE525E"/>
    <w:rsid w:val="7ECC46EB"/>
    <w:rsid w:val="7EED5B43"/>
    <w:rsid w:val="7F001CE7"/>
    <w:rsid w:val="7F2473A9"/>
    <w:rsid w:val="7F2721BE"/>
    <w:rsid w:val="7F3472CE"/>
    <w:rsid w:val="7F3942CE"/>
    <w:rsid w:val="7F3A0D02"/>
    <w:rsid w:val="7F4321BE"/>
    <w:rsid w:val="7F45144D"/>
    <w:rsid w:val="7FD840FD"/>
    <w:rsid w:val="7FDD6AB2"/>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99"/>
    <w:pPr>
      <w:keepNext/>
      <w:overflowPunct w:val="0"/>
      <w:snapToGrid w:val="0"/>
      <w:spacing w:line="520" w:lineRule="exact"/>
      <w:ind w:left="0" w:firstLine="0"/>
      <w:outlineLvl w:val="0"/>
    </w:pPr>
    <w:rPr>
      <w:rFonts w:ascii="Times New Roman" w:hAnsi="Times New Roman" w:eastAsia="宋体"/>
      <w:b/>
      <w:bCs/>
      <w:color w:val="000000"/>
      <w:kern w:val="44"/>
      <w:sz w:val="24"/>
      <w:szCs w:val="30"/>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eastAsia="仿宋_GB2312"/>
      <w:bCs/>
      <w:sz w:val="32"/>
      <w:szCs w:val="20"/>
    </w:rPr>
  </w:style>
  <w:style w:type="paragraph" w:styleId="6">
    <w:name w:val="annotation text"/>
    <w:basedOn w:val="1"/>
    <w:link w:val="32"/>
    <w:qFormat/>
    <w:uiPriority w:val="0"/>
    <w:pPr>
      <w:jc w:val="left"/>
    </w:pPr>
    <w:rPr>
      <w:kern w:val="0"/>
      <w:sz w:val="24"/>
      <w:szCs w:val="20"/>
    </w:rPr>
  </w:style>
  <w:style w:type="paragraph" w:styleId="7">
    <w:name w:val="Body Text"/>
    <w:basedOn w:val="1"/>
    <w:link w:val="33"/>
    <w:qFormat/>
    <w:uiPriority w:val="0"/>
    <w:pPr>
      <w:widowControl/>
      <w:snapToGrid w:val="0"/>
      <w:spacing w:line="520" w:lineRule="exact"/>
      <w:ind w:right="0" w:firstLine="720" w:firstLineChars="200"/>
      <w:jc w:val="left"/>
    </w:pPr>
    <w:rPr>
      <w:rFonts w:ascii="Times New Roman" w:hAnsi="Times New Roman" w:eastAsia="宋体"/>
      <w:kern w:val="0"/>
      <w:sz w:val="24"/>
      <w:szCs w:val="20"/>
    </w:rPr>
  </w:style>
  <w:style w:type="paragraph" w:styleId="8">
    <w:name w:val="Body Text Indent"/>
    <w:basedOn w:val="1"/>
    <w:link w:val="34"/>
    <w:qFormat/>
    <w:uiPriority w:val="0"/>
    <w:pPr>
      <w:spacing w:after="120"/>
      <w:ind w:left="420" w:leftChars="200"/>
    </w:pPr>
    <w:rPr>
      <w:kern w:val="0"/>
      <w:sz w:val="24"/>
      <w:szCs w:val="20"/>
    </w:rPr>
  </w:style>
  <w:style w:type="paragraph" w:styleId="9">
    <w:name w:val="List 2"/>
    <w:basedOn w:val="1"/>
    <w:unhideWhenUsed/>
    <w:qFormat/>
    <w:uiPriority w:val="0"/>
    <w:pPr>
      <w:widowControl w:val="0"/>
      <w:adjustRightInd/>
      <w:snapToGrid/>
      <w:ind w:left="100" w:leftChars="200" w:hanging="200" w:hangingChars="200"/>
      <w:contextualSpacing/>
    </w:pPr>
    <w:rPr>
      <w:szCs w:val="22"/>
      <w:lang w:bidi="ar-SA"/>
    </w:rPr>
  </w:style>
  <w:style w:type="paragraph" w:styleId="10">
    <w:name w:val="Date"/>
    <w:basedOn w:val="1"/>
    <w:next w:val="1"/>
    <w:link w:val="35"/>
    <w:qFormat/>
    <w:uiPriority w:val="0"/>
    <w:pPr>
      <w:ind w:left="100" w:leftChars="2500"/>
    </w:pPr>
    <w:rPr>
      <w:kern w:val="0"/>
      <w:sz w:val="24"/>
      <w:szCs w:val="20"/>
    </w:rPr>
  </w:style>
  <w:style w:type="paragraph" w:styleId="11">
    <w:name w:val="Body Text Indent 2"/>
    <w:basedOn w:val="1"/>
    <w:next w:val="1"/>
    <w:qFormat/>
    <w:uiPriority w:val="0"/>
    <w:pPr>
      <w:spacing w:after="120" w:line="480" w:lineRule="auto"/>
      <w:ind w:left="420" w:leftChars="200"/>
    </w:pPr>
  </w:style>
  <w:style w:type="paragraph" w:styleId="12">
    <w:name w:val="Balloon Text"/>
    <w:basedOn w:val="1"/>
    <w:link w:val="36"/>
    <w:semiHidden/>
    <w:qFormat/>
    <w:uiPriority w:val="0"/>
    <w:rPr>
      <w:kern w:val="0"/>
      <w:sz w:val="18"/>
      <w:szCs w:val="20"/>
    </w:rPr>
  </w:style>
  <w:style w:type="paragraph" w:styleId="13">
    <w:name w:val="footer"/>
    <w:basedOn w:val="1"/>
    <w:link w:val="37"/>
    <w:qFormat/>
    <w:uiPriority w:val="99"/>
    <w:pPr>
      <w:tabs>
        <w:tab w:val="center" w:pos="4153"/>
        <w:tab w:val="right" w:pos="8306"/>
      </w:tabs>
      <w:snapToGrid w:val="0"/>
      <w:jc w:val="left"/>
    </w:pPr>
    <w:rPr>
      <w:kern w:val="0"/>
      <w:sz w:val="18"/>
      <w:szCs w:val="20"/>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List Continue 4"/>
    <w:basedOn w:val="1"/>
    <w:next w:val="1"/>
    <w:qFormat/>
    <w:uiPriority w:val="0"/>
    <w:pPr>
      <w:adjustRightInd w:val="0"/>
      <w:snapToGrid w:val="0"/>
      <w:spacing w:after="120" w:line="360" w:lineRule="auto"/>
      <w:ind w:left="1680" w:firstLine="480" w:firstLineChars="200"/>
    </w:pPr>
    <w:rPr>
      <w:rFonts w:ascii="宋体" w:hAnsi="Times New Roman"/>
      <w:sz w:val="24"/>
      <w:szCs w:val="20"/>
    </w:rPr>
  </w:style>
  <w:style w:type="paragraph" w:styleId="16">
    <w:name w:val="index heading"/>
    <w:basedOn w:val="1"/>
    <w:next w:val="17"/>
    <w:qFormat/>
    <w:uiPriority w:val="0"/>
    <w:pPr>
      <w:adjustRightInd w:val="0"/>
      <w:spacing w:line="360" w:lineRule="atLeast"/>
      <w:jc w:val="left"/>
      <w:textAlignment w:val="baseline"/>
    </w:pPr>
    <w:rPr>
      <w:kern w:val="44"/>
      <w:sz w:val="28"/>
    </w:rPr>
  </w:style>
  <w:style w:type="paragraph" w:styleId="17">
    <w:name w:val="index 1"/>
    <w:basedOn w:val="1"/>
    <w:next w:val="1"/>
    <w:qFormat/>
    <w:uiPriority w:val="0"/>
    <w:pPr>
      <w:spacing w:line="480" w:lineRule="exact"/>
    </w:pPr>
    <w:rPr>
      <w:szCs w:val="24"/>
    </w:rPr>
  </w:style>
  <w:style w:type="paragraph" w:styleId="18">
    <w:name w:val="List"/>
    <w:basedOn w:val="1"/>
    <w:qFormat/>
    <w:uiPriority w:val="0"/>
    <w:pPr>
      <w:ind w:left="200" w:hanging="200" w:hangingChars="200"/>
    </w:pPr>
    <w:rPr>
      <w:rFonts w:ascii="Times New Roman" w:hAnsi="Times New Roman" w:eastAsia="宋体" w:cs="Times New Roman"/>
      <w:szCs w:val="24"/>
    </w:rPr>
  </w:style>
  <w:style w:type="paragraph" w:styleId="19">
    <w:name w:val="Normal (Web)"/>
    <w:basedOn w:val="1"/>
    <w:link w:val="39"/>
    <w:qFormat/>
    <w:uiPriority w:val="0"/>
    <w:pPr>
      <w:widowControl/>
      <w:spacing w:before="100" w:beforeAutospacing="1" w:after="100" w:afterAutospacing="1"/>
      <w:jc w:val="left"/>
    </w:pPr>
    <w:rPr>
      <w:rFonts w:ascii="宋体" w:hAnsi="宋体"/>
      <w:kern w:val="0"/>
      <w:sz w:val="24"/>
      <w:szCs w:val="20"/>
    </w:rPr>
  </w:style>
  <w:style w:type="paragraph" w:styleId="20">
    <w:name w:val="Title"/>
    <w:basedOn w:val="1"/>
    <w:next w:val="1"/>
    <w:qFormat/>
    <w:uiPriority w:val="0"/>
    <w:pPr>
      <w:spacing w:line="240" w:lineRule="auto"/>
      <w:jc w:val="left"/>
    </w:pPr>
    <w:rPr>
      <w:rFonts w:ascii="Times New Roman" w:hAnsi="Times New Roman"/>
      <w:b/>
      <w:bCs/>
      <w:color w:val="000000"/>
      <w:szCs w:val="20"/>
    </w:rPr>
  </w:style>
  <w:style w:type="paragraph" w:styleId="21">
    <w:name w:val="annotation subject"/>
    <w:basedOn w:val="6"/>
    <w:next w:val="6"/>
    <w:link w:val="40"/>
    <w:semiHidden/>
    <w:qFormat/>
    <w:uiPriority w:val="0"/>
    <w:rPr>
      <w:b/>
      <w:sz w:val="24"/>
      <w:szCs w:val="20"/>
    </w:rPr>
  </w:style>
  <w:style w:type="paragraph" w:styleId="22">
    <w:name w:val="Body Text First Indent"/>
    <w:basedOn w:val="7"/>
    <w:next w:val="1"/>
    <w:qFormat/>
    <w:uiPriority w:val="0"/>
    <w:pPr>
      <w:spacing w:after="120" w:line="240" w:lineRule="auto"/>
      <w:ind w:firstLine="420" w:firstLineChars="100"/>
    </w:pPr>
    <w:rPr>
      <w:rFonts w:ascii="Times New Roman"/>
      <w:color w:val="auto"/>
      <w:sz w:val="21"/>
    </w:rPr>
  </w:style>
  <w:style w:type="paragraph" w:styleId="23">
    <w:name w:val="Body Text First Indent 2"/>
    <w:basedOn w:val="1"/>
    <w:next w:val="22"/>
    <w:unhideWhenUsed/>
    <w:qFormat/>
    <w:uiPriority w:val="99"/>
    <w:pPr>
      <w:ind w:firstLine="420" w:firstLineChars="200"/>
    </w:pPr>
    <w:rPr>
      <w:rFonts w:ascii="Times New Roman" w:hAnsi="Times New Roman" w:eastAsia="宋体" w:cs="Times New Roman"/>
      <w:szCs w:val="24"/>
    </w:rPr>
  </w:style>
  <w:style w:type="table" w:styleId="25">
    <w:name w:val="Table Grid"/>
    <w:basedOn w:val="2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Emphasis"/>
    <w:basedOn w:val="26"/>
    <w:qFormat/>
    <w:uiPriority w:val="0"/>
    <w:rPr>
      <w:i/>
    </w:rPr>
  </w:style>
  <w:style w:type="character" w:styleId="30">
    <w:name w:val="Hyperlink"/>
    <w:basedOn w:val="26"/>
    <w:qFormat/>
    <w:uiPriority w:val="0"/>
    <w:rPr>
      <w:color w:val="0000FF"/>
      <w:u w:val="single"/>
    </w:rPr>
  </w:style>
  <w:style w:type="character" w:styleId="31">
    <w:name w:val="annotation reference"/>
    <w:semiHidden/>
    <w:qFormat/>
    <w:uiPriority w:val="0"/>
    <w:rPr>
      <w:sz w:val="21"/>
    </w:rPr>
  </w:style>
  <w:style w:type="character" w:customStyle="1" w:styleId="32">
    <w:name w:val="批注文字 Char"/>
    <w:link w:val="6"/>
    <w:qFormat/>
    <w:uiPriority w:val="0"/>
    <w:rPr>
      <w:rFonts w:ascii="Times New Roman" w:hAnsi="Times New Roman" w:eastAsia="宋体"/>
      <w:sz w:val="24"/>
    </w:rPr>
  </w:style>
  <w:style w:type="character" w:customStyle="1" w:styleId="33">
    <w:name w:val="正文文本 Char"/>
    <w:link w:val="7"/>
    <w:qFormat/>
    <w:uiPriority w:val="0"/>
    <w:rPr>
      <w:rFonts w:ascii="Times New Roman" w:hAnsi="Times New Roman" w:eastAsia="宋体"/>
      <w:sz w:val="24"/>
    </w:rPr>
  </w:style>
  <w:style w:type="character" w:customStyle="1" w:styleId="34">
    <w:name w:val="正文文本缩进 Char"/>
    <w:link w:val="8"/>
    <w:semiHidden/>
    <w:qFormat/>
    <w:uiPriority w:val="0"/>
    <w:rPr>
      <w:rFonts w:ascii="Times New Roman" w:hAnsi="Times New Roman" w:eastAsia="宋体"/>
      <w:sz w:val="24"/>
    </w:rPr>
  </w:style>
  <w:style w:type="character" w:customStyle="1" w:styleId="35">
    <w:name w:val="日期 Char"/>
    <w:link w:val="10"/>
    <w:qFormat/>
    <w:uiPriority w:val="0"/>
    <w:rPr>
      <w:rFonts w:ascii="Times New Roman" w:hAnsi="Times New Roman" w:eastAsia="宋体"/>
      <w:sz w:val="24"/>
    </w:rPr>
  </w:style>
  <w:style w:type="character" w:customStyle="1" w:styleId="36">
    <w:name w:val="批注框文本 Char"/>
    <w:link w:val="12"/>
    <w:semiHidden/>
    <w:qFormat/>
    <w:uiPriority w:val="0"/>
    <w:rPr>
      <w:rFonts w:ascii="Times New Roman" w:hAnsi="Times New Roman" w:eastAsia="宋体"/>
      <w:sz w:val="18"/>
    </w:rPr>
  </w:style>
  <w:style w:type="character" w:customStyle="1" w:styleId="37">
    <w:name w:val="页脚 Char"/>
    <w:link w:val="13"/>
    <w:qFormat/>
    <w:uiPriority w:val="99"/>
    <w:rPr>
      <w:sz w:val="18"/>
    </w:rPr>
  </w:style>
  <w:style w:type="character" w:customStyle="1" w:styleId="38">
    <w:name w:val="页眉 Char"/>
    <w:link w:val="14"/>
    <w:qFormat/>
    <w:uiPriority w:val="0"/>
    <w:rPr>
      <w:sz w:val="18"/>
    </w:rPr>
  </w:style>
  <w:style w:type="character" w:customStyle="1" w:styleId="39">
    <w:name w:val="普通(网站) Char"/>
    <w:link w:val="19"/>
    <w:qFormat/>
    <w:uiPriority w:val="0"/>
    <w:rPr>
      <w:rFonts w:ascii="宋体" w:hAnsi="宋体" w:eastAsia="宋体"/>
      <w:sz w:val="24"/>
    </w:rPr>
  </w:style>
  <w:style w:type="character" w:customStyle="1" w:styleId="40">
    <w:name w:val="批注主题 Char"/>
    <w:link w:val="21"/>
    <w:semiHidden/>
    <w:qFormat/>
    <w:uiPriority w:val="0"/>
    <w:rPr>
      <w:rFonts w:ascii="Times New Roman" w:hAnsi="Times New Roman" w:eastAsia="宋体"/>
      <w:b/>
      <w:kern w:val="2"/>
      <w:sz w:val="24"/>
    </w:rPr>
  </w:style>
  <w:style w:type="paragraph" w:customStyle="1" w:styleId="41">
    <w:name w:val="BodyTextIndent2"/>
    <w:qFormat/>
    <w:uiPriority w:val="0"/>
    <w:pPr>
      <w:widowControl w:val="0"/>
      <w:spacing w:after="120" w:line="480" w:lineRule="auto"/>
      <w:ind w:left="420" w:leftChars="200" w:firstLine="200" w:firstLineChars="200"/>
      <w:jc w:val="both"/>
    </w:pPr>
    <w:rPr>
      <w:rFonts w:ascii="Times New Roman" w:hAnsi="Times New Roman" w:eastAsia="宋体" w:cs="Times New Roman"/>
      <w:kern w:val="2"/>
      <w:sz w:val="21"/>
      <w:lang w:val="en-US" w:eastAsia="zh-CN" w:bidi="ar-SA"/>
    </w:rPr>
  </w:style>
  <w:style w:type="character" w:customStyle="1" w:styleId="42">
    <w:name w:val="正文文本 字符1"/>
    <w:semiHidden/>
    <w:qFormat/>
    <w:uiPriority w:val="0"/>
    <w:rPr>
      <w:rFonts w:ascii="Times New Roman" w:hAnsi="Times New Roman" w:eastAsia="宋体"/>
      <w:sz w:val="24"/>
    </w:rPr>
  </w:style>
  <w:style w:type="character" w:customStyle="1" w:styleId="43">
    <w:name w:val="书籍标题"/>
    <w:basedOn w:val="26"/>
    <w:qFormat/>
    <w:uiPriority w:val="0"/>
    <w:rPr>
      <w:b/>
      <w:smallCaps/>
      <w:spacing w:val="5"/>
    </w:rPr>
  </w:style>
  <w:style w:type="character" w:customStyle="1" w:styleId="44">
    <w:name w:val="_Style 1"/>
    <w:basedOn w:val="26"/>
    <w:qFormat/>
    <w:uiPriority w:val="0"/>
    <w:rPr>
      <w:b/>
      <w:smallCaps/>
      <w:spacing w:val="5"/>
    </w:rPr>
  </w:style>
  <w:style w:type="character" w:customStyle="1" w:styleId="45">
    <w:name w:val="日期 字符"/>
    <w:semiHidden/>
    <w:qFormat/>
    <w:uiPriority w:val="0"/>
    <w:rPr>
      <w:rFonts w:ascii="Times New Roman" w:hAnsi="Times New Roman" w:eastAsia="宋体"/>
      <w:sz w:val="24"/>
    </w:rPr>
  </w:style>
  <w:style w:type="character" w:customStyle="1" w:styleId="46">
    <w:name w:val="页脚 字符"/>
    <w:basedOn w:val="26"/>
    <w:qFormat/>
    <w:uiPriority w:val="99"/>
  </w:style>
  <w:style w:type="character" w:customStyle="1" w:styleId="47">
    <w:name w:val="批注文字 字符1"/>
    <w:semiHidden/>
    <w:qFormat/>
    <w:uiPriority w:val="0"/>
    <w:rPr>
      <w:rFonts w:ascii="Times New Roman" w:hAnsi="Times New Roman" w:eastAsia="宋体"/>
      <w:sz w:val="24"/>
    </w:rPr>
  </w:style>
  <w:style w:type="character" w:customStyle="1" w:styleId="48">
    <w:name w:val="表格 Char"/>
    <w:link w:val="49"/>
    <w:qFormat/>
    <w:uiPriority w:val="0"/>
    <w:rPr>
      <w:rFonts w:ascii="宋体" w:hAnsi="宋体" w:eastAsia="宋体"/>
      <w:b/>
      <w:sz w:val="21"/>
    </w:rPr>
  </w:style>
  <w:style w:type="paragraph" w:customStyle="1" w:styleId="49">
    <w:name w:val="表头"/>
    <w:basedOn w:val="1"/>
    <w:link w:val="48"/>
    <w:qFormat/>
    <w:uiPriority w:val="0"/>
    <w:pPr>
      <w:adjustRightInd w:val="0"/>
      <w:snapToGrid w:val="0"/>
      <w:spacing w:line="240" w:lineRule="auto"/>
      <w:jc w:val="center"/>
    </w:pPr>
    <w:rPr>
      <w:rFonts w:ascii="宋体" w:hAnsi="宋体" w:eastAsia="宋体"/>
      <w:b/>
      <w:kern w:val="0"/>
      <w:szCs w:val="20"/>
    </w:rPr>
  </w:style>
  <w:style w:type="paragraph" w:customStyle="1" w:styleId="50">
    <w:name w:val="标题-表"/>
    <w:basedOn w:val="1"/>
    <w:qFormat/>
    <w:uiPriority w:val="0"/>
    <w:pPr>
      <w:adjustRightInd w:val="0"/>
      <w:snapToGrid w:val="0"/>
      <w:spacing w:before="120" w:after="120"/>
      <w:ind w:firstLine="200" w:firstLineChars="200"/>
    </w:pPr>
    <w:rPr>
      <w:rFonts w:eastAsia="黑体"/>
    </w:rPr>
  </w:style>
  <w:style w:type="paragraph" w:customStyle="1" w:styleId="51">
    <w:name w:val="表格文字"/>
    <w:basedOn w:val="7"/>
    <w:qFormat/>
    <w:uiPriority w:val="0"/>
    <w:pPr>
      <w:autoSpaceDE w:val="0"/>
      <w:autoSpaceDN w:val="0"/>
      <w:adjustRightInd w:val="0"/>
      <w:jc w:val="center"/>
      <w:textAlignment w:val="bottom"/>
    </w:pPr>
    <w:rPr>
      <w:bCs/>
      <w:color w:val="000000"/>
      <w:spacing w:val="-11"/>
      <w:szCs w:val="21"/>
      <w:lang w:val="en-US" w:eastAsia="zh-CN"/>
    </w:rPr>
  </w:style>
  <w:style w:type="paragraph" w:customStyle="1" w:styleId="52">
    <w:name w:val="样式 样式 (中文) 楷体_GB2312 四号 行距: 固定值 26 磅 +"/>
    <w:basedOn w:val="1"/>
    <w:qFormat/>
    <w:uiPriority w:val="0"/>
    <w:pPr>
      <w:spacing w:line="360" w:lineRule="auto"/>
      <w:ind w:firstLine="480" w:firstLineChars="200"/>
    </w:pPr>
    <w:rPr>
      <w:kern w:val="0"/>
      <w:sz w:val="24"/>
    </w:rPr>
  </w:style>
  <w:style w:type="paragraph" w:customStyle="1" w:styleId="53">
    <w:name w:val="0正文"/>
    <w:basedOn w:val="19"/>
    <w:qFormat/>
    <w:uiPriority w:val="0"/>
    <w:pPr>
      <w:adjustRightInd w:val="0"/>
      <w:snapToGrid w:val="0"/>
      <w:spacing w:before="0" w:beforeAutospacing="0" w:after="0" w:afterAutospacing="0" w:line="440" w:lineRule="exact"/>
      <w:ind w:firstLine="200" w:firstLineChars="200"/>
      <w:jc w:val="both"/>
    </w:pPr>
    <w:rPr>
      <w:rFonts w:ascii="Times New Roman" w:hAnsi="Times New Roman" w:cs="Times New Roman"/>
      <w:kern w:val="2"/>
    </w:rPr>
  </w:style>
  <w:style w:type="paragraph" w:customStyle="1" w:styleId="54">
    <w:name w:val="正文！"/>
    <w:basedOn w:val="1"/>
    <w:qFormat/>
    <w:uiPriority w:val="0"/>
    <w:pPr>
      <w:spacing w:line="500" w:lineRule="exact"/>
      <w:ind w:firstLine="482"/>
    </w:pPr>
    <w:rPr>
      <w:rFonts w:ascii="楷体_GB2312" w:eastAsia="楷体_GB2312" w:cs="宋体"/>
      <w:sz w:val="24"/>
      <w:szCs w:val="20"/>
    </w:rPr>
  </w:style>
  <w:style w:type="paragraph" w:customStyle="1" w:styleId="5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aa正文 Char Char"/>
    <w:basedOn w:val="1"/>
    <w:qFormat/>
    <w:uiPriority w:val="0"/>
    <w:pPr>
      <w:spacing w:line="500" w:lineRule="exact"/>
      <w:ind w:firstLine="561"/>
    </w:pPr>
    <w:rPr>
      <w:rFonts w:eastAsia="Times New Roman"/>
      <w:sz w:val="24"/>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paragraph" w:styleId="58">
    <w:name w:val="List Paragraph"/>
    <w:basedOn w:val="1"/>
    <w:qFormat/>
    <w:uiPriority w:val="0"/>
    <w:pPr>
      <w:ind w:firstLine="420" w:firstLineChars="200"/>
    </w:pPr>
    <w:rPr>
      <w:szCs w:val="22"/>
    </w:rPr>
  </w:style>
  <w:style w:type="paragraph" w:customStyle="1" w:styleId="5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表格正文"/>
    <w:basedOn w:val="1"/>
    <w:qFormat/>
    <w:uiPriority w:val="0"/>
    <w:pPr>
      <w:spacing w:line="240" w:lineRule="auto"/>
      <w:ind w:firstLine="0" w:firstLineChars="0"/>
      <w:jc w:val="center"/>
    </w:pPr>
    <w:rPr>
      <w:sz w:val="21"/>
      <w:szCs w:val="24"/>
    </w:rPr>
  </w:style>
  <w:style w:type="paragraph" w:customStyle="1" w:styleId="61">
    <w:name w:val="biaotou"/>
    <w:basedOn w:val="50"/>
    <w:qFormat/>
    <w:uiPriority w:val="0"/>
    <w:pPr>
      <w:spacing w:before="0" w:after="0" w:line="240" w:lineRule="auto"/>
      <w:ind w:firstLine="0" w:firstLineChars="0"/>
      <w:jc w:val="center"/>
    </w:pPr>
    <w:rPr>
      <w:rFonts w:eastAsia="宋体"/>
      <w:b/>
      <w:sz w:val="21"/>
    </w:rPr>
  </w:style>
  <w:style w:type="paragraph" w:customStyle="1" w:styleId="62">
    <w:name w:val="baigeneirong"/>
    <w:basedOn w:val="1"/>
    <w:qFormat/>
    <w:uiPriority w:val="0"/>
    <w:pPr>
      <w:adjustRightInd w:val="0"/>
      <w:snapToGrid w:val="0"/>
      <w:spacing w:line="240" w:lineRule="auto"/>
      <w:jc w:val="center"/>
    </w:pPr>
    <w:rPr>
      <w:bCs/>
      <w:color w:val="000000"/>
      <w:sz w:val="21"/>
      <w:szCs w:val="21"/>
    </w:rPr>
  </w:style>
  <w:style w:type="paragraph" w:styleId="63">
    <w:name w:val="No Spacing"/>
    <w:basedOn w:val="18"/>
    <w:next w:val="1"/>
    <w:qFormat/>
    <w:uiPriority w:val="1"/>
    <w:pPr>
      <w:spacing w:line="240" w:lineRule="auto"/>
      <w:ind w:left="0" w:firstLine="0" w:firstLineChars="0"/>
      <w:jc w:val="center"/>
    </w:pPr>
    <w:rPr>
      <w:sz w:val="21"/>
    </w:rPr>
  </w:style>
  <w:style w:type="character" w:customStyle="1" w:styleId="64">
    <w:name w:val="font11"/>
    <w:basedOn w:val="26"/>
    <w:qFormat/>
    <w:uiPriority w:val="0"/>
    <w:rPr>
      <w:rFonts w:hint="default" w:ascii="Times New Roman" w:hAnsi="Times New Roman" w:cs="Times New Roman"/>
      <w:color w:val="000000"/>
      <w:sz w:val="21"/>
      <w:szCs w:val="21"/>
      <w:u w:val="none"/>
    </w:rPr>
  </w:style>
  <w:style w:type="table" w:customStyle="1" w:styleId="65">
    <w:name w:val="Table Normal"/>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66">
    <w:name w:val="表题"/>
    <w:basedOn w:val="1"/>
    <w:next w:val="1"/>
    <w:qFormat/>
    <w:uiPriority w:val="0"/>
    <w:pPr>
      <w:spacing w:before="50" w:beforeLines="50" w:line="240" w:lineRule="auto"/>
      <w:ind w:firstLine="0" w:firstLineChars="0"/>
      <w:jc w:val="center"/>
    </w:pPr>
    <w:rPr>
      <w:b/>
      <w:sz w:val="21"/>
    </w:rPr>
  </w:style>
  <w:style w:type="paragraph" w:customStyle="1" w:styleId="67">
    <w:name w:val="Table Text"/>
    <w:basedOn w:val="1"/>
    <w:semiHidden/>
    <w:qFormat/>
    <w:uiPriority w:val="0"/>
    <w:rPr>
      <w:rFonts w:ascii="宋体" w:hAnsi="宋体" w:eastAsia="宋体" w:cs="宋体"/>
      <w:sz w:val="21"/>
      <w:szCs w:val="21"/>
      <w:lang w:val="en-US" w:eastAsia="en-US" w:bidi="ar-SA"/>
    </w:rPr>
  </w:style>
  <w:style w:type="character" w:customStyle="1" w:styleId="68">
    <w:name w:val="标题 1 Char1"/>
    <w:link w:val="2"/>
    <w:qFormat/>
    <w:uiPriority w:val="99"/>
    <w:rPr>
      <w:rFonts w:ascii="Times New Roman" w:hAnsi="Times New Roman" w:eastAsia="宋体"/>
      <w:b/>
      <w:bCs/>
      <w:color w:val="000000"/>
      <w:kern w:val="44"/>
      <w:sz w:val="24"/>
      <w:szCs w:val="30"/>
    </w:rPr>
  </w:style>
  <w:style w:type="paragraph" w:customStyle="1" w:styleId="69">
    <w:name w:val="111表格内"/>
    <w:basedOn w:val="1"/>
    <w:qFormat/>
    <w:uiPriority w:val="0"/>
    <w:pPr>
      <w:wordWrap w:val="0"/>
      <w:jc w:val="center"/>
    </w:pPr>
    <w:rPr>
      <w:rFonts w:ascii="Times New Roman" w:hAnsi="Times New Roman" w:eastAsia="宋体"/>
      <w:szCs w:val="21"/>
    </w:rPr>
  </w:style>
  <w:style w:type="paragraph" w:customStyle="1" w:styleId="70">
    <w:name w:val="小标题啊啊啊啊啊"/>
    <w:basedOn w:val="1"/>
    <w:link w:val="79"/>
    <w:qFormat/>
    <w:uiPriority w:val="0"/>
    <w:pPr>
      <w:adjustRightInd w:val="0"/>
      <w:snapToGrid w:val="0"/>
      <w:spacing w:line="520" w:lineRule="exact"/>
      <w:jc w:val="left"/>
    </w:pPr>
    <w:rPr>
      <w:rFonts w:ascii="Times New Roman" w:hAnsi="Times New Roman" w:eastAsia="宋体" w:cs="宋体"/>
      <w:b/>
      <w:kern w:val="0"/>
      <w:sz w:val="24"/>
    </w:rPr>
  </w:style>
  <w:style w:type="paragraph" w:customStyle="1" w:styleId="71">
    <w:name w:val="正文格式啊啊啊啊"/>
    <w:basedOn w:val="1"/>
    <w:qFormat/>
    <w:uiPriority w:val="0"/>
    <w:pPr>
      <w:wordWrap w:val="0"/>
      <w:adjustRightInd w:val="0"/>
      <w:snapToGrid w:val="0"/>
      <w:spacing w:line="520" w:lineRule="exact"/>
      <w:ind w:firstLine="720" w:firstLineChars="200"/>
      <w:jc w:val="left"/>
    </w:pPr>
    <w:rPr>
      <w:rFonts w:ascii="Times New Roman" w:hAnsi="Times New Roman" w:eastAsia="宋体" w:cs="宋体"/>
      <w:kern w:val="0"/>
      <w:sz w:val="24"/>
    </w:rPr>
  </w:style>
  <w:style w:type="paragraph" w:customStyle="1" w:styleId="72">
    <w:name w:val="111表头"/>
    <w:basedOn w:val="1"/>
    <w:qFormat/>
    <w:uiPriority w:val="0"/>
    <w:pPr>
      <w:adjustRightInd w:val="0"/>
      <w:snapToGrid w:val="0"/>
      <w:jc w:val="center"/>
    </w:pPr>
    <w:rPr>
      <w:rFonts w:hint="eastAsia" w:ascii="Times New Roman" w:hAnsi="Times New Roman" w:eastAsia="宋体" w:cs="宋体"/>
      <w:b/>
      <w:szCs w:val="21"/>
    </w:rPr>
  </w:style>
  <w:style w:type="paragraph" w:customStyle="1" w:styleId="73">
    <w:name w:val="表格里面啊啊啊啊"/>
    <w:basedOn w:val="1"/>
    <w:qFormat/>
    <w:uiPriority w:val="0"/>
    <w:pPr>
      <w:jc w:val="center"/>
    </w:pPr>
    <w:rPr>
      <w:rFonts w:ascii="Times New Roman" w:hAnsi="Times New Roman" w:eastAsia="宋体" w:cs="Times New Roman"/>
      <w:szCs w:val="21"/>
    </w:rPr>
  </w:style>
  <w:style w:type="paragraph" w:customStyle="1" w:styleId="74">
    <w:name w:val="表头啊啊啊啊"/>
    <w:basedOn w:val="1"/>
    <w:qFormat/>
    <w:uiPriority w:val="0"/>
    <w:pPr>
      <w:adjustRightInd w:val="0"/>
      <w:snapToGrid w:val="0"/>
      <w:jc w:val="center"/>
    </w:pPr>
    <w:rPr>
      <w:rFonts w:hint="eastAsia" w:ascii="Times New Roman" w:hAnsi="Times New Roman" w:cs="宋体"/>
      <w:b/>
      <w:szCs w:val="21"/>
    </w:rPr>
  </w:style>
  <w:style w:type="paragraph" w:customStyle="1" w:styleId="75">
    <w:name w:val="正文格式"/>
    <w:basedOn w:val="1"/>
    <w:qFormat/>
    <w:uiPriority w:val="0"/>
    <w:pPr>
      <w:wordWrap w:val="0"/>
      <w:spacing w:line="520" w:lineRule="exact"/>
      <w:ind w:firstLine="720" w:firstLineChars="200"/>
    </w:pPr>
    <w:rPr>
      <w:rFonts w:hint="eastAsia" w:ascii="Times New Roman" w:hAnsi="Times New Roman" w:eastAsia="宋体"/>
      <w:sz w:val="24"/>
    </w:rPr>
  </w:style>
  <w:style w:type="paragraph" w:customStyle="1" w:styleId="76">
    <w:name w:val="表格"/>
    <w:basedOn w:val="1"/>
    <w:next w:val="1"/>
    <w:qFormat/>
    <w:uiPriority w:val="0"/>
    <w:pPr>
      <w:adjustRightInd w:val="0"/>
      <w:snapToGrid w:val="0"/>
      <w:spacing w:line="240" w:lineRule="auto"/>
      <w:jc w:val="center"/>
    </w:pPr>
    <w:rPr>
      <w:rFonts w:ascii="Times New Roman" w:hAnsi="Times New Roman" w:eastAsia="宋体"/>
      <w:kern w:val="0"/>
      <w:szCs w:val="21"/>
    </w:rPr>
  </w:style>
  <w:style w:type="paragraph" w:customStyle="1" w:styleId="77">
    <w:name w:val="小标题呗"/>
    <w:basedOn w:val="1"/>
    <w:qFormat/>
    <w:uiPriority w:val="0"/>
    <w:pPr>
      <w:widowControl/>
      <w:wordWrap w:val="0"/>
      <w:snapToGrid w:val="0"/>
      <w:spacing w:line="520" w:lineRule="exact"/>
      <w:jc w:val="left"/>
    </w:pPr>
    <w:rPr>
      <w:rFonts w:hint="eastAsia" w:ascii="Times New Roman" w:hAnsi="Times New Roman" w:eastAsia="宋体"/>
      <w:b/>
      <w:kern w:val="0"/>
      <w:sz w:val="24"/>
      <w:szCs w:val="24"/>
    </w:rPr>
  </w:style>
  <w:style w:type="paragraph" w:customStyle="1" w:styleId="78">
    <w:name w:val="A表格内文字啊啊啊"/>
    <w:basedOn w:val="1"/>
    <w:qFormat/>
    <w:uiPriority w:val="0"/>
    <w:pPr>
      <w:jc w:val="center"/>
    </w:pPr>
    <w:rPr>
      <w:rFonts w:ascii="Times New Roman" w:hAnsi="Times New Roman" w:cs="宋体"/>
      <w:kern w:val="0"/>
      <w:sz w:val="21"/>
      <w:szCs w:val="21"/>
    </w:rPr>
  </w:style>
  <w:style w:type="character" w:customStyle="1" w:styleId="79">
    <w:name w:val="小标题啊啊啊啊啊 Char"/>
    <w:link w:val="70"/>
    <w:qFormat/>
    <w:uiPriority w:val="0"/>
    <w:rPr>
      <w:rFonts w:ascii="Times New Roman" w:hAnsi="Times New Roman" w:eastAsia="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Company>微软中国</Company>
  <Pages>61</Pages>
  <Words>13909</Words>
  <Characters>15127</Characters>
  <Lines>13</Lines>
  <Paragraphs>3</Paragraphs>
  <TotalTime>5</TotalTime>
  <ScaleCrop>false</ScaleCrop>
  <LinksUpToDate>false</LinksUpToDate>
  <CharactersWithSpaces>15216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lenovo</cp:lastModifiedBy>
  <cp:lastPrinted>2024-01-17T02:29:00Z</cp:lastPrinted>
  <dcterms:modified xsi:type="dcterms:W3CDTF">2025-08-08T08:43:44Z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8C6845AC3078462499E1510E0A3453C1_13</vt:lpwstr>
  </property>
  <property fmtid="{D5CDD505-2E9C-101B-9397-08002B2CF9AE}" pid="4" name="KSOTemplateDocerSaveRecord">
    <vt:lpwstr>eyJoZGlkIjoiMGJlMzY5YTk5MWY3NmY0NWE4OTAzNjQxNGViNjU5OWIiLCJ1c2VySWQiOiI1Mjc2NDU0ODcifQ==</vt:lpwstr>
  </property>
</Properties>
</file>