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4B3F">
      <w:pPr>
        <w:pStyle w:val="5"/>
        <w:rPr>
          <w:color w:val="auto"/>
        </w:rPr>
      </w:pPr>
      <w:bookmarkStart w:id="0" w:name="_Toc21427"/>
      <w:r>
        <w:rPr>
          <w:color w:val="auto"/>
        </w:rPr>
        <w:t>一、建设项目基本情况</w:t>
      </w:r>
      <w:bookmarkEnd w:id="0"/>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46"/>
        <w:gridCol w:w="2911"/>
        <w:gridCol w:w="1637"/>
        <w:gridCol w:w="2976"/>
      </w:tblGrid>
      <w:tr w14:paraId="714FC7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1805A812">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yellow"/>
              </w:rPr>
            </w:pPr>
            <w:r>
              <w:rPr>
                <w:rFonts w:hint="default"/>
                <w:szCs w:val="21"/>
                <w:highlight w:val="none"/>
              </w:rPr>
              <w:t>建设项目名称</w:t>
            </w:r>
          </w:p>
        </w:tc>
        <w:tc>
          <w:tcPr>
            <w:tcW w:w="7524" w:type="dxa"/>
            <w:gridSpan w:val="3"/>
            <w:tcBorders>
              <w:tl2br w:val="nil"/>
              <w:tr2bl w:val="nil"/>
            </w:tcBorders>
            <w:shd w:val="clear" w:color="auto" w:fill="auto"/>
            <w:noWrap w:val="0"/>
            <w:vAlign w:val="center"/>
          </w:tcPr>
          <w:p w14:paraId="31994858">
            <w:pPr>
              <w:keepNext w:val="0"/>
              <w:keepLines w:val="0"/>
              <w:suppressLineNumbers w:val="0"/>
              <w:adjustRightInd w:val="0"/>
              <w:snapToGrid w:val="0"/>
              <w:spacing w:before="0" w:beforeAutospacing="0" w:after="0" w:afterAutospacing="0" w:line="240" w:lineRule="auto"/>
              <w:ind w:left="0" w:right="0"/>
              <w:jc w:val="center"/>
              <w:rPr>
                <w:rFonts w:hint="eastAsia" w:eastAsia="宋体"/>
                <w:szCs w:val="21"/>
                <w:lang w:val="en-US" w:eastAsia="zh-CN"/>
              </w:rPr>
            </w:pPr>
            <w:r>
              <w:rPr>
                <w:rFonts w:hint="eastAsia"/>
                <w:szCs w:val="21"/>
                <w:lang w:val="en-US" w:eastAsia="zh-CN"/>
              </w:rPr>
              <w:t>新疆鼎棉农业科技有限公司棉花种子生产线建设项目</w:t>
            </w:r>
          </w:p>
        </w:tc>
      </w:tr>
      <w:tr w14:paraId="07E002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1346" w:type="dxa"/>
            <w:tcBorders>
              <w:tl2br w:val="nil"/>
              <w:tr2bl w:val="nil"/>
            </w:tcBorders>
            <w:noWrap w:val="0"/>
            <w:tcMar>
              <w:top w:w="16" w:type="dxa"/>
              <w:left w:w="16" w:type="dxa"/>
              <w:right w:w="16" w:type="dxa"/>
            </w:tcMar>
            <w:vAlign w:val="center"/>
          </w:tcPr>
          <w:p w14:paraId="7615140D">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yellow"/>
              </w:rPr>
            </w:pPr>
            <w:r>
              <w:rPr>
                <w:rFonts w:hint="default"/>
                <w:szCs w:val="21"/>
                <w:highlight w:val="none"/>
              </w:rPr>
              <w:t>项目代码</w:t>
            </w:r>
          </w:p>
        </w:tc>
        <w:tc>
          <w:tcPr>
            <w:tcW w:w="7524" w:type="dxa"/>
            <w:gridSpan w:val="3"/>
            <w:tcBorders>
              <w:tl2br w:val="nil"/>
              <w:tr2bl w:val="nil"/>
            </w:tcBorders>
            <w:shd w:val="clear" w:color="auto" w:fill="auto"/>
            <w:noWrap w:val="0"/>
            <w:vAlign w:val="center"/>
          </w:tcPr>
          <w:p w14:paraId="783EE467">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无</w:t>
            </w:r>
          </w:p>
        </w:tc>
      </w:tr>
      <w:tr w14:paraId="655EBC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4C4948BC">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建设单位联系人</w:t>
            </w:r>
          </w:p>
        </w:tc>
        <w:tc>
          <w:tcPr>
            <w:tcW w:w="2911" w:type="dxa"/>
            <w:tcBorders>
              <w:tl2br w:val="nil"/>
              <w:tr2bl w:val="nil"/>
            </w:tcBorders>
            <w:noWrap w:val="0"/>
            <w:vAlign w:val="center"/>
          </w:tcPr>
          <w:p w14:paraId="439E1EF0">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李旭</w:t>
            </w:r>
          </w:p>
        </w:tc>
        <w:tc>
          <w:tcPr>
            <w:tcW w:w="1637" w:type="dxa"/>
            <w:tcBorders>
              <w:tl2br w:val="nil"/>
              <w:tr2bl w:val="nil"/>
            </w:tcBorders>
            <w:noWrap w:val="0"/>
            <w:vAlign w:val="center"/>
          </w:tcPr>
          <w:p w14:paraId="16041198">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联系方式</w:t>
            </w:r>
          </w:p>
        </w:tc>
        <w:tc>
          <w:tcPr>
            <w:tcW w:w="2976" w:type="dxa"/>
            <w:tcBorders>
              <w:tl2br w:val="nil"/>
              <w:tr2bl w:val="nil"/>
            </w:tcBorders>
            <w:noWrap w:val="0"/>
            <w:vAlign w:val="center"/>
          </w:tcPr>
          <w:p w14:paraId="20DF596C">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18909964444</w:t>
            </w:r>
          </w:p>
        </w:tc>
      </w:tr>
      <w:tr w14:paraId="07D5A0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1BC0ECD1">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highlight w:val="none"/>
              </w:rPr>
              <w:t>建设地点</w:t>
            </w:r>
          </w:p>
        </w:tc>
        <w:tc>
          <w:tcPr>
            <w:tcW w:w="7524" w:type="dxa"/>
            <w:gridSpan w:val="3"/>
            <w:tcBorders>
              <w:tl2br w:val="nil"/>
              <w:tr2bl w:val="nil"/>
            </w:tcBorders>
            <w:noWrap w:val="0"/>
            <w:vAlign w:val="center"/>
          </w:tcPr>
          <w:p w14:paraId="725634DA">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新疆维吾尔自治区</w:t>
            </w:r>
            <w:r>
              <w:rPr>
                <w:rFonts w:hint="default" w:eastAsia="宋体"/>
                <w:szCs w:val="21"/>
                <w:lang w:val="en-US" w:eastAsia="zh-CN"/>
              </w:rPr>
              <w:t>巴音郭楞蒙古自治州尉犁县尉北棉纺织及农副产品加工园六号（尉棉路50号）</w:t>
            </w:r>
          </w:p>
        </w:tc>
      </w:tr>
      <w:tr w14:paraId="21451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32E7DC7B">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地理坐标</w:t>
            </w:r>
          </w:p>
        </w:tc>
        <w:tc>
          <w:tcPr>
            <w:tcW w:w="7524" w:type="dxa"/>
            <w:gridSpan w:val="3"/>
            <w:tcBorders>
              <w:tl2br w:val="nil"/>
              <w:tr2bl w:val="nil"/>
            </w:tcBorders>
            <w:noWrap w:val="0"/>
            <w:vAlign w:val="center"/>
          </w:tcPr>
          <w:p w14:paraId="7ABCEDCC">
            <w:pPr>
              <w:keepNext w:val="0"/>
              <w:keepLines w:val="0"/>
              <w:suppressLineNumbers w:val="0"/>
              <w:spacing w:before="0" w:beforeAutospacing="0" w:after="0" w:afterAutospacing="0" w:line="240" w:lineRule="auto"/>
              <w:ind w:left="0" w:right="0"/>
              <w:jc w:val="center"/>
              <w:rPr>
                <w:rFonts w:hint="default"/>
                <w:szCs w:val="21"/>
              </w:rPr>
            </w:pPr>
            <w:r>
              <w:rPr>
                <w:rFonts w:hint="default"/>
                <w:szCs w:val="21"/>
              </w:rPr>
              <w:t>（</w:t>
            </w:r>
            <w:r>
              <w:rPr>
                <w:rFonts w:hint="eastAsia"/>
                <w:szCs w:val="21"/>
                <w:u w:val="single"/>
              </w:rPr>
              <w:t>东经86°14′48.</w:t>
            </w:r>
            <w:r>
              <w:rPr>
                <w:rFonts w:hint="eastAsia"/>
                <w:szCs w:val="21"/>
                <w:u w:val="single"/>
                <w:lang w:val="en-US" w:eastAsia="zh-CN"/>
              </w:rPr>
              <w:t>951</w:t>
            </w:r>
            <w:r>
              <w:rPr>
                <w:rFonts w:hint="eastAsia"/>
                <w:szCs w:val="21"/>
                <w:highlight w:val="none"/>
                <w:u w:val="single"/>
              </w:rPr>
              <w:t>″</w:t>
            </w:r>
            <w:r>
              <w:rPr>
                <w:rFonts w:hint="default"/>
                <w:szCs w:val="21"/>
                <w:highlight w:val="none"/>
                <w:u w:val="single"/>
              </w:rPr>
              <w:t>，</w:t>
            </w:r>
            <w:r>
              <w:rPr>
                <w:rFonts w:hint="eastAsia"/>
                <w:szCs w:val="21"/>
                <w:highlight w:val="none"/>
                <w:u w:val="single"/>
              </w:rPr>
              <w:t>北纬41°</w:t>
            </w:r>
            <w:r>
              <w:rPr>
                <w:rFonts w:hint="eastAsia"/>
                <w:szCs w:val="21"/>
                <w:highlight w:val="none"/>
                <w:u w:val="single"/>
                <w:lang w:val="en-US" w:eastAsia="zh-CN"/>
              </w:rPr>
              <w:t>21</w:t>
            </w:r>
            <w:r>
              <w:rPr>
                <w:rFonts w:hint="eastAsia"/>
                <w:szCs w:val="21"/>
                <w:highlight w:val="none"/>
                <w:u w:val="single"/>
              </w:rPr>
              <w:t>′</w:t>
            </w:r>
            <w:r>
              <w:rPr>
                <w:rFonts w:hint="eastAsia"/>
                <w:szCs w:val="21"/>
                <w:highlight w:val="none"/>
                <w:u w:val="single"/>
                <w:lang w:val="en-US" w:eastAsia="zh-CN"/>
              </w:rPr>
              <w:t>55.086</w:t>
            </w:r>
            <w:r>
              <w:rPr>
                <w:rFonts w:hint="eastAsia"/>
                <w:szCs w:val="21"/>
                <w:highlight w:val="none"/>
                <w:u w:val="single"/>
              </w:rPr>
              <w:t>″</w:t>
            </w:r>
            <w:r>
              <w:rPr>
                <w:rFonts w:hint="default"/>
                <w:szCs w:val="21"/>
              </w:rPr>
              <w:t>）</w:t>
            </w:r>
          </w:p>
        </w:tc>
      </w:tr>
      <w:tr w14:paraId="4645CD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2D1537CA">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国民经济</w:t>
            </w:r>
          </w:p>
          <w:p w14:paraId="72E7E7FD">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行业类别</w:t>
            </w:r>
          </w:p>
        </w:tc>
        <w:tc>
          <w:tcPr>
            <w:tcW w:w="2911" w:type="dxa"/>
            <w:tcBorders>
              <w:tl2br w:val="nil"/>
              <w:tr2bl w:val="nil"/>
            </w:tcBorders>
            <w:noWrap w:val="0"/>
            <w:vAlign w:val="center"/>
          </w:tcPr>
          <w:p w14:paraId="68C75BFA">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lang w:val="en-US" w:eastAsia="zh-CN"/>
              </w:rPr>
              <w:t>A0514农产品初加工活动D4430热力生产和供应业</w:t>
            </w:r>
          </w:p>
        </w:tc>
        <w:tc>
          <w:tcPr>
            <w:tcW w:w="1637" w:type="dxa"/>
            <w:tcBorders>
              <w:tl2br w:val="nil"/>
              <w:tr2bl w:val="nil"/>
            </w:tcBorders>
            <w:noWrap w:val="0"/>
            <w:vAlign w:val="center"/>
          </w:tcPr>
          <w:p w14:paraId="7D17D51B">
            <w:pPr>
              <w:keepNext w:val="0"/>
              <w:keepLines w:val="0"/>
              <w:suppressLineNumbers w:val="0"/>
              <w:adjustRightInd w:val="0"/>
              <w:snapToGrid w:val="0"/>
              <w:spacing w:before="0" w:beforeAutospacing="0" w:after="0" w:afterAutospacing="0" w:line="240" w:lineRule="auto"/>
              <w:ind w:left="0" w:right="0"/>
              <w:jc w:val="center"/>
              <w:rPr>
                <w:rFonts w:hint="default"/>
                <w:szCs w:val="21"/>
              </w:rPr>
            </w:pPr>
            <w:bookmarkStart w:id="1" w:name="_Hlk49843745"/>
            <w:r>
              <w:rPr>
                <w:rFonts w:hint="default"/>
                <w:szCs w:val="21"/>
              </w:rPr>
              <w:t>建设项目</w:t>
            </w:r>
          </w:p>
          <w:p w14:paraId="7EE93FD6">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行业类别</w:t>
            </w:r>
            <w:bookmarkEnd w:id="1"/>
          </w:p>
        </w:tc>
        <w:tc>
          <w:tcPr>
            <w:tcW w:w="2976" w:type="dxa"/>
            <w:tcBorders>
              <w:tl2br w:val="nil"/>
              <w:tr2bl w:val="nil"/>
            </w:tcBorders>
            <w:noWrap w:val="0"/>
            <w:vAlign w:val="center"/>
          </w:tcPr>
          <w:p w14:paraId="3CB250BE">
            <w:pPr>
              <w:keepNext w:val="0"/>
              <w:keepLines w:val="0"/>
              <w:suppressLineNumbers w:val="0"/>
              <w:adjustRightInd w:val="0"/>
              <w:snapToGrid w:val="0"/>
              <w:spacing w:before="0" w:beforeAutospacing="0" w:after="0" w:afterAutospacing="0" w:line="240" w:lineRule="auto"/>
              <w:ind w:left="0" w:right="0"/>
              <w:jc w:val="center"/>
              <w:rPr>
                <w:rFonts w:hint="default"/>
                <w:szCs w:val="21"/>
                <w:lang w:val="en-US"/>
              </w:rPr>
            </w:pPr>
            <w:r>
              <w:rPr>
                <w:rFonts w:hint="default"/>
                <w:szCs w:val="21"/>
                <w:lang w:val="en-US"/>
              </w:rPr>
              <w:t>四十一，电力、热力生产和供应业</w:t>
            </w:r>
            <w:r>
              <w:rPr>
                <w:rFonts w:hint="eastAsia"/>
                <w:szCs w:val="21"/>
                <w:lang w:val="en-US" w:eastAsia="zh-CN"/>
              </w:rPr>
              <w:t>-</w:t>
            </w:r>
            <w:r>
              <w:rPr>
                <w:rFonts w:hint="default"/>
                <w:szCs w:val="21"/>
                <w:lang w:val="en-US"/>
              </w:rPr>
              <w:t>91</w:t>
            </w:r>
            <w:r>
              <w:rPr>
                <w:rFonts w:hint="eastAsia"/>
                <w:szCs w:val="21"/>
                <w:lang w:val="en-US" w:eastAsia="zh-CN"/>
              </w:rPr>
              <w:t>-</w:t>
            </w:r>
            <w:r>
              <w:rPr>
                <w:rFonts w:hint="default"/>
                <w:szCs w:val="21"/>
                <w:lang w:val="en-US"/>
              </w:rPr>
              <w:t>热力生产和供应工程；燃煤、燃油锅炉总容量65吨/小时（45.5兆瓦）及以下的；天然气锅炉总容量1吨/小时（0.7兆瓦）以上的；使用其他高污染燃料的</w:t>
            </w:r>
          </w:p>
        </w:tc>
      </w:tr>
      <w:tr w14:paraId="692E77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3B6295BF">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建设性质</w:t>
            </w:r>
          </w:p>
        </w:tc>
        <w:tc>
          <w:tcPr>
            <w:tcW w:w="2911" w:type="dxa"/>
            <w:tcBorders>
              <w:tl2br w:val="nil"/>
              <w:tr2bl w:val="nil"/>
            </w:tcBorders>
            <w:noWrap w:val="0"/>
            <w:vAlign w:val="center"/>
          </w:tcPr>
          <w:p w14:paraId="273E63D4">
            <w:pPr>
              <w:keepNext w:val="0"/>
              <w:keepLines w:val="0"/>
              <w:suppressLineNumbers w:val="0"/>
              <w:spacing w:before="0" w:beforeAutospacing="0" w:after="0" w:afterAutospacing="0" w:line="240" w:lineRule="auto"/>
              <w:ind w:left="0" w:right="0"/>
              <w:jc w:val="left"/>
              <w:rPr>
                <w:rFonts w:hint="default"/>
                <w:szCs w:val="21"/>
              </w:rPr>
            </w:pPr>
            <w:r>
              <w:rPr>
                <w:rFonts w:hint="eastAsia" w:ascii="仿宋" w:hAnsi="仿宋" w:eastAsia="仿宋" w:cs="仿宋"/>
                <w:szCs w:val="21"/>
                <w:lang w:eastAsia="zh-CN"/>
              </w:rPr>
              <w:t>☑</w:t>
            </w:r>
            <w:r>
              <w:rPr>
                <w:rFonts w:hint="default"/>
                <w:szCs w:val="21"/>
              </w:rPr>
              <w:t>新建</w:t>
            </w:r>
          </w:p>
          <w:p w14:paraId="752BD782">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改建</w:t>
            </w:r>
          </w:p>
          <w:p w14:paraId="7DE17C6B">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扩建</w:t>
            </w:r>
          </w:p>
          <w:p w14:paraId="6B7F5D02">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技术改造</w:t>
            </w:r>
          </w:p>
        </w:tc>
        <w:tc>
          <w:tcPr>
            <w:tcW w:w="1637" w:type="dxa"/>
            <w:tcBorders>
              <w:tl2br w:val="nil"/>
              <w:tr2bl w:val="nil"/>
            </w:tcBorders>
            <w:noWrap w:val="0"/>
            <w:vAlign w:val="center"/>
          </w:tcPr>
          <w:p w14:paraId="2B0936C6">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建设项目</w:t>
            </w:r>
          </w:p>
          <w:p w14:paraId="7B828D37">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申报情形</w:t>
            </w:r>
          </w:p>
        </w:tc>
        <w:tc>
          <w:tcPr>
            <w:tcW w:w="2976" w:type="dxa"/>
            <w:tcBorders>
              <w:tl2br w:val="nil"/>
              <w:tr2bl w:val="nil"/>
            </w:tcBorders>
            <w:noWrap w:val="0"/>
            <w:vAlign w:val="center"/>
          </w:tcPr>
          <w:p w14:paraId="6AB83318">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 xml:space="preserve">首次申报项目             </w:t>
            </w:r>
          </w:p>
          <w:p w14:paraId="7B577B76">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不予批准后再次申报项目</w:t>
            </w:r>
          </w:p>
          <w:p w14:paraId="6089A181">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 xml:space="preserve">超五年重新审核项目     </w:t>
            </w:r>
          </w:p>
          <w:p w14:paraId="3C502676">
            <w:pPr>
              <w:keepNext w:val="0"/>
              <w:keepLines w:val="0"/>
              <w:suppressLineNumbers w:val="0"/>
              <w:spacing w:before="0" w:beforeAutospacing="0" w:after="0" w:afterAutospacing="0" w:line="240" w:lineRule="auto"/>
              <w:ind w:left="0" w:right="0"/>
              <w:jc w:val="left"/>
              <w:rPr>
                <w:rFonts w:hint="default"/>
                <w:szCs w:val="21"/>
              </w:rPr>
            </w:pPr>
            <w:r>
              <w:rPr>
                <w:rFonts w:hint="eastAsia"/>
                <w:szCs w:val="21"/>
                <w:lang w:eastAsia="zh-CN"/>
              </w:rPr>
              <w:t>□</w:t>
            </w:r>
            <w:r>
              <w:rPr>
                <w:rFonts w:hint="default"/>
                <w:szCs w:val="21"/>
              </w:rPr>
              <w:t>重大变动重新报批项目</w:t>
            </w:r>
          </w:p>
        </w:tc>
      </w:tr>
      <w:tr w14:paraId="0ED51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4CE3C9E0">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highlight w:val="none"/>
              </w:rPr>
              <w:t>项目审批部门</w:t>
            </w:r>
          </w:p>
        </w:tc>
        <w:tc>
          <w:tcPr>
            <w:tcW w:w="2911" w:type="dxa"/>
            <w:tcBorders>
              <w:tl2br w:val="nil"/>
              <w:tr2bl w:val="nil"/>
            </w:tcBorders>
            <w:noWrap w:val="0"/>
            <w:vAlign w:val="center"/>
          </w:tcPr>
          <w:p w14:paraId="66829679">
            <w:pPr>
              <w:keepNext w:val="0"/>
              <w:keepLines w:val="0"/>
              <w:suppressLineNumbers w:val="0"/>
              <w:adjustRightInd w:val="0"/>
              <w:snapToGrid w:val="0"/>
              <w:spacing w:before="0" w:beforeAutospacing="0" w:after="0" w:afterAutospacing="0" w:line="240" w:lineRule="auto"/>
              <w:ind w:left="0" w:right="0"/>
              <w:jc w:val="center"/>
              <w:rPr>
                <w:rFonts w:hint="eastAsia" w:eastAsia="宋体"/>
                <w:szCs w:val="21"/>
                <w:lang w:val="en-US" w:eastAsia="zh-CN"/>
              </w:rPr>
            </w:pPr>
            <w:r>
              <w:rPr>
                <w:rFonts w:hint="eastAsia"/>
                <w:szCs w:val="21"/>
                <w:lang w:val="en-US" w:eastAsia="zh-CN"/>
              </w:rPr>
              <w:t>无</w:t>
            </w:r>
          </w:p>
        </w:tc>
        <w:tc>
          <w:tcPr>
            <w:tcW w:w="1637" w:type="dxa"/>
            <w:tcBorders>
              <w:tl2br w:val="nil"/>
              <w:tr2bl w:val="nil"/>
            </w:tcBorders>
            <w:noWrap w:val="0"/>
            <w:vAlign w:val="center"/>
          </w:tcPr>
          <w:p w14:paraId="2629BB2A">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highlight w:val="none"/>
              </w:rPr>
              <w:t>项目审批文号</w:t>
            </w:r>
          </w:p>
        </w:tc>
        <w:tc>
          <w:tcPr>
            <w:tcW w:w="2976" w:type="dxa"/>
            <w:tcBorders>
              <w:tl2br w:val="nil"/>
              <w:tr2bl w:val="nil"/>
            </w:tcBorders>
            <w:noWrap w:val="0"/>
            <w:vAlign w:val="center"/>
          </w:tcPr>
          <w:p w14:paraId="4DB27891">
            <w:pPr>
              <w:keepNext w:val="0"/>
              <w:keepLines w:val="0"/>
              <w:suppressLineNumbers w:val="0"/>
              <w:adjustRightInd w:val="0"/>
              <w:snapToGrid w:val="0"/>
              <w:spacing w:before="0" w:beforeAutospacing="0" w:after="0" w:afterAutospacing="0" w:line="240" w:lineRule="auto"/>
              <w:ind w:left="0" w:right="0"/>
              <w:jc w:val="center"/>
              <w:rPr>
                <w:rFonts w:hint="eastAsia" w:eastAsia="宋体"/>
                <w:szCs w:val="21"/>
                <w:lang w:eastAsia="zh-CN"/>
              </w:rPr>
            </w:pPr>
            <w:r>
              <w:rPr>
                <w:rFonts w:hint="eastAsia"/>
                <w:szCs w:val="21"/>
                <w:lang w:val="en-US" w:eastAsia="zh-CN"/>
              </w:rPr>
              <w:t>无</w:t>
            </w:r>
          </w:p>
        </w:tc>
      </w:tr>
      <w:tr w14:paraId="2F5B1A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42ACBAFD">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none"/>
              </w:rPr>
            </w:pPr>
            <w:r>
              <w:rPr>
                <w:rFonts w:hint="default"/>
                <w:szCs w:val="21"/>
                <w:highlight w:val="none"/>
              </w:rPr>
              <w:t>总投资（万元）</w:t>
            </w:r>
          </w:p>
        </w:tc>
        <w:tc>
          <w:tcPr>
            <w:tcW w:w="2911" w:type="dxa"/>
            <w:tcBorders>
              <w:tl2br w:val="nil"/>
              <w:tr2bl w:val="nil"/>
            </w:tcBorders>
            <w:noWrap w:val="0"/>
            <w:vAlign w:val="center"/>
          </w:tcPr>
          <w:p w14:paraId="2FA8EA16">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highlight w:val="none"/>
                <w:lang w:val="en-US" w:eastAsia="zh-CN"/>
              </w:rPr>
            </w:pPr>
            <w:r>
              <w:rPr>
                <w:rFonts w:hint="eastAsia"/>
                <w:szCs w:val="21"/>
                <w:highlight w:val="none"/>
                <w:lang w:val="en-US" w:eastAsia="zh-CN"/>
              </w:rPr>
              <w:t>450</w:t>
            </w:r>
          </w:p>
        </w:tc>
        <w:tc>
          <w:tcPr>
            <w:tcW w:w="1637" w:type="dxa"/>
            <w:tcBorders>
              <w:tl2br w:val="nil"/>
              <w:tr2bl w:val="nil"/>
            </w:tcBorders>
            <w:noWrap w:val="0"/>
            <w:tcMar>
              <w:top w:w="16" w:type="dxa"/>
              <w:left w:w="16" w:type="dxa"/>
              <w:right w:w="16" w:type="dxa"/>
            </w:tcMar>
            <w:vAlign w:val="center"/>
          </w:tcPr>
          <w:p w14:paraId="2ADC129E">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none"/>
              </w:rPr>
            </w:pPr>
            <w:r>
              <w:rPr>
                <w:rFonts w:hint="default"/>
                <w:szCs w:val="21"/>
                <w:highlight w:val="none"/>
              </w:rPr>
              <w:t>环保投资（万元）</w:t>
            </w:r>
          </w:p>
        </w:tc>
        <w:tc>
          <w:tcPr>
            <w:tcW w:w="2976" w:type="dxa"/>
            <w:tcBorders>
              <w:tl2br w:val="nil"/>
              <w:tr2bl w:val="nil"/>
            </w:tcBorders>
            <w:noWrap w:val="0"/>
            <w:vAlign w:val="center"/>
          </w:tcPr>
          <w:p w14:paraId="6FCB32B3">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35</w:t>
            </w:r>
          </w:p>
        </w:tc>
      </w:tr>
      <w:tr w14:paraId="37CDD2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799EDC98">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none"/>
              </w:rPr>
            </w:pPr>
            <w:r>
              <w:rPr>
                <w:rFonts w:hint="default"/>
                <w:szCs w:val="21"/>
                <w:highlight w:val="none"/>
              </w:rPr>
              <w:t>环保投资占比（%）</w:t>
            </w:r>
          </w:p>
        </w:tc>
        <w:tc>
          <w:tcPr>
            <w:tcW w:w="2911" w:type="dxa"/>
            <w:tcBorders>
              <w:tl2br w:val="nil"/>
              <w:tr2bl w:val="nil"/>
            </w:tcBorders>
            <w:noWrap w:val="0"/>
            <w:vAlign w:val="center"/>
          </w:tcPr>
          <w:p w14:paraId="05D51612">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highlight w:val="none"/>
                <w:lang w:val="en-US" w:eastAsia="zh-CN"/>
              </w:rPr>
            </w:pPr>
            <w:r>
              <w:rPr>
                <w:rFonts w:hint="eastAsia"/>
                <w:szCs w:val="21"/>
                <w:highlight w:val="none"/>
                <w:lang w:val="en-US" w:eastAsia="zh-CN"/>
              </w:rPr>
              <w:t>7.8</w:t>
            </w:r>
          </w:p>
        </w:tc>
        <w:tc>
          <w:tcPr>
            <w:tcW w:w="1637" w:type="dxa"/>
            <w:tcBorders>
              <w:tl2br w:val="nil"/>
              <w:tr2bl w:val="nil"/>
            </w:tcBorders>
            <w:noWrap w:val="0"/>
            <w:tcMar>
              <w:top w:w="16" w:type="dxa"/>
              <w:left w:w="16" w:type="dxa"/>
              <w:right w:w="16" w:type="dxa"/>
            </w:tcMar>
            <w:vAlign w:val="center"/>
          </w:tcPr>
          <w:p w14:paraId="69970E76">
            <w:pPr>
              <w:keepNext w:val="0"/>
              <w:keepLines w:val="0"/>
              <w:suppressLineNumbers w:val="0"/>
              <w:adjustRightInd w:val="0"/>
              <w:snapToGrid w:val="0"/>
              <w:spacing w:before="0" w:beforeAutospacing="0" w:after="0" w:afterAutospacing="0" w:line="240" w:lineRule="auto"/>
              <w:ind w:left="0" w:right="0"/>
              <w:jc w:val="center"/>
              <w:rPr>
                <w:rFonts w:hint="default"/>
                <w:szCs w:val="21"/>
                <w:highlight w:val="none"/>
              </w:rPr>
            </w:pPr>
            <w:r>
              <w:rPr>
                <w:rFonts w:hint="default"/>
                <w:szCs w:val="21"/>
                <w:highlight w:val="none"/>
              </w:rPr>
              <w:t>施工工期</w:t>
            </w:r>
          </w:p>
        </w:tc>
        <w:tc>
          <w:tcPr>
            <w:tcW w:w="2976" w:type="dxa"/>
            <w:tcBorders>
              <w:tl2br w:val="nil"/>
              <w:tr2bl w:val="nil"/>
            </w:tcBorders>
            <w:noWrap w:val="0"/>
            <w:vAlign w:val="center"/>
          </w:tcPr>
          <w:p w14:paraId="13E3D241">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lang w:val="en-US" w:eastAsia="zh-CN"/>
              </w:rPr>
              <w:t>3个月</w:t>
            </w:r>
          </w:p>
        </w:tc>
      </w:tr>
      <w:tr w14:paraId="4BD4AA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jc w:val="center"/>
        </w:trPr>
        <w:tc>
          <w:tcPr>
            <w:tcW w:w="1346" w:type="dxa"/>
            <w:tcBorders>
              <w:tl2br w:val="nil"/>
              <w:tr2bl w:val="nil"/>
            </w:tcBorders>
            <w:noWrap w:val="0"/>
            <w:tcMar>
              <w:top w:w="16" w:type="dxa"/>
              <w:left w:w="16" w:type="dxa"/>
              <w:right w:w="16" w:type="dxa"/>
            </w:tcMar>
            <w:vAlign w:val="center"/>
          </w:tcPr>
          <w:p w14:paraId="5782D605">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zCs w:val="21"/>
              </w:rPr>
              <w:t>是否开工建设</w:t>
            </w:r>
          </w:p>
        </w:tc>
        <w:tc>
          <w:tcPr>
            <w:tcW w:w="2911" w:type="dxa"/>
            <w:tcBorders>
              <w:tl2br w:val="nil"/>
              <w:tr2bl w:val="nil"/>
            </w:tcBorders>
            <w:noWrap w:val="0"/>
            <w:vAlign w:val="center"/>
          </w:tcPr>
          <w:p w14:paraId="4E9FF84F">
            <w:pPr>
              <w:keepNext w:val="0"/>
              <w:keepLines w:val="0"/>
              <w:suppressLineNumbers w:val="0"/>
              <w:adjustRightInd w:val="0"/>
              <w:snapToGrid w:val="0"/>
              <w:spacing w:before="0" w:beforeAutospacing="0" w:after="0" w:afterAutospacing="0" w:line="240" w:lineRule="auto"/>
              <w:ind w:left="0" w:right="0"/>
              <w:rPr>
                <w:rFonts w:hint="default"/>
                <w:szCs w:val="21"/>
              </w:rPr>
            </w:pPr>
            <w:r>
              <w:rPr>
                <w:rFonts w:hint="eastAsia" w:ascii="仿宋" w:hAnsi="仿宋" w:eastAsia="仿宋" w:cs="仿宋"/>
                <w:szCs w:val="21"/>
                <w:lang w:eastAsia="zh-CN"/>
              </w:rPr>
              <w:t>☑</w:t>
            </w:r>
            <w:r>
              <w:rPr>
                <w:rFonts w:hint="default"/>
                <w:szCs w:val="21"/>
              </w:rPr>
              <w:t>否</w:t>
            </w:r>
          </w:p>
          <w:p w14:paraId="0F519565">
            <w:pPr>
              <w:keepNext w:val="0"/>
              <w:keepLines w:val="0"/>
              <w:suppressLineNumbers w:val="0"/>
              <w:adjustRightInd w:val="0"/>
              <w:snapToGrid w:val="0"/>
              <w:spacing w:before="0" w:beforeAutospacing="0" w:after="0" w:afterAutospacing="0" w:line="240" w:lineRule="auto"/>
              <w:ind w:left="0" w:right="0"/>
              <w:rPr>
                <w:rFonts w:hint="default"/>
                <w:szCs w:val="21"/>
              </w:rPr>
            </w:pPr>
            <w:r>
              <w:rPr>
                <w:rFonts w:hint="eastAsia" w:ascii="仿宋" w:hAnsi="仿宋" w:eastAsia="仿宋" w:cs="仿宋"/>
                <w:szCs w:val="21"/>
                <w:lang w:eastAsia="zh-CN"/>
              </w:rPr>
              <w:t>□</w:t>
            </w:r>
            <w:r>
              <w:rPr>
                <w:rFonts w:hint="default"/>
                <w:szCs w:val="21"/>
              </w:rPr>
              <w:t>是：</w:t>
            </w:r>
            <w:r>
              <w:rPr>
                <w:rFonts w:hint="eastAsia"/>
                <w:szCs w:val="21"/>
                <w:u w:val="single"/>
                <w:lang w:val="en-US" w:eastAsia="zh-CN"/>
              </w:rPr>
              <w:t xml:space="preserve">      </w:t>
            </w:r>
          </w:p>
        </w:tc>
        <w:tc>
          <w:tcPr>
            <w:tcW w:w="1637" w:type="dxa"/>
            <w:tcBorders>
              <w:tl2br w:val="nil"/>
              <w:tr2bl w:val="nil"/>
            </w:tcBorders>
            <w:noWrap w:val="0"/>
            <w:tcMar>
              <w:top w:w="16" w:type="dxa"/>
              <w:left w:w="16" w:type="dxa"/>
              <w:right w:w="16" w:type="dxa"/>
            </w:tcMar>
            <w:vAlign w:val="center"/>
          </w:tcPr>
          <w:p w14:paraId="31CE6E73">
            <w:pPr>
              <w:keepNext w:val="0"/>
              <w:keepLines w:val="0"/>
              <w:suppressLineNumbers w:val="0"/>
              <w:adjustRightInd w:val="0"/>
              <w:snapToGrid w:val="0"/>
              <w:spacing w:before="0" w:beforeAutospacing="0" w:after="0" w:afterAutospacing="0" w:line="240" w:lineRule="auto"/>
              <w:ind w:left="0" w:right="0"/>
              <w:jc w:val="center"/>
              <w:rPr>
                <w:rFonts w:hint="default"/>
                <w:spacing w:val="-6"/>
                <w:szCs w:val="21"/>
                <w:highlight w:val="none"/>
              </w:rPr>
            </w:pPr>
            <w:r>
              <w:rPr>
                <w:rFonts w:hint="default"/>
                <w:spacing w:val="-6"/>
                <w:szCs w:val="21"/>
                <w:highlight w:val="none"/>
              </w:rPr>
              <w:t>用地（用海）</w:t>
            </w:r>
          </w:p>
          <w:p w14:paraId="3E69F00A">
            <w:pPr>
              <w:keepNext w:val="0"/>
              <w:keepLines w:val="0"/>
              <w:suppressLineNumbers w:val="0"/>
              <w:adjustRightInd w:val="0"/>
              <w:snapToGrid w:val="0"/>
              <w:spacing w:before="0" w:beforeAutospacing="0" w:after="0" w:afterAutospacing="0" w:line="240" w:lineRule="auto"/>
              <w:ind w:left="0" w:right="0"/>
              <w:jc w:val="center"/>
              <w:rPr>
                <w:rFonts w:hint="default"/>
                <w:szCs w:val="21"/>
              </w:rPr>
            </w:pPr>
            <w:r>
              <w:rPr>
                <w:rFonts w:hint="default"/>
                <w:spacing w:val="-6"/>
                <w:szCs w:val="21"/>
                <w:highlight w:val="none"/>
              </w:rPr>
              <w:t>面积（m</w:t>
            </w:r>
            <w:r>
              <w:rPr>
                <w:rFonts w:hint="default"/>
                <w:spacing w:val="-6"/>
                <w:szCs w:val="21"/>
                <w:highlight w:val="none"/>
                <w:vertAlign w:val="superscript"/>
              </w:rPr>
              <w:t>2</w:t>
            </w:r>
            <w:r>
              <w:rPr>
                <w:rFonts w:hint="default"/>
                <w:spacing w:val="-6"/>
                <w:szCs w:val="21"/>
                <w:highlight w:val="none"/>
              </w:rPr>
              <w:t>）</w:t>
            </w:r>
          </w:p>
        </w:tc>
        <w:tc>
          <w:tcPr>
            <w:tcW w:w="2976" w:type="dxa"/>
            <w:tcBorders>
              <w:tl2br w:val="nil"/>
              <w:tr2bl w:val="nil"/>
            </w:tcBorders>
            <w:noWrap w:val="0"/>
            <w:vAlign w:val="center"/>
          </w:tcPr>
          <w:p w14:paraId="29BAA00C">
            <w:pPr>
              <w:keepNext w:val="0"/>
              <w:keepLines w:val="0"/>
              <w:suppressLineNumbers w:val="0"/>
              <w:adjustRightInd w:val="0"/>
              <w:snapToGrid w:val="0"/>
              <w:spacing w:before="0" w:beforeAutospacing="0" w:after="0" w:afterAutospacing="0" w:line="240" w:lineRule="auto"/>
              <w:ind w:left="0" w:right="0"/>
              <w:jc w:val="center"/>
              <w:rPr>
                <w:rFonts w:hint="default" w:eastAsia="宋体"/>
                <w:szCs w:val="21"/>
                <w:lang w:val="en-US" w:eastAsia="zh-CN"/>
              </w:rPr>
            </w:pPr>
            <w:r>
              <w:rPr>
                <w:rFonts w:hint="eastAsia"/>
                <w:szCs w:val="21"/>
                <w:highlight w:val="none"/>
                <w:lang w:val="en-US" w:eastAsia="zh-CN"/>
              </w:rPr>
              <w:t>24000</w:t>
            </w:r>
          </w:p>
        </w:tc>
      </w:tr>
      <w:tr w14:paraId="7F98A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46" w:type="dxa"/>
            <w:tcBorders>
              <w:tl2br w:val="nil"/>
              <w:tr2bl w:val="nil"/>
            </w:tcBorders>
            <w:noWrap w:val="0"/>
            <w:vAlign w:val="center"/>
          </w:tcPr>
          <w:p w14:paraId="7C07DF1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kern w:val="0"/>
                <w:szCs w:val="21"/>
              </w:rPr>
            </w:pPr>
            <w:r>
              <w:rPr>
                <w:rFonts w:hint="default"/>
                <w:kern w:val="0"/>
                <w:szCs w:val="21"/>
              </w:rPr>
              <w:t>专项评价设置情况</w:t>
            </w:r>
          </w:p>
        </w:tc>
        <w:tc>
          <w:tcPr>
            <w:tcW w:w="7524" w:type="dxa"/>
            <w:gridSpan w:val="3"/>
            <w:tcBorders>
              <w:tl2br w:val="nil"/>
              <w:tr2bl w:val="nil"/>
            </w:tcBorders>
            <w:noWrap w:val="0"/>
            <w:vAlign w:val="center"/>
          </w:tcPr>
          <w:p w14:paraId="1784615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480" w:firstLineChars="200"/>
              <w:jc w:val="both"/>
              <w:textAlignment w:val="auto"/>
              <w:rPr>
                <w:rFonts w:hint="default"/>
                <w:kern w:val="0"/>
              </w:rPr>
            </w:pPr>
            <w:r>
              <w:rPr>
                <w:rFonts w:hint="default"/>
                <w:kern w:val="0"/>
                <w:lang w:eastAsia="zh-CN"/>
              </w:rPr>
              <w:t>《</w:t>
            </w:r>
            <w:r>
              <w:rPr>
                <w:rFonts w:hint="default"/>
                <w:kern w:val="0"/>
              </w:rPr>
              <w:t>建设项目环境影响报告表编制技术指南（污染影响类）（试行）》表1中提到，有毒有害和易燃易爆危险物质存储量超过临界量的建设项目，应设置专项评价。</w:t>
            </w:r>
            <w:r>
              <w:rPr>
                <w:rFonts w:hint="default"/>
                <w:kern w:val="0"/>
                <w:lang w:val="en-US" w:eastAsia="zh-CN"/>
              </w:rPr>
              <w:t>硫酸临界量为10t，</w:t>
            </w:r>
            <w:r>
              <w:rPr>
                <w:rFonts w:hint="default"/>
                <w:kern w:val="0"/>
              </w:rPr>
              <w:t>本项目</w:t>
            </w:r>
            <w:r>
              <w:rPr>
                <w:rFonts w:hint="default"/>
                <w:kern w:val="0"/>
                <w:lang w:val="en-US" w:eastAsia="zh-CN"/>
              </w:rPr>
              <w:t>硫酸</w:t>
            </w:r>
            <w:r>
              <w:rPr>
                <w:rFonts w:hint="default"/>
                <w:kern w:val="0"/>
              </w:rPr>
              <w:t>的</w:t>
            </w:r>
            <w:r>
              <w:rPr>
                <w:rFonts w:hint="default"/>
                <w:kern w:val="0"/>
                <w:lang w:val="en-US" w:eastAsia="zh-CN"/>
              </w:rPr>
              <w:t>最大</w:t>
            </w:r>
            <w:r>
              <w:rPr>
                <w:rFonts w:hint="default"/>
                <w:kern w:val="0"/>
              </w:rPr>
              <w:t>储量</w:t>
            </w:r>
            <w:r>
              <w:rPr>
                <w:rFonts w:hint="default"/>
                <w:kern w:val="0"/>
                <w:lang w:val="en-US" w:eastAsia="zh-CN"/>
              </w:rPr>
              <w:t>为</w:t>
            </w:r>
            <w:r>
              <w:rPr>
                <w:rFonts w:hint="eastAsia"/>
                <w:kern w:val="0"/>
                <w:lang w:val="en-US" w:eastAsia="zh-CN"/>
              </w:rPr>
              <w:t>4</w:t>
            </w:r>
            <w:r>
              <w:rPr>
                <w:rFonts w:hint="default"/>
                <w:kern w:val="0"/>
                <w:lang w:val="en-US" w:eastAsia="zh-CN"/>
              </w:rPr>
              <w:t>0t，</w:t>
            </w:r>
            <w:r>
              <w:rPr>
                <w:rFonts w:hint="default"/>
                <w:kern w:val="0"/>
              </w:rPr>
              <w:t>根据《建设项目环境风险评价技术导则》（HJ169-2018）中附录C中Q值公式</w:t>
            </w:r>
            <w:r>
              <w:rPr>
                <w:rFonts w:hint="default"/>
                <w:kern w:val="0"/>
                <w:lang w:eastAsia="zh-CN"/>
              </w:rPr>
              <w:t>，</w:t>
            </w:r>
            <w:r>
              <w:rPr>
                <w:rFonts w:hint="default"/>
                <w:kern w:val="0"/>
                <w:lang w:val="en-US" w:eastAsia="zh-CN"/>
              </w:rPr>
              <w:t>本项目Q值经计算为</w:t>
            </w:r>
            <w:r>
              <w:rPr>
                <w:rFonts w:hint="eastAsia"/>
                <w:kern w:val="0"/>
                <w:lang w:val="en-US" w:eastAsia="zh-CN"/>
              </w:rPr>
              <w:t>4</w:t>
            </w:r>
            <w:r>
              <w:rPr>
                <w:rFonts w:hint="default"/>
                <w:kern w:val="0"/>
                <w:lang w:val="en-US" w:eastAsia="zh-CN"/>
              </w:rPr>
              <w:t>，硫酸</w:t>
            </w:r>
            <w:r>
              <w:rPr>
                <w:rFonts w:hint="default"/>
                <w:kern w:val="0"/>
              </w:rPr>
              <w:t>的</w:t>
            </w:r>
            <w:r>
              <w:rPr>
                <w:rFonts w:hint="default"/>
                <w:kern w:val="0"/>
                <w:lang w:val="en-US" w:eastAsia="zh-CN"/>
              </w:rPr>
              <w:t>最大</w:t>
            </w:r>
            <w:r>
              <w:rPr>
                <w:rFonts w:hint="default"/>
                <w:kern w:val="0"/>
              </w:rPr>
              <w:t>储量</w:t>
            </w:r>
            <w:r>
              <w:rPr>
                <w:rFonts w:hint="default"/>
                <w:kern w:val="0"/>
                <w:lang w:val="en-US" w:eastAsia="zh-CN"/>
              </w:rPr>
              <w:t>超过硫酸临界量，故</w:t>
            </w:r>
            <w:r>
              <w:rPr>
                <w:rFonts w:hint="default"/>
                <w:kern w:val="0"/>
              </w:rPr>
              <w:t>项目设置环境风险专项评价</w:t>
            </w:r>
            <w:r>
              <w:rPr>
                <w:rFonts w:hint="default"/>
                <w:kern w:val="0"/>
                <w:lang w:eastAsia="zh-CN"/>
              </w:rPr>
              <w:t>。</w:t>
            </w:r>
          </w:p>
        </w:tc>
      </w:tr>
      <w:tr w14:paraId="550EC3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46" w:type="dxa"/>
            <w:tcBorders>
              <w:tl2br w:val="nil"/>
              <w:tr2bl w:val="nil"/>
            </w:tcBorders>
            <w:noWrap w:val="0"/>
            <w:vAlign w:val="center"/>
          </w:tcPr>
          <w:p w14:paraId="4DD1C30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kern w:val="0"/>
                <w:szCs w:val="21"/>
                <w:highlight w:val="yellow"/>
              </w:rPr>
            </w:pPr>
            <w:r>
              <w:rPr>
                <w:rFonts w:hint="default"/>
                <w:szCs w:val="21"/>
                <w:highlight w:val="none"/>
              </w:rPr>
              <w:t>规划情况</w:t>
            </w:r>
          </w:p>
        </w:tc>
        <w:tc>
          <w:tcPr>
            <w:tcW w:w="7524" w:type="dxa"/>
            <w:gridSpan w:val="3"/>
            <w:tcBorders>
              <w:tl2br w:val="nil"/>
              <w:tr2bl w:val="nil"/>
            </w:tcBorders>
            <w:shd w:val="clear" w:color="auto" w:fill="auto"/>
            <w:noWrap w:val="0"/>
            <w:vAlign w:val="center"/>
          </w:tcPr>
          <w:p w14:paraId="51895C3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color w:val="000000"/>
              </w:rPr>
            </w:pPr>
            <w:r>
              <w:rPr>
                <w:rFonts w:hint="eastAsia"/>
                <w:color w:val="000000"/>
                <w:kern w:val="0"/>
                <w:sz w:val="24"/>
                <w:lang w:val="en-US" w:eastAsia="zh-CN" w:bidi="ar"/>
              </w:rPr>
              <w:t>规划名称：《尉犁工业园区（一区两园）总体规划（2013-2030）》</w:t>
            </w:r>
          </w:p>
          <w:p w14:paraId="7D46C1C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color w:val="000000"/>
                <w:kern w:val="0"/>
                <w:sz w:val="24"/>
                <w:lang w:val="en-US" w:eastAsia="zh-CN" w:bidi="ar"/>
              </w:rPr>
            </w:pPr>
            <w:r>
              <w:rPr>
                <w:rFonts w:hint="eastAsia"/>
                <w:color w:val="000000"/>
                <w:kern w:val="0"/>
                <w:sz w:val="24"/>
                <w:lang w:val="en-US" w:eastAsia="zh-CN" w:bidi="ar"/>
              </w:rPr>
              <w:t>审批机关：新疆维吾尔自治区人民政府</w:t>
            </w:r>
          </w:p>
          <w:p w14:paraId="5E2290D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eastAsia"/>
                <w:color w:val="000000"/>
                <w:kern w:val="0"/>
                <w:sz w:val="24"/>
                <w:lang w:val="en-US" w:eastAsia="zh-CN" w:bidi="ar"/>
              </w:rPr>
            </w:pPr>
            <w:r>
              <w:rPr>
                <w:rFonts w:hint="eastAsia"/>
                <w:color w:val="000000"/>
                <w:kern w:val="0"/>
                <w:sz w:val="24"/>
                <w:lang w:val="en-US" w:eastAsia="zh-CN" w:bidi="ar"/>
              </w:rPr>
              <w:t>审批文件名称：《关于同意设立尉犁工业园区为自治区级园区的批复》</w:t>
            </w:r>
          </w:p>
          <w:p w14:paraId="097CB01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color w:val="000000"/>
                <w:kern w:val="0"/>
                <w:sz w:val="24"/>
                <w:lang w:val="en-US" w:eastAsia="zh-CN" w:bidi="ar"/>
              </w:rPr>
            </w:pPr>
            <w:r>
              <w:rPr>
                <w:rFonts w:hint="eastAsia"/>
                <w:color w:val="000000"/>
                <w:kern w:val="0"/>
                <w:sz w:val="24"/>
                <w:lang w:val="en-US" w:eastAsia="zh-CN" w:bidi="ar"/>
              </w:rPr>
              <w:t>审批文号：新政函〔2014〕144号</w:t>
            </w:r>
          </w:p>
        </w:tc>
      </w:tr>
      <w:tr w14:paraId="1DC35A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46" w:type="dxa"/>
            <w:tcBorders>
              <w:tl2br w:val="nil"/>
              <w:tr2bl w:val="nil"/>
            </w:tcBorders>
            <w:noWrap w:val="0"/>
            <w:vAlign w:val="center"/>
          </w:tcPr>
          <w:p w14:paraId="15324722">
            <w:pPr>
              <w:keepNext w:val="0"/>
              <w:keepLines w:val="0"/>
              <w:suppressLineNumbers w:val="0"/>
              <w:adjustRightInd w:val="0"/>
              <w:snapToGrid w:val="0"/>
              <w:spacing w:before="0" w:beforeAutospacing="0" w:after="0" w:afterAutospacing="0" w:line="240" w:lineRule="auto"/>
              <w:ind w:left="0" w:right="0"/>
              <w:jc w:val="center"/>
              <w:rPr>
                <w:rFonts w:hint="default"/>
                <w:kern w:val="0"/>
                <w:szCs w:val="21"/>
                <w:highlight w:val="yellow"/>
              </w:rPr>
            </w:pPr>
            <w:r>
              <w:rPr>
                <w:rFonts w:hint="default"/>
                <w:szCs w:val="21"/>
                <w:highlight w:val="none"/>
              </w:rPr>
              <w:t>规划环境影响评价情况</w:t>
            </w:r>
          </w:p>
        </w:tc>
        <w:tc>
          <w:tcPr>
            <w:tcW w:w="7524" w:type="dxa"/>
            <w:gridSpan w:val="3"/>
            <w:tcBorders>
              <w:tl2br w:val="nil"/>
              <w:tr2bl w:val="nil"/>
            </w:tcBorders>
            <w:shd w:val="clear" w:color="auto" w:fill="auto"/>
            <w:noWrap w:val="0"/>
            <w:vAlign w:val="center"/>
          </w:tcPr>
          <w:p w14:paraId="298BF15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auto"/>
              <w:rPr>
                <w:rFonts w:hint="eastAsia" w:ascii="Times New Roman" w:hAnsi="Times New Roman" w:cs="Times New Roman"/>
                <w:snapToGrid w:val="0"/>
                <w:color w:val="000000"/>
                <w:kern w:val="0"/>
                <w:sz w:val="24"/>
                <w:lang w:val="en-US" w:eastAsia="zh-CN"/>
              </w:rPr>
            </w:pPr>
            <w:r>
              <w:rPr>
                <w:rFonts w:hint="eastAsia" w:ascii="Times New Roman" w:hAnsi="Times New Roman" w:cs="Times New Roman"/>
                <w:snapToGrid w:val="0"/>
                <w:color w:val="000000"/>
                <w:kern w:val="0"/>
                <w:sz w:val="24"/>
                <w:lang w:val="en-US" w:eastAsia="zh-CN"/>
              </w:rPr>
              <w:t>规划环境影响评价文件名称：《尉犁工业园区</w:t>
            </w:r>
            <w:r>
              <w:rPr>
                <w:rFonts w:hint="eastAsia" w:cs="Times New Roman"/>
                <w:snapToGrid w:val="0"/>
                <w:color w:val="000000"/>
                <w:kern w:val="0"/>
                <w:sz w:val="24"/>
                <w:lang w:val="en-US" w:eastAsia="zh-CN"/>
              </w:rPr>
              <w:t>（</w:t>
            </w:r>
            <w:r>
              <w:rPr>
                <w:rFonts w:hint="eastAsia" w:ascii="Times New Roman" w:hAnsi="Times New Roman" w:cs="Times New Roman"/>
                <w:snapToGrid w:val="0"/>
                <w:color w:val="000000"/>
                <w:kern w:val="0"/>
                <w:sz w:val="24"/>
                <w:lang w:val="en-US" w:eastAsia="zh-CN"/>
              </w:rPr>
              <w:t>一区两园</w:t>
            </w:r>
            <w:r>
              <w:rPr>
                <w:rFonts w:hint="eastAsia" w:cs="Times New Roman"/>
                <w:snapToGrid w:val="0"/>
                <w:color w:val="000000"/>
                <w:kern w:val="0"/>
                <w:sz w:val="24"/>
                <w:lang w:val="en-US" w:eastAsia="zh-CN"/>
              </w:rPr>
              <w:t>）</w:t>
            </w:r>
            <w:r>
              <w:rPr>
                <w:rFonts w:hint="eastAsia" w:ascii="Times New Roman" w:hAnsi="Times New Roman" w:cs="Times New Roman"/>
                <w:snapToGrid w:val="0"/>
                <w:color w:val="000000"/>
                <w:kern w:val="0"/>
                <w:sz w:val="24"/>
                <w:lang w:val="en-US" w:eastAsia="zh-CN"/>
              </w:rPr>
              <w:t>总体规划</w:t>
            </w:r>
            <w:r>
              <w:rPr>
                <w:rFonts w:hint="eastAsia" w:cs="Times New Roman"/>
                <w:snapToGrid w:val="0"/>
                <w:color w:val="000000"/>
                <w:kern w:val="0"/>
                <w:sz w:val="24"/>
                <w:lang w:val="en-US" w:eastAsia="zh-CN"/>
              </w:rPr>
              <w:t>（</w:t>
            </w:r>
            <w:r>
              <w:rPr>
                <w:rFonts w:hint="eastAsia" w:ascii="Times New Roman" w:hAnsi="Times New Roman" w:cs="Times New Roman"/>
                <w:snapToGrid w:val="0"/>
                <w:color w:val="000000"/>
                <w:kern w:val="0"/>
                <w:sz w:val="24"/>
                <w:lang w:val="en-US" w:eastAsia="zh-CN"/>
              </w:rPr>
              <w:t>2013-</w:t>
            </w:r>
            <w:r>
              <w:rPr>
                <w:rFonts w:hint="eastAsia" w:cs="Times New Roman"/>
                <w:snapToGrid w:val="0"/>
                <w:color w:val="000000"/>
                <w:kern w:val="0"/>
                <w:sz w:val="24"/>
                <w:lang w:val="en-US" w:eastAsia="zh-CN"/>
              </w:rPr>
              <w:t>2030）</w:t>
            </w:r>
            <w:r>
              <w:rPr>
                <w:rFonts w:hint="eastAsia" w:ascii="Times New Roman" w:hAnsi="Times New Roman" w:cs="Times New Roman"/>
                <w:snapToGrid w:val="0"/>
                <w:color w:val="000000"/>
                <w:kern w:val="0"/>
                <w:sz w:val="24"/>
                <w:lang w:val="en-US" w:eastAsia="zh-CN"/>
              </w:rPr>
              <w:t>环境影响报告书》</w:t>
            </w:r>
          </w:p>
          <w:p w14:paraId="2C873B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auto"/>
              <w:rPr>
                <w:rFonts w:hint="eastAsia" w:ascii="Times New Roman" w:hAnsi="Times New Roman" w:cs="Times New Roman"/>
                <w:snapToGrid w:val="0"/>
                <w:color w:val="000000"/>
                <w:kern w:val="0"/>
                <w:sz w:val="24"/>
                <w:lang w:val="en-US" w:eastAsia="zh-CN"/>
              </w:rPr>
            </w:pPr>
            <w:r>
              <w:rPr>
                <w:rFonts w:hint="eastAsia" w:ascii="Times New Roman" w:hAnsi="Times New Roman" w:cs="Times New Roman"/>
                <w:snapToGrid w:val="0"/>
                <w:color w:val="000000"/>
                <w:kern w:val="0"/>
                <w:sz w:val="24"/>
                <w:lang w:val="en-US" w:eastAsia="zh-CN"/>
              </w:rPr>
              <w:t>召集审查机关：新疆维吾尔自治区环境保护厅</w:t>
            </w:r>
          </w:p>
          <w:p w14:paraId="1265A8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auto"/>
              <w:rPr>
                <w:rFonts w:hint="default"/>
                <w:lang w:val="en-US" w:eastAsia="zh-CN"/>
              </w:rPr>
            </w:pPr>
            <w:r>
              <w:rPr>
                <w:rFonts w:hint="eastAsia" w:ascii="Times New Roman" w:hAnsi="Times New Roman" w:cs="Times New Roman"/>
                <w:snapToGrid w:val="0"/>
                <w:color w:val="000000"/>
                <w:kern w:val="0"/>
                <w:sz w:val="24"/>
                <w:lang w:val="en-US" w:eastAsia="zh-CN"/>
              </w:rPr>
              <w:t>审查文件及文号：</w:t>
            </w:r>
            <w:r>
              <w:rPr>
                <w:rFonts w:hint="default" w:ascii="Times New Roman" w:hAnsi="Times New Roman" w:cs="Times New Roman"/>
                <w:snapToGrid w:val="0"/>
                <w:color w:val="000000"/>
                <w:kern w:val="0"/>
                <w:sz w:val="24"/>
                <w:lang w:val="en-US" w:eastAsia="zh-CN"/>
              </w:rPr>
              <w:t>《关于尉犁工业园区</w:t>
            </w:r>
            <w:r>
              <w:rPr>
                <w:rFonts w:hint="eastAsia" w:cs="Times New Roman"/>
                <w:snapToGrid w:val="0"/>
                <w:color w:val="000000"/>
                <w:kern w:val="0"/>
                <w:sz w:val="24"/>
                <w:lang w:val="en-US" w:eastAsia="zh-CN"/>
              </w:rPr>
              <w:t>（</w:t>
            </w:r>
            <w:r>
              <w:rPr>
                <w:rFonts w:hint="default" w:ascii="Times New Roman" w:hAnsi="Times New Roman" w:cs="Times New Roman"/>
                <w:snapToGrid w:val="0"/>
                <w:color w:val="000000"/>
                <w:kern w:val="0"/>
                <w:sz w:val="24"/>
                <w:lang w:val="en-US" w:eastAsia="zh-CN"/>
              </w:rPr>
              <w:t>一区两园</w:t>
            </w:r>
            <w:r>
              <w:rPr>
                <w:rFonts w:hint="eastAsia" w:cs="Times New Roman"/>
                <w:snapToGrid w:val="0"/>
                <w:color w:val="000000"/>
                <w:kern w:val="0"/>
                <w:sz w:val="24"/>
                <w:lang w:val="en-US" w:eastAsia="zh-CN"/>
              </w:rPr>
              <w:t>）</w:t>
            </w:r>
            <w:r>
              <w:rPr>
                <w:rFonts w:hint="default" w:ascii="Times New Roman" w:hAnsi="Times New Roman" w:cs="Times New Roman"/>
                <w:snapToGrid w:val="0"/>
                <w:color w:val="000000"/>
                <w:kern w:val="0"/>
                <w:sz w:val="24"/>
                <w:lang w:val="en-US" w:eastAsia="zh-CN"/>
              </w:rPr>
              <w:t>总体规划</w:t>
            </w:r>
            <w:r>
              <w:rPr>
                <w:rFonts w:hint="eastAsia" w:cs="Times New Roman"/>
                <w:snapToGrid w:val="0"/>
                <w:color w:val="000000"/>
                <w:kern w:val="0"/>
                <w:sz w:val="24"/>
                <w:lang w:val="en-US" w:eastAsia="zh-CN"/>
              </w:rPr>
              <w:t>（</w:t>
            </w:r>
            <w:r>
              <w:rPr>
                <w:rFonts w:hint="default" w:ascii="Times New Roman" w:hAnsi="Times New Roman" w:cs="Times New Roman"/>
                <w:snapToGrid w:val="0"/>
                <w:color w:val="000000"/>
                <w:kern w:val="0"/>
                <w:sz w:val="24"/>
                <w:lang w:val="en-US" w:eastAsia="zh-CN"/>
              </w:rPr>
              <w:t>2013-2030</w:t>
            </w:r>
            <w:r>
              <w:rPr>
                <w:rFonts w:hint="eastAsia" w:cs="Times New Roman"/>
                <w:snapToGrid w:val="0"/>
                <w:color w:val="000000"/>
                <w:kern w:val="0"/>
                <w:sz w:val="24"/>
                <w:lang w:val="en-US" w:eastAsia="zh-CN"/>
              </w:rPr>
              <w:t>）</w:t>
            </w:r>
            <w:r>
              <w:rPr>
                <w:rFonts w:hint="default" w:ascii="Times New Roman" w:hAnsi="Times New Roman" w:cs="Times New Roman"/>
                <w:snapToGrid w:val="0"/>
                <w:color w:val="000000"/>
                <w:kern w:val="0"/>
                <w:sz w:val="24"/>
                <w:lang w:val="en-US" w:eastAsia="zh-CN"/>
              </w:rPr>
              <w:t>环境影响报告书的审查意见》新环函</w:t>
            </w:r>
            <w:r>
              <w:rPr>
                <w:rFonts w:hint="default" w:ascii="Times New Roman" w:hAnsi="Times New Roman" w:eastAsia="微软雅黑" w:cs="Times New Roman"/>
                <w:snapToGrid w:val="0"/>
                <w:color w:val="000000"/>
                <w:kern w:val="0"/>
                <w:sz w:val="24"/>
                <w:lang w:val="en-US" w:eastAsia="zh-CN"/>
              </w:rPr>
              <w:t>〔201</w:t>
            </w:r>
            <w:r>
              <w:rPr>
                <w:rFonts w:hint="eastAsia" w:eastAsia="微软雅黑" w:cs="Times New Roman"/>
                <w:snapToGrid w:val="0"/>
                <w:color w:val="000000"/>
                <w:kern w:val="0"/>
                <w:sz w:val="24"/>
                <w:lang w:val="en-US" w:eastAsia="zh-CN"/>
              </w:rPr>
              <w:t>4</w:t>
            </w:r>
            <w:r>
              <w:rPr>
                <w:rFonts w:hint="default" w:ascii="Times New Roman" w:hAnsi="Times New Roman" w:eastAsia="微软雅黑" w:cs="Times New Roman"/>
                <w:snapToGrid w:val="0"/>
                <w:color w:val="000000"/>
                <w:kern w:val="0"/>
                <w:sz w:val="24"/>
                <w:lang w:val="en-US" w:eastAsia="zh-CN"/>
              </w:rPr>
              <w:t>〕</w:t>
            </w:r>
            <w:r>
              <w:rPr>
                <w:rFonts w:hint="eastAsia" w:cs="Times New Roman"/>
                <w:snapToGrid w:val="0"/>
                <w:color w:val="000000"/>
                <w:kern w:val="0"/>
                <w:sz w:val="24"/>
                <w:lang w:val="en-US" w:eastAsia="zh-CN"/>
              </w:rPr>
              <w:t>405</w:t>
            </w:r>
            <w:r>
              <w:rPr>
                <w:rFonts w:hint="default" w:ascii="Times New Roman" w:hAnsi="Times New Roman" w:cs="Times New Roman"/>
                <w:snapToGrid w:val="0"/>
                <w:color w:val="000000"/>
                <w:kern w:val="0"/>
                <w:sz w:val="24"/>
                <w:lang w:val="en-US" w:eastAsia="zh-CN"/>
              </w:rPr>
              <w:t>号。</w:t>
            </w:r>
          </w:p>
        </w:tc>
      </w:tr>
      <w:tr w14:paraId="22B77D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46" w:type="dxa"/>
            <w:tcBorders>
              <w:tl2br w:val="nil"/>
              <w:tr2bl w:val="nil"/>
            </w:tcBorders>
            <w:noWrap w:val="0"/>
            <w:vAlign w:val="center"/>
          </w:tcPr>
          <w:p w14:paraId="6148E8C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kern w:val="0"/>
                <w:szCs w:val="21"/>
              </w:rPr>
            </w:pPr>
            <w:r>
              <w:rPr>
                <w:rFonts w:hint="default"/>
                <w:kern w:val="0"/>
                <w:szCs w:val="21"/>
              </w:rPr>
              <w:t>规划及规划环境影响评价符合性分析</w:t>
            </w:r>
          </w:p>
        </w:tc>
        <w:tc>
          <w:tcPr>
            <w:tcW w:w="7524" w:type="dxa"/>
            <w:gridSpan w:val="3"/>
            <w:tcBorders>
              <w:tl2br w:val="nil"/>
              <w:tr2bl w:val="nil"/>
            </w:tcBorders>
            <w:noWrap w:val="0"/>
            <w:vAlign w:val="center"/>
          </w:tcPr>
          <w:p w14:paraId="22BD3CA9">
            <w:pPr>
              <w:keepNext w:val="0"/>
              <w:keepLines w:val="0"/>
              <w:suppressLineNumbers w:val="0"/>
              <w:bidi w:val="0"/>
              <w:adjustRightInd w:val="0"/>
              <w:snapToGrid w:val="0"/>
              <w:spacing w:before="0" w:beforeAutospacing="0" w:after="0" w:afterAutospacing="0"/>
              <w:ind w:left="0" w:leftChars="0" w:right="0" w:firstLine="0" w:firstLineChars="0"/>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1、规划符合性分析</w:t>
            </w:r>
          </w:p>
          <w:p w14:paraId="41C25995">
            <w:pPr>
              <w:keepNext w:val="0"/>
              <w:keepLines w:val="0"/>
              <w:suppressLineNumbers w:val="0"/>
              <w:bidi w:val="0"/>
              <w:adjustRightInd w:val="0"/>
              <w:snapToGrid w:val="0"/>
              <w:spacing w:before="0" w:beforeAutospacing="0" w:after="0" w:afterAutospacing="0"/>
              <w:ind w:left="0" w:right="0" w:firstLine="480" w:firstLineChars="200"/>
              <w:rPr>
                <w:rFonts w:hint="default"/>
                <w:sz w:val="24"/>
              </w:rPr>
            </w:pPr>
            <w:r>
              <w:rPr>
                <w:rFonts w:hint="eastAsia" w:ascii="Times New Roman" w:hAnsi="Times New Roman" w:eastAsia="宋体" w:cs="Times New Roman"/>
                <w:color w:val="000000"/>
                <w:lang w:val="en-US" w:eastAsia="zh-CN"/>
              </w:rPr>
              <w:t>产业发展定位：尉犁工业园区包括尉东矿产品加工园</w:t>
            </w:r>
            <w:r>
              <w:rPr>
                <w:rFonts w:hint="eastAsia" w:cs="Times New Roman"/>
                <w:color w:val="000000"/>
                <w:lang w:val="en-US" w:eastAsia="zh-CN"/>
              </w:rPr>
              <w:t>（</w:t>
            </w:r>
            <w:r>
              <w:rPr>
                <w:rFonts w:hint="eastAsia" w:ascii="Times New Roman" w:hAnsi="Times New Roman" w:eastAsia="宋体" w:cs="Times New Roman"/>
                <w:color w:val="000000"/>
                <w:lang w:val="en-US" w:eastAsia="zh-CN"/>
              </w:rPr>
              <w:t>以下简称尉东区</w:t>
            </w:r>
            <w:r>
              <w:rPr>
                <w:rFonts w:hint="eastAsia" w:cs="Times New Roman"/>
                <w:color w:val="000000"/>
                <w:lang w:val="en-US" w:eastAsia="zh-CN"/>
              </w:rPr>
              <w:t>）</w:t>
            </w:r>
            <w:r>
              <w:rPr>
                <w:rFonts w:hint="eastAsia" w:ascii="Times New Roman" w:hAnsi="Times New Roman" w:eastAsia="宋体" w:cs="Times New Roman"/>
                <w:color w:val="000000"/>
                <w:lang w:val="en-US" w:eastAsia="zh-CN"/>
              </w:rPr>
              <w:t>和尉北纺织及农副产品加工园</w:t>
            </w:r>
            <w:r>
              <w:rPr>
                <w:rFonts w:hint="eastAsia" w:cs="Times New Roman"/>
                <w:color w:val="000000"/>
                <w:lang w:val="en-US" w:eastAsia="zh-CN"/>
              </w:rPr>
              <w:t>（</w:t>
            </w:r>
            <w:r>
              <w:rPr>
                <w:rFonts w:hint="eastAsia" w:ascii="Times New Roman" w:hAnsi="Times New Roman" w:eastAsia="宋体" w:cs="Times New Roman"/>
                <w:color w:val="000000"/>
                <w:lang w:val="en-US" w:eastAsia="zh-CN"/>
              </w:rPr>
              <w:t>以下简称尉北区</w:t>
            </w:r>
            <w:r>
              <w:rPr>
                <w:rFonts w:hint="eastAsia" w:cs="Times New Roman"/>
                <w:color w:val="000000"/>
                <w:lang w:val="en-US" w:eastAsia="zh-CN"/>
              </w:rPr>
              <w:t>），</w:t>
            </w:r>
            <w:r>
              <w:rPr>
                <w:rFonts w:hint="default"/>
                <w:sz w:val="24"/>
              </w:rPr>
              <w:t>尉北园区的发展定位侧重于成为巴州重要的棉纺织及棉花系列加工生产基地、罗布麻产业基地和重要的甘草制品加工基地。</w:t>
            </w:r>
          </w:p>
          <w:p w14:paraId="79C3CB2D">
            <w:pPr>
              <w:keepNext w:val="0"/>
              <w:keepLines w:val="0"/>
              <w:widowControl/>
              <w:suppressLineNumbers w:val="0"/>
              <w:spacing w:before="0" w:beforeAutospacing="0" w:after="0" w:afterAutospacing="0"/>
              <w:ind w:left="0" w:right="0" w:firstLine="480" w:firstLineChars="200"/>
              <w:jc w:val="left"/>
              <w:rPr>
                <w:rFonts w:hint="default"/>
              </w:rPr>
            </w:pPr>
            <w:r>
              <w:rPr>
                <w:rFonts w:hint="default"/>
                <w:sz w:val="24"/>
              </w:rPr>
              <w:t>棉花系列加工</w:t>
            </w:r>
            <w:r>
              <w:rPr>
                <w:rFonts w:hint="eastAsia" w:ascii="宋体" w:hAnsi="宋体" w:eastAsia="宋体" w:cs="宋体"/>
                <w:color w:val="000000"/>
                <w:kern w:val="0"/>
                <w:sz w:val="24"/>
                <w:szCs w:val="24"/>
                <w:lang w:val="en-US" w:eastAsia="zh-CN" w:bidi="ar"/>
              </w:rPr>
              <w:t>产业链</w:t>
            </w:r>
          </w:p>
          <w:p w14:paraId="16003C29">
            <w:pPr>
              <w:keepNext w:val="0"/>
              <w:keepLines w:val="0"/>
              <w:widowControl/>
              <w:suppressLineNumbers w:val="0"/>
              <w:spacing w:before="0" w:beforeAutospacing="0" w:after="0" w:afterAutospacing="0"/>
              <w:ind w:left="0" w:right="0" w:firstLine="480" w:firstLineChars="200"/>
              <w:jc w:val="left"/>
              <w:rPr>
                <w:rFonts w:hint="default"/>
                <w:sz w:val="24"/>
                <w:szCs w:val="24"/>
              </w:rPr>
            </w:pPr>
            <w:r>
              <w:rPr>
                <w:rFonts w:hint="eastAsia"/>
                <w:sz w:val="24"/>
                <w:szCs w:val="24"/>
              </w:rPr>
              <w:t>积极打造“棉籽——棉短绒——棉浆粕——粘胶纤维”，“棉花——轧花——纺纱——织布——成衣——品牌服装”，“棉纱、粘胶纱——织布——服装面料——服装”，“罗布麻（茎杆）——罗布麻纤维（纱）”</w:t>
            </w:r>
            <w:r>
              <w:rPr>
                <w:rFonts w:hint="eastAsia"/>
                <w:sz w:val="24"/>
                <w:szCs w:val="24"/>
                <w:lang w:eastAsia="zh-CN"/>
              </w:rPr>
              <w:t>，</w:t>
            </w:r>
            <w:r>
              <w:rPr>
                <w:rFonts w:hint="eastAsia"/>
                <w:sz w:val="24"/>
                <w:szCs w:val="24"/>
              </w:rPr>
              <w:t>“棉杆（干）——棉杆制浆——棉杆造纸”</w:t>
            </w:r>
            <w:r>
              <w:rPr>
                <w:rFonts w:hint="eastAsia" w:ascii="宋体" w:hAnsi="宋体" w:eastAsia="宋体" w:cs="宋体"/>
                <w:color w:val="000000"/>
                <w:kern w:val="0"/>
                <w:sz w:val="24"/>
                <w:szCs w:val="24"/>
                <w:lang w:val="en-US" w:eastAsia="zh-CN" w:bidi="ar"/>
              </w:rPr>
              <w:t>等产业链。</w:t>
            </w:r>
          </w:p>
          <w:p w14:paraId="416BECFC">
            <w:pPr>
              <w:keepNext w:val="0"/>
              <w:keepLines w:val="0"/>
              <w:suppressLineNumbers w:val="0"/>
              <w:bidi w:val="0"/>
              <w:adjustRightInd w:val="0"/>
              <w:snapToGrid w:val="0"/>
              <w:spacing w:before="0" w:beforeAutospacing="0" w:after="0" w:afterAutospacing="0"/>
              <w:ind w:left="0" w:right="0" w:firstLine="480" w:firstLineChars="200"/>
              <w:rPr>
                <w:rFonts w:hint="eastAsia" w:ascii="Times New Roman" w:hAnsi="Times New Roman" w:eastAsia="宋体" w:cs="Times New Roman"/>
                <w:color w:val="000000"/>
                <w:highlight w:val="yellow"/>
                <w:lang w:val="en-US" w:eastAsia="zh-CN"/>
              </w:rPr>
            </w:pPr>
            <w:r>
              <w:rPr>
                <w:rFonts w:hint="eastAsia" w:ascii="Times New Roman" w:hAnsi="Times New Roman" w:eastAsia="宋体" w:cs="Times New Roman"/>
                <w:color w:val="000000"/>
                <w:highlight w:val="none"/>
                <w:lang w:val="en-US" w:eastAsia="zh-CN"/>
              </w:rPr>
              <w:t>本项目位于尉犁工业园区尉北区</w:t>
            </w:r>
            <w:r>
              <w:rPr>
                <w:rFonts w:hint="eastAsia" w:cs="Times New Roman"/>
                <w:color w:val="000000"/>
                <w:highlight w:val="none"/>
                <w:lang w:val="en-US" w:eastAsia="zh-CN"/>
              </w:rPr>
              <w:t>棉纺织加工业</w:t>
            </w:r>
            <w:r>
              <w:rPr>
                <w:rFonts w:hint="eastAsia" w:ascii="Times New Roman" w:hAnsi="Times New Roman" w:eastAsia="宋体" w:cs="Times New Roman"/>
                <w:color w:val="000000"/>
                <w:highlight w:val="none"/>
                <w:lang w:val="en-US" w:eastAsia="zh-CN"/>
              </w:rPr>
              <w:t>片区，</w:t>
            </w:r>
            <w:r>
              <w:rPr>
                <w:rFonts w:hint="eastAsia" w:cs="Times New Roman"/>
                <w:color w:val="000000"/>
                <w:highlight w:val="none"/>
                <w:lang w:val="en-US" w:eastAsia="zh-CN"/>
              </w:rPr>
              <w:t>原巴州皓天农业科技开发有限公司</w:t>
            </w:r>
            <w:r>
              <w:rPr>
                <w:rFonts w:hint="eastAsia" w:ascii="Times New Roman" w:hAnsi="Times New Roman" w:eastAsia="宋体" w:cs="Times New Roman"/>
                <w:color w:val="000000"/>
                <w:highlight w:val="none"/>
                <w:lang w:val="en-US" w:eastAsia="zh-CN"/>
              </w:rPr>
              <w:t>厂区内，</w:t>
            </w:r>
            <w:r>
              <w:rPr>
                <w:rFonts w:hint="eastAsia" w:cs="Times New Roman"/>
                <w:color w:val="000000"/>
                <w:highlight w:val="none"/>
                <w:lang w:val="en-US" w:eastAsia="zh-CN"/>
              </w:rPr>
              <w:t>本项目为</w:t>
            </w:r>
            <w:r>
              <w:rPr>
                <w:rFonts w:hint="eastAsia" w:eastAsia="宋体"/>
                <w:szCs w:val="21"/>
                <w:highlight w:val="none"/>
                <w:lang w:val="en-US" w:eastAsia="zh-CN"/>
              </w:rPr>
              <w:t>新疆鼎棉农业科技有限公司</w:t>
            </w:r>
            <w:r>
              <w:rPr>
                <w:rFonts w:hint="eastAsia"/>
                <w:szCs w:val="21"/>
                <w:highlight w:val="none"/>
                <w:lang w:val="en-US" w:eastAsia="zh-CN"/>
              </w:rPr>
              <w:t>棉种生产项目，</w:t>
            </w:r>
            <w:r>
              <w:rPr>
                <w:rFonts w:hint="eastAsia" w:cs="Times New Roman"/>
                <w:color w:val="000000"/>
                <w:highlight w:val="none"/>
                <w:lang w:val="en-US" w:eastAsia="zh-CN"/>
              </w:rPr>
              <w:t>属于棉花系列加工业，</w:t>
            </w:r>
            <w:r>
              <w:rPr>
                <w:rFonts w:hint="eastAsia"/>
                <w:highlight w:val="none"/>
                <w:lang w:val="en-US" w:eastAsia="zh-CN"/>
              </w:rPr>
              <w:t>符合园区产业规划。</w:t>
            </w:r>
            <w:r>
              <w:rPr>
                <w:rFonts w:hint="eastAsia" w:cs="Times New Roman"/>
                <w:color w:val="000000"/>
                <w:highlight w:val="none"/>
                <w:lang w:val="en-US" w:eastAsia="zh-CN"/>
              </w:rPr>
              <w:t>本项目用地性质为工业用地，符合园区用地规划布局，</w:t>
            </w:r>
            <w:r>
              <w:rPr>
                <w:rFonts w:hint="eastAsia" w:ascii="Times New Roman" w:hAnsi="Times New Roman" w:eastAsia="宋体" w:cs="Times New Roman"/>
                <w:color w:val="000000"/>
                <w:highlight w:val="none"/>
                <w:lang w:val="en-US" w:eastAsia="zh-CN"/>
              </w:rPr>
              <w:t>详见附图</w:t>
            </w:r>
            <w:r>
              <w:rPr>
                <w:rFonts w:hint="eastAsia" w:cs="Times New Roman"/>
                <w:color w:val="000000"/>
                <w:highlight w:val="none"/>
                <w:lang w:val="en-US" w:eastAsia="zh-CN"/>
              </w:rPr>
              <w:t>1</w:t>
            </w:r>
            <w:r>
              <w:rPr>
                <w:rFonts w:hint="eastAsia" w:ascii="Times New Roman" w:hAnsi="Times New Roman" w:eastAsia="宋体" w:cs="Times New Roman"/>
                <w:color w:val="000000"/>
                <w:highlight w:val="none"/>
                <w:lang w:val="en-US" w:eastAsia="zh-CN"/>
              </w:rPr>
              <w:t>、附图</w:t>
            </w:r>
            <w:r>
              <w:rPr>
                <w:rFonts w:hint="eastAsia" w:cs="Times New Roman"/>
                <w:color w:val="000000"/>
                <w:highlight w:val="none"/>
                <w:lang w:val="en-US" w:eastAsia="zh-CN"/>
              </w:rPr>
              <w:t>2</w:t>
            </w:r>
            <w:r>
              <w:rPr>
                <w:rFonts w:hint="eastAsia" w:ascii="Times New Roman" w:hAnsi="Times New Roman" w:eastAsia="宋体" w:cs="Times New Roman"/>
                <w:color w:val="000000"/>
                <w:highlight w:val="none"/>
                <w:lang w:val="en-US" w:eastAsia="zh-CN"/>
              </w:rPr>
              <w:t>。</w:t>
            </w:r>
          </w:p>
          <w:p w14:paraId="780D7E57">
            <w:pPr>
              <w:keepNext w:val="0"/>
              <w:keepLines w:val="0"/>
              <w:numPr>
                <w:ilvl w:val="0"/>
                <w:numId w:val="4"/>
              </w:numPr>
              <w:suppressLineNumbers w:val="0"/>
              <w:bidi w:val="0"/>
              <w:adjustRightInd w:val="0"/>
              <w:snapToGrid w:val="0"/>
              <w:spacing w:before="0" w:beforeAutospacing="0" w:after="0" w:afterAutospacing="0"/>
              <w:ind w:left="0" w:leftChars="0" w:right="0" w:firstLine="0" w:firstLineChars="0"/>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规划环境影响评价结论的符合性分析</w:t>
            </w:r>
          </w:p>
          <w:p w14:paraId="4E7549B6">
            <w:pPr>
              <w:keepNext w:val="0"/>
              <w:keepLines w:val="0"/>
              <w:suppressLineNumbers w:val="0"/>
              <w:bidi w:val="0"/>
              <w:adjustRightInd w:val="0"/>
              <w:snapToGrid w:val="0"/>
              <w:spacing w:before="0" w:beforeAutospacing="0" w:after="0" w:afterAutospacing="0"/>
              <w:ind w:left="0" w:right="0" w:firstLine="482" w:firstLineChars="200"/>
              <w:rPr>
                <w:rFonts w:hint="eastAsia" w:ascii="Times New Roman" w:hAnsi="Times New Roman" w:eastAsia="宋体" w:cs="Times New Roman"/>
                <w:b w:val="0"/>
                <w:color w:val="000000"/>
                <w:lang w:val="en-US" w:eastAsia="zh-CN"/>
              </w:rPr>
            </w:pPr>
            <w:r>
              <w:rPr>
                <w:rFonts w:hint="eastAsia" w:ascii="Times New Roman" w:hAnsi="Times New Roman" w:eastAsia="宋体" w:cs="Times New Roman"/>
                <w:b/>
                <w:bCs/>
                <w:color w:val="000000"/>
                <w:lang w:val="en-US" w:eastAsia="zh-CN"/>
              </w:rPr>
              <w:t>《尉犁工业园区</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一区两园</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总体规划</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2013-2030</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环境影响报告书》中结论</w:t>
            </w:r>
            <w:r>
              <w:rPr>
                <w:rFonts w:hint="eastAsia" w:ascii="Times New Roman" w:hAnsi="Times New Roman" w:eastAsia="宋体" w:cs="Times New Roman"/>
                <w:b w:val="0"/>
                <w:color w:val="000000"/>
                <w:lang w:val="en-US" w:eastAsia="zh-CN"/>
              </w:rPr>
              <w:t>：</w:t>
            </w:r>
            <w:r>
              <w:rPr>
                <w:rFonts w:hint="eastAsia" w:cs="Times New Roman"/>
                <w:b w:val="0"/>
                <w:color w:val="000000"/>
                <w:lang w:val="en-US" w:eastAsia="zh-CN"/>
              </w:rPr>
              <w:t>大气</w:t>
            </w:r>
            <w:r>
              <w:rPr>
                <w:rFonts w:hint="eastAsia" w:ascii="Times New Roman" w:hAnsi="Times New Roman" w:eastAsia="宋体" w:cs="Times New Roman"/>
                <w:b w:val="0"/>
                <w:color w:val="000000"/>
                <w:lang w:val="en-US" w:eastAsia="zh-CN"/>
              </w:rPr>
              <w:t>环境影响分析</w:t>
            </w:r>
            <w:r>
              <w:rPr>
                <w:rFonts w:hint="eastAsia" w:cs="Times New Roman"/>
                <w:b w:val="0"/>
                <w:color w:val="000000"/>
                <w:lang w:val="en-US" w:eastAsia="zh-CN"/>
              </w:rPr>
              <w:t>，工业园区主要</w:t>
            </w:r>
            <w:r>
              <w:rPr>
                <w:rFonts w:hint="eastAsia" w:ascii="Times New Roman" w:hAnsi="Times New Roman" w:eastAsia="宋体" w:cs="Times New Roman"/>
                <w:b w:val="0"/>
                <w:color w:val="000000"/>
                <w:lang w:val="en-US" w:eastAsia="zh-CN"/>
              </w:rPr>
              <w:t>入驻企业污染物排放对评价区的SO</w:t>
            </w:r>
            <w:r>
              <w:rPr>
                <w:rFonts w:hint="eastAsia" w:ascii="Times New Roman" w:hAnsi="Times New Roman" w:eastAsia="宋体" w:cs="Times New Roman"/>
                <w:b w:val="0"/>
                <w:color w:val="000000"/>
                <w:vertAlign w:val="subscript"/>
                <w:lang w:val="en-US" w:eastAsia="zh-CN"/>
              </w:rPr>
              <w:t>2</w:t>
            </w:r>
            <w:r>
              <w:rPr>
                <w:rFonts w:hint="eastAsia" w:ascii="Times New Roman" w:hAnsi="Times New Roman" w:eastAsia="宋体" w:cs="Times New Roman"/>
                <w:b w:val="0"/>
                <w:color w:val="000000"/>
                <w:lang w:val="en-US" w:eastAsia="zh-CN"/>
              </w:rPr>
              <w:t>、NO</w:t>
            </w:r>
            <w:r>
              <w:rPr>
                <w:rFonts w:hint="eastAsia"/>
                <w:vertAlign w:val="subscript"/>
                <w:lang w:val="en-US" w:eastAsia="zh-CN"/>
              </w:rPr>
              <w:t>X</w:t>
            </w:r>
            <w:r>
              <w:rPr>
                <w:rFonts w:hint="eastAsia" w:ascii="Times New Roman" w:hAnsi="Times New Roman" w:eastAsia="宋体" w:cs="Times New Roman"/>
                <w:b w:val="0"/>
                <w:color w:val="000000"/>
                <w:lang w:val="en-US" w:eastAsia="zh-CN"/>
              </w:rPr>
              <w:t>、TSP浓度最大贡献值较低，主要污染物对评价区的环境空气质量产生的影响较少。园区规划</w:t>
            </w:r>
            <w:r>
              <w:rPr>
                <w:rFonts w:hint="eastAsia" w:cs="Times New Roman"/>
                <w:b w:val="0"/>
                <w:color w:val="000000"/>
                <w:lang w:val="en-US" w:eastAsia="zh-CN"/>
              </w:rPr>
              <w:t>短</w:t>
            </w:r>
            <w:r>
              <w:rPr>
                <w:rFonts w:hint="eastAsia" w:ascii="Times New Roman" w:hAnsi="Times New Roman" w:eastAsia="宋体" w:cs="Times New Roman"/>
                <w:b w:val="0"/>
                <w:color w:val="000000"/>
                <w:lang w:val="en-US" w:eastAsia="zh-CN"/>
              </w:rPr>
              <w:t>期环境影响是可以接受的。</w:t>
            </w:r>
          </w:p>
          <w:p w14:paraId="45F06785">
            <w:pPr>
              <w:keepNext w:val="0"/>
              <w:keepLines w:val="0"/>
              <w:suppressLineNumbers w:val="0"/>
              <w:bidi w:val="0"/>
              <w:adjustRightInd w:val="0"/>
              <w:snapToGrid w:val="0"/>
              <w:spacing w:before="0" w:beforeAutospacing="0" w:after="0" w:afterAutospacing="0"/>
              <w:ind w:left="0" w:right="0" w:firstLine="480" w:firstLineChars="200"/>
              <w:rPr>
                <w:rFonts w:hint="eastAsia" w:ascii="Times New Roman" w:hAnsi="Times New Roman" w:eastAsia="宋体" w:cs="Times New Roman"/>
                <w:b w:val="0"/>
                <w:color w:val="000000"/>
                <w:highlight w:val="none"/>
                <w:lang w:val="en-US" w:eastAsia="zh-CN"/>
              </w:rPr>
            </w:pPr>
            <w:r>
              <w:rPr>
                <w:rFonts w:hint="eastAsia" w:ascii="Times New Roman" w:hAnsi="Times New Roman" w:eastAsia="宋体" w:cs="Times New Roman"/>
                <w:b w:val="0"/>
                <w:color w:val="000000"/>
                <w:highlight w:val="none"/>
                <w:lang w:val="en-US" w:eastAsia="zh-CN"/>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符合《尉犁工业园区</w:t>
            </w:r>
            <w:r>
              <w:rPr>
                <w:rFonts w:hint="eastAsia" w:cs="Times New Roman"/>
                <w:b w:val="0"/>
                <w:color w:val="000000"/>
                <w:highlight w:val="none"/>
                <w:lang w:val="en-US" w:eastAsia="zh-CN"/>
              </w:rPr>
              <w:t>（</w:t>
            </w:r>
            <w:r>
              <w:rPr>
                <w:rFonts w:hint="eastAsia" w:ascii="Times New Roman" w:hAnsi="Times New Roman" w:eastAsia="宋体" w:cs="Times New Roman"/>
                <w:b w:val="0"/>
                <w:color w:val="000000"/>
                <w:highlight w:val="none"/>
                <w:lang w:val="en-US" w:eastAsia="zh-CN"/>
              </w:rPr>
              <w:t>一区两园</w:t>
            </w:r>
            <w:r>
              <w:rPr>
                <w:rFonts w:hint="eastAsia" w:cs="Times New Roman"/>
                <w:b w:val="0"/>
                <w:color w:val="000000"/>
                <w:highlight w:val="none"/>
                <w:lang w:val="en-US" w:eastAsia="zh-CN"/>
              </w:rPr>
              <w:t>）</w:t>
            </w:r>
            <w:r>
              <w:rPr>
                <w:rFonts w:hint="eastAsia" w:ascii="Times New Roman" w:hAnsi="Times New Roman" w:eastAsia="宋体" w:cs="Times New Roman"/>
                <w:b w:val="0"/>
                <w:color w:val="000000"/>
                <w:highlight w:val="none"/>
                <w:lang w:val="en-US" w:eastAsia="zh-CN"/>
              </w:rPr>
              <w:t>总体规划</w:t>
            </w:r>
            <w:r>
              <w:rPr>
                <w:rFonts w:hint="eastAsia" w:cs="Times New Roman"/>
                <w:b w:val="0"/>
                <w:color w:val="000000"/>
                <w:highlight w:val="none"/>
                <w:lang w:val="en-US" w:eastAsia="zh-CN"/>
              </w:rPr>
              <w:t>（</w:t>
            </w:r>
            <w:r>
              <w:rPr>
                <w:rFonts w:hint="eastAsia" w:ascii="Times New Roman" w:hAnsi="Times New Roman" w:eastAsia="宋体" w:cs="Times New Roman"/>
                <w:b w:val="0"/>
                <w:color w:val="000000"/>
                <w:highlight w:val="none"/>
                <w:lang w:val="en-US" w:eastAsia="zh-CN"/>
              </w:rPr>
              <w:t>2013-2030</w:t>
            </w:r>
            <w:r>
              <w:rPr>
                <w:rFonts w:hint="eastAsia" w:cs="Times New Roman"/>
                <w:b w:val="0"/>
                <w:color w:val="000000"/>
                <w:highlight w:val="none"/>
                <w:lang w:val="en-US" w:eastAsia="zh-CN"/>
              </w:rPr>
              <w:t>）</w:t>
            </w:r>
            <w:r>
              <w:rPr>
                <w:rFonts w:hint="eastAsia" w:ascii="Times New Roman" w:hAnsi="Times New Roman" w:eastAsia="宋体" w:cs="Times New Roman"/>
                <w:b w:val="0"/>
                <w:color w:val="000000"/>
                <w:highlight w:val="none"/>
                <w:lang w:val="en-US" w:eastAsia="zh-CN"/>
              </w:rPr>
              <w:t>环境影响报告书》中结论的要求。</w:t>
            </w:r>
          </w:p>
          <w:p w14:paraId="3CECD3E7">
            <w:pPr>
              <w:keepNext w:val="0"/>
              <w:keepLines w:val="0"/>
              <w:suppressLineNumbers w:val="0"/>
              <w:bidi w:val="0"/>
              <w:adjustRightInd w:val="0"/>
              <w:snapToGrid w:val="0"/>
              <w:spacing w:before="0" w:beforeAutospacing="0" w:after="0" w:afterAutospacing="0"/>
              <w:ind w:left="0" w:leftChars="0" w:right="0" w:firstLine="0" w:firstLineChars="0"/>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3、规划环境影响评价审查意见符合性分析</w:t>
            </w:r>
          </w:p>
          <w:p w14:paraId="09FA3628">
            <w:pPr>
              <w:keepNext w:val="0"/>
              <w:keepLines w:val="0"/>
              <w:suppressLineNumbers w:val="0"/>
              <w:bidi w:val="0"/>
              <w:adjustRightInd w:val="0"/>
              <w:snapToGrid w:val="0"/>
              <w:spacing w:before="0" w:beforeAutospacing="0" w:after="0" w:afterAutospacing="0"/>
              <w:ind w:left="0" w:right="0" w:firstLine="482" w:firstLineChars="200"/>
              <w:rPr>
                <w:rFonts w:hint="eastAsia" w:ascii="Times New Roman" w:hAnsi="Times New Roman" w:eastAsia="宋体" w:cs="Times New Roman"/>
                <w:b/>
                <w:bCs/>
                <w:color w:val="000000"/>
                <w:lang w:val="en-US" w:eastAsia="zh-CN"/>
              </w:rPr>
            </w:pPr>
            <w:r>
              <w:rPr>
                <w:rFonts w:hint="eastAsia" w:ascii="Times New Roman" w:hAnsi="Times New Roman" w:eastAsia="宋体" w:cs="Times New Roman"/>
                <w:b/>
                <w:bCs/>
                <w:color w:val="000000"/>
                <w:lang w:val="en-US" w:eastAsia="zh-CN"/>
              </w:rPr>
              <w:t>《关于尉犁工业园区</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一区两园</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总体规划</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2013-2030</w:t>
            </w:r>
            <w:r>
              <w:rPr>
                <w:rFonts w:hint="eastAsia" w:cs="Times New Roman"/>
                <w:b/>
                <w:bCs/>
                <w:color w:val="000000"/>
                <w:lang w:val="en-US" w:eastAsia="zh-CN"/>
              </w:rPr>
              <w:t>）</w:t>
            </w:r>
            <w:r>
              <w:rPr>
                <w:rFonts w:hint="eastAsia" w:ascii="Times New Roman" w:hAnsi="Times New Roman" w:eastAsia="宋体" w:cs="Times New Roman"/>
                <w:b/>
                <w:bCs/>
                <w:color w:val="000000"/>
                <w:lang w:val="en-US" w:eastAsia="zh-CN"/>
              </w:rPr>
              <w:t>环境影响报告书的审查意见》新环函〔2014〕405号中要求：</w:t>
            </w:r>
          </w:p>
          <w:p w14:paraId="3836605F">
            <w:pPr>
              <w:pStyle w:val="54"/>
              <w:keepNext w:val="0"/>
              <w:keepLines w:val="0"/>
              <w:suppressLineNumbers w:val="0"/>
              <w:spacing w:before="0" w:beforeAutospacing="0" w:after="0" w:afterAutospacing="0"/>
              <w:ind w:left="0" w:right="0"/>
              <w:rPr>
                <w:rFonts w:hint="eastAsia" w:ascii="Times New Roman" w:hAnsi="Times New Roman" w:eastAsia="宋体" w:cs="Times New Roman"/>
                <w:color w:val="000000"/>
                <w:lang w:val="en-US" w:eastAsia="zh-CN"/>
              </w:rPr>
            </w:pPr>
            <w:r>
              <w:rPr>
                <w:rFonts w:hint="eastAsia"/>
              </w:rPr>
              <w:t>（四）</w:t>
            </w:r>
            <w:r>
              <w:rPr>
                <w:rFonts w:hint="eastAsia" w:ascii="Times New Roman" w:hAnsi="Times New Roman" w:eastAsia="宋体" w:cs="Times New Roman"/>
                <w:color w:val="000000"/>
                <w:lang w:val="en-US" w:eastAsia="zh-CN"/>
              </w:rPr>
              <w:t>积极开展清洁生产审核，做好园区节能降耗工作。大力发展园区循环经济，制定切实可行的一般固体废物、危险废物和生产废水综合利用方案，提高资源利用效率。严格落实污染物总量控制要求，提出区域污染物总量消减的具体方案及保障措施。</w:t>
            </w:r>
          </w:p>
          <w:p w14:paraId="2EBE5054">
            <w:pPr>
              <w:pStyle w:val="54"/>
              <w:keepNext w:val="0"/>
              <w:keepLines w:val="0"/>
              <w:suppressLineNumbers w:val="0"/>
              <w:spacing w:before="0" w:beforeAutospacing="0" w:after="0" w:afterAutospacing="0"/>
              <w:ind w:left="0" w:right="0"/>
              <w:rPr>
                <w:rFonts w:hint="default"/>
                <w:lang w:val="en-US" w:eastAsia="zh-CN"/>
              </w:rPr>
            </w:pPr>
            <w:r>
              <w:rPr>
                <w:rFonts w:hint="eastAsia" w:ascii="Times New Roman" w:hAnsi="Times New Roman" w:eastAsia="宋体" w:cs="Times New Roman"/>
                <w:color w:val="000000"/>
                <w:highlight w:val="none"/>
                <w:lang w:val="en-US" w:eastAsia="zh-CN"/>
              </w:rPr>
              <w:t>本项目产生的一般固废：废棉尘、铁磁性杂质、异常籽、瘪籽及轻杂物集中收集后外售；危险废物：氢氧化钠包装袋、废润滑油、废油桶及沾染含油污泥的废手套、废抹布等危险固废收集暂存于危险废物贮存库，定期交由有资质的单位处理；生活垃圾在厂区集中收集，环卫部门定期清运。符合《关于尉犁工业园区</w:t>
            </w:r>
            <w:r>
              <w:rPr>
                <w:rFonts w:hint="eastAsia"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一区两园</w:t>
            </w:r>
            <w:r>
              <w:rPr>
                <w:rFonts w:hint="eastAsia"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总体规划</w:t>
            </w:r>
            <w:r>
              <w:rPr>
                <w:rFonts w:hint="eastAsia"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2013-2030</w:t>
            </w:r>
            <w:r>
              <w:rPr>
                <w:rFonts w:hint="eastAsia" w:cs="Times New Roman"/>
                <w:color w:val="000000"/>
                <w:highlight w:val="none"/>
                <w:lang w:val="en-US" w:eastAsia="zh-CN"/>
              </w:rPr>
              <w:t>）</w:t>
            </w:r>
            <w:r>
              <w:rPr>
                <w:rFonts w:hint="eastAsia" w:ascii="Times New Roman" w:hAnsi="Times New Roman" w:eastAsia="宋体" w:cs="Times New Roman"/>
                <w:color w:val="000000"/>
                <w:highlight w:val="none"/>
                <w:lang w:val="en-US" w:eastAsia="zh-CN"/>
              </w:rPr>
              <w:t>环境影响报告书的审查意见》新环函〔2014〕405号中要求。</w:t>
            </w:r>
          </w:p>
        </w:tc>
      </w:tr>
      <w:tr w14:paraId="53DDCB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46" w:type="dxa"/>
            <w:tcBorders>
              <w:tl2br w:val="nil"/>
              <w:tr2bl w:val="nil"/>
            </w:tcBorders>
            <w:noWrap w:val="0"/>
            <w:vAlign w:val="center"/>
          </w:tcPr>
          <w:p w14:paraId="57F49899">
            <w:pPr>
              <w:keepNext w:val="0"/>
              <w:keepLines w:val="0"/>
              <w:suppressLineNumbers w:val="0"/>
              <w:autoSpaceDE w:val="0"/>
              <w:autoSpaceDN w:val="0"/>
              <w:adjustRightInd w:val="0"/>
              <w:snapToGrid w:val="0"/>
              <w:spacing w:before="0" w:beforeAutospacing="0" w:after="0" w:afterAutospacing="0"/>
              <w:ind w:left="0" w:right="0"/>
              <w:jc w:val="center"/>
              <w:rPr>
                <w:rFonts w:hint="default"/>
                <w:kern w:val="0"/>
                <w:szCs w:val="21"/>
              </w:rPr>
            </w:pPr>
            <w:r>
              <w:rPr>
                <w:rFonts w:hint="default"/>
                <w:kern w:val="0"/>
                <w:szCs w:val="21"/>
              </w:rPr>
              <w:t>其他符合性分析</w:t>
            </w:r>
          </w:p>
        </w:tc>
        <w:tc>
          <w:tcPr>
            <w:tcW w:w="7524" w:type="dxa"/>
            <w:gridSpan w:val="3"/>
            <w:tcBorders>
              <w:tl2br w:val="nil"/>
              <w:tr2bl w:val="nil"/>
            </w:tcBorders>
            <w:noWrap w:val="0"/>
            <w:vAlign w:val="center"/>
          </w:tcPr>
          <w:p w14:paraId="788BBDD1">
            <w:pPr>
              <w:keepNext w:val="0"/>
              <w:keepLines w:val="0"/>
              <w:suppressLineNumbers w:val="0"/>
              <w:spacing w:before="0" w:beforeAutospacing="0" w:after="0" w:afterAutospacing="0"/>
              <w:ind w:left="0" w:right="0"/>
              <w:rPr>
                <w:rFonts w:hint="default"/>
                <w:b/>
                <w:bCs/>
              </w:rPr>
            </w:pPr>
            <w:r>
              <w:rPr>
                <w:rFonts w:hint="eastAsia"/>
                <w:b/>
                <w:bCs/>
              </w:rPr>
              <w:t>1、</w:t>
            </w:r>
            <w:r>
              <w:rPr>
                <w:rFonts w:hint="default"/>
                <w:b/>
                <w:bCs/>
              </w:rPr>
              <w:t>产业政策符合性</w:t>
            </w:r>
          </w:p>
          <w:p w14:paraId="0415A207">
            <w:pPr>
              <w:keepNext w:val="0"/>
              <w:keepLines w:val="0"/>
              <w:suppressLineNumbers w:val="0"/>
              <w:spacing w:before="0" w:beforeAutospacing="0" w:after="0" w:afterAutospacing="0"/>
              <w:ind w:left="0" w:right="0" w:firstLine="480" w:firstLineChars="200"/>
              <w:rPr>
                <w:rFonts w:hint="default"/>
              </w:rPr>
            </w:pPr>
            <w:r>
              <w:rPr>
                <w:rFonts w:hint="default"/>
              </w:rPr>
              <w:t>根据《产业结构调整指导目录（20</w:t>
            </w:r>
            <w:r>
              <w:rPr>
                <w:rFonts w:hint="eastAsia"/>
                <w:lang w:val="en-US" w:eastAsia="zh-CN"/>
              </w:rPr>
              <w:t>24</w:t>
            </w:r>
            <w:r>
              <w:rPr>
                <w:rFonts w:hint="default"/>
              </w:rPr>
              <w:t>年本）》，本项目不属于鼓励、限制类、淘汰类</w:t>
            </w:r>
            <w:r>
              <w:rPr>
                <w:rFonts w:hint="eastAsia"/>
                <w:lang w:eastAsia="zh-CN"/>
              </w:rPr>
              <w:t>。</w:t>
            </w:r>
            <w:r>
              <w:rPr>
                <w:rFonts w:hint="default"/>
              </w:rPr>
              <w:t>《产业结构调整指导目录（20</w:t>
            </w:r>
            <w:r>
              <w:rPr>
                <w:rFonts w:hint="eastAsia"/>
                <w:lang w:val="en-US" w:eastAsia="zh-CN"/>
              </w:rPr>
              <w:t>24</w:t>
            </w:r>
            <w:r>
              <w:rPr>
                <w:rFonts w:hint="default"/>
              </w:rPr>
              <w:t>年本）》</w:t>
            </w:r>
            <w:r>
              <w:rPr>
                <w:rFonts w:hint="eastAsia"/>
                <w:lang w:val="en-US" w:eastAsia="zh-CN"/>
              </w:rPr>
              <w:t>中规定</w:t>
            </w:r>
            <w:r>
              <w:rPr>
                <w:rFonts w:hint="eastAsia"/>
              </w:rPr>
              <w:t>鼓励类、限制类和淘汰类之外的，且符合国家有关法律法规和政策规定的属于允许类</w:t>
            </w:r>
            <w:r>
              <w:rPr>
                <w:rFonts w:hint="eastAsia" w:ascii="宋体" w:hAnsi="宋体" w:cs="宋体"/>
              </w:rPr>
              <w:t>，</w:t>
            </w:r>
            <w:r>
              <w:rPr>
                <w:rFonts w:hint="default"/>
              </w:rPr>
              <w:t>因此项目属</w:t>
            </w:r>
            <w:r>
              <w:rPr>
                <w:rFonts w:hint="eastAsia"/>
                <w:lang w:val="en-US" w:eastAsia="zh-CN"/>
              </w:rPr>
              <w:t>于</w:t>
            </w:r>
            <w:r>
              <w:rPr>
                <w:rFonts w:hint="default"/>
              </w:rPr>
              <w:t>允许类，符合国家的产业政策。</w:t>
            </w:r>
          </w:p>
          <w:p w14:paraId="5A3BA95E">
            <w:pPr>
              <w:pStyle w:val="54"/>
              <w:keepNext w:val="0"/>
              <w:keepLines w:val="0"/>
              <w:suppressLineNumbers w:val="0"/>
              <w:adjustRightInd w:val="0"/>
              <w:snapToGrid w:val="0"/>
              <w:spacing w:before="0" w:beforeAutospacing="0" w:after="0" w:afterAutospacing="0"/>
              <w:ind w:left="0" w:leftChars="0" w:right="0" w:firstLine="0" w:firstLineChars="0"/>
              <w:rPr>
                <w:rFonts w:hint="default"/>
                <w:b/>
                <w:bCs/>
                <w:color w:val="000000"/>
                <w:szCs w:val="24"/>
              </w:rPr>
            </w:pPr>
            <w:r>
              <w:rPr>
                <w:rFonts w:hint="eastAsia"/>
                <w:b/>
                <w:bCs/>
                <w:lang w:val="en-US" w:eastAsia="zh-CN"/>
              </w:rPr>
              <w:t>2、</w:t>
            </w:r>
            <w:r>
              <w:rPr>
                <w:rFonts w:hint="eastAsia"/>
                <w:b/>
                <w:bCs/>
                <w:color w:val="000000"/>
                <w:szCs w:val="24"/>
                <w:lang w:val="en-US" w:eastAsia="zh-CN"/>
              </w:rPr>
              <w:t>生态环境分区管控要求的</w:t>
            </w:r>
            <w:r>
              <w:rPr>
                <w:rFonts w:hint="eastAsia"/>
                <w:b/>
                <w:bCs/>
                <w:color w:val="000000"/>
                <w:szCs w:val="24"/>
              </w:rPr>
              <w:t>符合性分析</w:t>
            </w:r>
          </w:p>
          <w:p w14:paraId="10912C5F">
            <w:pPr>
              <w:keepNext w:val="0"/>
              <w:keepLines w:val="0"/>
              <w:suppressLineNumbers w:val="0"/>
              <w:spacing w:before="0" w:beforeAutospacing="0" w:after="0" w:afterAutospacing="0"/>
              <w:ind w:left="0" w:right="0" w:firstLine="480" w:firstLineChars="200"/>
              <w:rPr>
                <w:rFonts w:hint="eastAsia"/>
                <w:color w:val="000000"/>
                <w:kern w:val="0"/>
                <w:lang w:val="en-US" w:eastAsia="zh-CN"/>
              </w:rPr>
            </w:pPr>
            <w:r>
              <w:rPr>
                <w:rFonts w:hint="eastAsia"/>
                <w:color w:val="000000"/>
                <w:kern w:val="0"/>
                <w:lang w:val="en-US" w:eastAsia="zh-CN"/>
              </w:rPr>
              <w:t>《关于印发&lt;新疆维吾尔自治区生态环境分区管控动态更新成果&gt;的通知》（新政发〔2024〕157号）的符合性分析。</w:t>
            </w:r>
          </w:p>
          <w:p w14:paraId="41941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表1-1 与《关于印发&lt;新疆维吾尔自治区生态环境分区管控动态更新成果&gt;的通知》（新政发〔2024〕157号）的符合性表</w:t>
            </w:r>
          </w:p>
          <w:tbl>
            <w:tblPr>
              <w:tblStyle w:val="71"/>
              <w:tblW w:w="5000" w:type="pct"/>
              <w:tblInd w:w="1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95"/>
              <w:gridCol w:w="697"/>
              <w:gridCol w:w="3487"/>
              <w:gridCol w:w="2729"/>
            </w:tblGrid>
            <w:tr w14:paraId="33AB71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47" w:type="pct"/>
                  <w:gridSpan w:val="2"/>
                  <w:tcBorders>
                    <w:tl2br w:val="nil"/>
                    <w:tr2bl w:val="nil"/>
                  </w:tcBorders>
                  <w:vAlign w:val="center"/>
                </w:tcPr>
                <w:p w14:paraId="5C9355DF">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管控维度</w:t>
                  </w:r>
                </w:p>
              </w:tc>
              <w:tc>
                <w:tcPr>
                  <w:tcW w:w="2385" w:type="pct"/>
                  <w:tcBorders>
                    <w:tl2br w:val="nil"/>
                    <w:tr2bl w:val="nil"/>
                  </w:tcBorders>
                  <w:vAlign w:val="center"/>
                </w:tcPr>
                <w:p w14:paraId="61DEC04C">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管控要求</w:t>
                  </w:r>
                </w:p>
              </w:tc>
              <w:tc>
                <w:tcPr>
                  <w:tcW w:w="1866" w:type="pct"/>
                  <w:tcBorders>
                    <w:tl2br w:val="nil"/>
                    <w:tr2bl w:val="nil"/>
                  </w:tcBorders>
                  <w:vAlign w:val="center"/>
                </w:tcPr>
                <w:p w14:paraId="4F7A092D">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符合性分析</w:t>
                  </w:r>
                </w:p>
              </w:tc>
            </w:tr>
            <w:tr w14:paraId="7C846F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70" w:type="pct"/>
                  <w:vMerge w:val="restart"/>
                  <w:tcBorders>
                    <w:tl2br w:val="nil"/>
                    <w:tr2bl w:val="nil"/>
                  </w:tcBorders>
                  <w:vAlign w:val="center"/>
                </w:tcPr>
                <w:p w14:paraId="139A575F">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A1空间布局约束</w:t>
                  </w:r>
                </w:p>
              </w:tc>
              <w:tc>
                <w:tcPr>
                  <w:tcW w:w="476" w:type="pct"/>
                  <w:tcBorders>
                    <w:tl2br w:val="nil"/>
                    <w:tr2bl w:val="nil"/>
                  </w:tcBorders>
                  <w:vAlign w:val="center"/>
                </w:tcPr>
                <w:p w14:paraId="65DBD737">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A1.1禁止开发建设的活动</w:t>
                  </w:r>
                </w:p>
              </w:tc>
              <w:tc>
                <w:tcPr>
                  <w:tcW w:w="2385" w:type="pct"/>
                  <w:tcBorders>
                    <w:tl2br w:val="nil"/>
                    <w:tr2bl w:val="nil"/>
                  </w:tcBorders>
                  <w:vAlign w:val="center"/>
                </w:tcPr>
                <w:p w14:paraId="76652F94">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〔A1.1-1〕禁止新建、扩建《产业结构调整指导目录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2024年本</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》中淘汰类项目。禁止引入《市场准入负面清单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2022年版</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》禁止准入类事项。</w:t>
                  </w:r>
                </w:p>
              </w:tc>
              <w:tc>
                <w:tcPr>
                  <w:tcW w:w="1866" w:type="pct"/>
                  <w:tcBorders>
                    <w:tl2br w:val="nil"/>
                    <w:tr2bl w:val="nil"/>
                  </w:tcBorders>
                  <w:vAlign w:val="center"/>
                </w:tcPr>
                <w:p w14:paraId="1B6420DE">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符合，本项目属于《产业结构调整指导目录（2024年本）》</w:t>
                  </w:r>
                  <w:r>
                    <w:rPr>
                      <w:rFonts w:hint="eastAsia" w:ascii="Times New Roman" w:hAnsi="Times New Roman" w:eastAsia="宋体" w:cs="Times New Roman"/>
                      <w:b w:val="0"/>
                      <w:bCs/>
                      <w:color w:val="000000"/>
                      <w:spacing w:val="0"/>
                      <w:kern w:val="0"/>
                      <w:position w:val="0"/>
                      <w:sz w:val="21"/>
                      <w:szCs w:val="21"/>
                      <w:lang w:val="en-US" w:eastAsia="en-US" w:bidi="zh-CN"/>
                    </w:rPr>
                    <w:t>允许</w:t>
                  </w:r>
                  <w:r>
                    <w:rPr>
                      <w:rFonts w:hint="default" w:ascii="Times New Roman" w:hAnsi="Times New Roman" w:eastAsia="宋体" w:cs="Times New Roman"/>
                      <w:b w:val="0"/>
                      <w:bCs/>
                      <w:color w:val="000000"/>
                      <w:spacing w:val="0"/>
                      <w:kern w:val="0"/>
                      <w:position w:val="0"/>
                      <w:sz w:val="21"/>
                      <w:szCs w:val="21"/>
                      <w:lang w:val="en-US" w:eastAsia="en-US" w:bidi="zh-CN"/>
                    </w:rPr>
                    <w:t>类项目，不属于《市场准入负面清单（202</w:t>
                  </w:r>
                  <w:r>
                    <w:rPr>
                      <w:rFonts w:hint="eastAsia" w:cs="Times New Roman"/>
                      <w:b w:val="0"/>
                      <w:bCs/>
                      <w:color w:val="000000"/>
                      <w:spacing w:val="0"/>
                      <w:kern w:val="0"/>
                      <w:position w:val="0"/>
                      <w:sz w:val="21"/>
                      <w:szCs w:val="21"/>
                      <w:lang w:val="en-US" w:eastAsia="en-US" w:bidi="zh-CN"/>
                    </w:rPr>
                    <w:t>5</w:t>
                  </w:r>
                  <w:r>
                    <w:rPr>
                      <w:rFonts w:hint="default" w:ascii="Times New Roman" w:hAnsi="Times New Roman" w:eastAsia="宋体" w:cs="Times New Roman"/>
                      <w:b w:val="0"/>
                      <w:bCs/>
                      <w:color w:val="000000"/>
                      <w:spacing w:val="0"/>
                      <w:kern w:val="0"/>
                      <w:position w:val="0"/>
                      <w:sz w:val="21"/>
                      <w:szCs w:val="21"/>
                      <w:lang w:val="en-US" w:eastAsia="en-US" w:bidi="zh-CN"/>
                    </w:rPr>
                    <w:t>年版）》禁止准入事项。</w:t>
                  </w:r>
                </w:p>
              </w:tc>
            </w:tr>
            <w:tr w14:paraId="00D835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 w:type="pct"/>
                  <w:vMerge w:val="continue"/>
                  <w:tcBorders>
                    <w:tl2br w:val="nil"/>
                    <w:tr2bl w:val="nil"/>
                  </w:tcBorders>
                  <w:vAlign w:val="center"/>
                </w:tcPr>
                <w:p w14:paraId="0D703686">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476" w:type="pct"/>
                  <w:tcBorders>
                    <w:tl2br w:val="nil"/>
                    <w:tr2bl w:val="nil"/>
                  </w:tcBorders>
                  <w:vAlign w:val="center"/>
                </w:tcPr>
                <w:p w14:paraId="21290D11">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A1.2限制开发建设的活动</w:t>
                  </w:r>
                </w:p>
              </w:tc>
              <w:tc>
                <w:tcPr>
                  <w:tcW w:w="2385" w:type="pct"/>
                  <w:tcBorders>
                    <w:tl2br w:val="nil"/>
                    <w:tr2bl w:val="nil"/>
                  </w:tcBorders>
                  <w:vAlign w:val="center"/>
                </w:tcPr>
                <w:p w14:paraId="61302271">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866" w:type="pct"/>
                  <w:tcBorders>
                    <w:tl2br w:val="nil"/>
                    <w:tr2bl w:val="nil"/>
                  </w:tcBorders>
                  <w:vAlign w:val="center"/>
                </w:tcPr>
                <w:p w14:paraId="36A24D8D">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符合，本项目用地为工业用地。</w:t>
                  </w:r>
                </w:p>
              </w:tc>
            </w:tr>
            <w:tr w14:paraId="74F692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 w:type="pct"/>
                  <w:vMerge w:val="continue"/>
                  <w:tcBorders>
                    <w:tl2br w:val="nil"/>
                    <w:tr2bl w:val="nil"/>
                  </w:tcBorders>
                  <w:vAlign w:val="center"/>
                </w:tcPr>
                <w:p w14:paraId="7A3D5B51">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476" w:type="pct"/>
                  <w:tcBorders>
                    <w:tl2br w:val="nil"/>
                    <w:tr2bl w:val="nil"/>
                  </w:tcBorders>
                  <w:vAlign w:val="center"/>
                </w:tcPr>
                <w:p w14:paraId="570E080C">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A1.3不符合空间布局要求活动的退出要求</w:t>
                  </w:r>
                </w:p>
              </w:tc>
              <w:tc>
                <w:tcPr>
                  <w:tcW w:w="2385" w:type="pct"/>
                  <w:tcBorders>
                    <w:tl2br w:val="nil"/>
                    <w:tr2bl w:val="nil"/>
                  </w:tcBorders>
                  <w:vAlign w:val="center"/>
                </w:tcPr>
                <w:p w14:paraId="6E53B9B8">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〔A1.3-4〕城市建成区、重点流域内已建成投产化工企业和危险化学品生产企业应加快退城入园，搬入化工园区前企业不应实施改扩建工程扩大生产规模。</w:t>
                  </w:r>
                </w:p>
              </w:tc>
              <w:tc>
                <w:tcPr>
                  <w:tcW w:w="1866" w:type="pct"/>
                  <w:tcBorders>
                    <w:tl2br w:val="nil"/>
                    <w:tr2bl w:val="nil"/>
                  </w:tcBorders>
                  <w:vAlign w:val="center"/>
                </w:tcPr>
                <w:p w14:paraId="4F78EC06">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ascii="Times New Roman" w:hAnsi="Times New Roman" w:eastAsia="宋体" w:cs="Times New Roman"/>
                      <w:b w:val="0"/>
                      <w:bCs/>
                      <w:color w:val="000000"/>
                      <w:spacing w:val="0"/>
                      <w:kern w:val="0"/>
                      <w:position w:val="0"/>
                      <w:sz w:val="21"/>
                      <w:szCs w:val="21"/>
                      <w:lang w:val="en-US" w:bidi="zh-CN"/>
                    </w:rPr>
                    <w:t>位于</w:t>
                  </w:r>
                  <w:r>
                    <w:rPr>
                      <w:rFonts w:hint="eastAsia" w:ascii="Times New Roman" w:hAnsi="Times New Roman" w:eastAsia="宋体" w:cs="Times New Roman"/>
                      <w:b w:val="0"/>
                      <w:bCs/>
                      <w:color w:val="000000"/>
                      <w:spacing w:val="0"/>
                      <w:kern w:val="0"/>
                      <w:position w:val="0"/>
                      <w:sz w:val="21"/>
                      <w:szCs w:val="21"/>
                      <w:lang w:val="en-US" w:eastAsia="zh-CN" w:bidi="zh-CN"/>
                    </w:rPr>
                    <w:t>尉犁工业园区尉北区规划范围内</w:t>
                  </w:r>
                  <w:r>
                    <w:rPr>
                      <w:rFonts w:hint="default" w:ascii="Times New Roman" w:hAnsi="Times New Roman" w:eastAsia="宋体" w:cs="Times New Roman"/>
                      <w:b w:val="0"/>
                      <w:bCs/>
                      <w:color w:val="000000"/>
                      <w:spacing w:val="0"/>
                      <w:kern w:val="0"/>
                      <w:position w:val="0"/>
                      <w:sz w:val="21"/>
                      <w:szCs w:val="21"/>
                      <w:lang w:val="en-US" w:bidi="zh-CN"/>
                    </w:rPr>
                    <w:t>。</w:t>
                  </w:r>
                </w:p>
              </w:tc>
            </w:tr>
            <w:tr w14:paraId="103821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 w:type="pct"/>
                  <w:vMerge w:val="continue"/>
                  <w:tcBorders>
                    <w:tl2br w:val="nil"/>
                    <w:tr2bl w:val="nil"/>
                  </w:tcBorders>
                  <w:vAlign w:val="center"/>
                </w:tcPr>
                <w:p w14:paraId="6F646690">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476" w:type="pct"/>
                  <w:tcBorders>
                    <w:tl2br w:val="nil"/>
                    <w:tr2bl w:val="nil"/>
                  </w:tcBorders>
                  <w:vAlign w:val="center"/>
                </w:tcPr>
                <w:p w14:paraId="04BB06EE">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w:t>
                  </w:r>
                  <w:r>
                    <w:rPr>
                      <w:rFonts w:hint="eastAsia" w:cs="Times New Roman"/>
                      <w:b w:val="0"/>
                      <w:bCs/>
                      <w:color w:val="000000"/>
                      <w:spacing w:val="0"/>
                      <w:kern w:val="0"/>
                      <w:position w:val="0"/>
                      <w:sz w:val="21"/>
                      <w:szCs w:val="21"/>
                      <w:lang w:val="en-US" w:bidi="zh-CN"/>
                    </w:rPr>
                    <w:t>其他</w:t>
                  </w:r>
                  <w:r>
                    <w:rPr>
                      <w:rFonts w:hint="default" w:ascii="Times New Roman" w:hAnsi="Times New Roman" w:eastAsia="宋体" w:cs="Times New Roman"/>
                      <w:b w:val="0"/>
                      <w:bCs/>
                      <w:color w:val="000000"/>
                      <w:spacing w:val="0"/>
                      <w:kern w:val="0"/>
                      <w:position w:val="0"/>
                      <w:sz w:val="21"/>
                      <w:szCs w:val="21"/>
                      <w:lang w:val="en-US" w:bidi="zh-CN"/>
                    </w:rPr>
                    <w:t>布局要求</w:t>
                  </w:r>
                </w:p>
              </w:tc>
              <w:tc>
                <w:tcPr>
                  <w:tcW w:w="2385" w:type="pct"/>
                  <w:tcBorders>
                    <w:tl2br w:val="nil"/>
                    <w:tr2bl w:val="nil"/>
                  </w:tcBorders>
                  <w:vAlign w:val="center"/>
                </w:tcPr>
                <w:p w14:paraId="599840EC">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1866" w:type="pct"/>
                  <w:tcBorders>
                    <w:tl2br w:val="nil"/>
                    <w:tr2bl w:val="nil"/>
                  </w:tcBorders>
                  <w:vAlign w:val="center"/>
                </w:tcPr>
                <w:p w14:paraId="493E433C">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符合，本项目位于</w:t>
                  </w:r>
                  <w:r>
                    <w:rPr>
                      <w:rFonts w:hint="default" w:ascii="Times New Roman" w:hAnsi="Times New Roman" w:eastAsia="宋体" w:cs="Times New Roman"/>
                      <w:b w:val="0"/>
                      <w:bCs/>
                      <w:color w:val="000000"/>
                      <w:spacing w:val="0"/>
                      <w:kern w:val="0"/>
                      <w:position w:val="0"/>
                      <w:sz w:val="21"/>
                      <w:szCs w:val="21"/>
                      <w:lang w:val="en-US" w:eastAsia="zh-CN" w:bidi="zh-CN"/>
                    </w:rPr>
                    <w:t>尉犁工业园区尉北区棉纺织加工业片区规划范围内</w:t>
                  </w:r>
                  <w:r>
                    <w:rPr>
                      <w:rFonts w:hint="eastAsia" w:ascii="Times New Roman" w:hAnsi="Times New Roman" w:eastAsia="宋体" w:cs="Times New Roman"/>
                      <w:b w:val="0"/>
                      <w:bCs/>
                      <w:color w:val="000000"/>
                      <w:spacing w:val="0"/>
                      <w:kern w:val="0"/>
                      <w:position w:val="0"/>
                      <w:sz w:val="21"/>
                      <w:szCs w:val="21"/>
                      <w:lang w:val="en-US" w:eastAsia="zh-CN" w:bidi="zh-CN"/>
                    </w:rPr>
                    <w:t>，符合园区规划</w:t>
                  </w:r>
                  <w:r>
                    <w:rPr>
                      <w:rFonts w:hint="default" w:ascii="Times New Roman" w:hAnsi="Times New Roman" w:eastAsia="宋体" w:cs="Times New Roman"/>
                      <w:b w:val="0"/>
                      <w:bCs/>
                      <w:color w:val="000000"/>
                      <w:spacing w:val="0"/>
                      <w:kern w:val="0"/>
                      <w:position w:val="0"/>
                      <w:sz w:val="21"/>
                      <w:szCs w:val="21"/>
                      <w:lang w:val="en-US" w:eastAsia="zh-CN" w:bidi="zh-CN"/>
                    </w:rPr>
                    <w:t>。</w:t>
                  </w:r>
                </w:p>
              </w:tc>
            </w:tr>
            <w:tr w14:paraId="4A76C4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70" w:type="pct"/>
                  <w:tcBorders>
                    <w:tl2br w:val="nil"/>
                    <w:tr2bl w:val="nil"/>
                  </w:tcBorders>
                  <w:vAlign w:val="center"/>
                </w:tcPr>
                <w:p w14:paraId="7FB096D8">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A2污染物排放管控</w:t>
                  </w:r>
                </w:p>
              </w:tc>
              <w:tc>
                <w:tcPr>
                  <w:tcW w:w="476" w:type="pct"/>
                  <w:tcBorders>
                    <w:tl2br w:val="nil"/>
                    <w:tr2bl w:val="nil"/>
                  </w:tcBorders>
                  <w:vAlign w:val="center"/>
                </w:tcPr>
                <w:p w14:paraId="058784ED">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A2.2污染控制措施要求</w:t>
                  </w:r>
                </w:p>
              </w:tc>
              <w:tc>
                <w:tcPr>
                  <w:tcW w:w="2385" w:type="pct"/>
                  <w:tcBorders>
                    <w:tl2br w:val="nil"/>
                    <w:tr2bl w:val="nil"/>
                  </w:tcBorders>
                  <w:vAlign w:val="center"/>
                </w:tcPr>
                <w:p w14:paraId="03855BD7">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866" w:type="pct"/>
                  <w:tcBorders>
                    <w:tl2br w:val="nil"/>
                    <w:tr2bl w:val="nil"/>
                  </w:tcBorders>
                  <w:vAlign w:val="center"/>
                </w:tcPr>
                <w:p w14:paraId="74443D52">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符合，本项目产生的生活污水进入园区下水管网，最终进入</w:t>
                  </w:r>
                  <w:r>
                    <w:rPr>
                      <w:rFonts w:hint="eastAsia" w:cs="Times New Roman"/>
                      <w:b w:val="0"/>
                      <w:bCs/>
                      <w:color w:val="000000"/>
                      <w:spacing w:val="0"/>
                      <w:kern w:val="0"/>
                      <w:position w:val="0"/>
                      <w:sz w:val="21"/>
                      <w:szCs w:val="21"/>
                      <w:highlight w:val="none"/>
                      <w:lang w:val="en-US" w:bidi="zh-CN"/>
                    </w:rPr>
                    <w:t>尉犁县</w:t>
                  </w:r>
                  <w:r>
                    <w:rPr>
                      <w:rFonts w:hint="default" w:ascii="Times New Roman" w:hAnsi="Times New Roman" w:eastAsia="宋体" w:cs="Times New Roman"/>
                      <w:b w:val="0"/>
                      <w:bCs/>
                      <w:color w:val="000000"/>
                      <w:spacing w:val="0"/>
                      <w:kern w:val="0"/>
                      <w:position w:val="0"/>
                      <w:sz w:val="21"/>
                      <w:szCs w:val="21"/>
                      <w:highlight w:val="none"/>
                      <w:lang w:val="en-US" w:bidi="zh-CN"/>
                    </w:rPr>
                    <w:t>污水处理厂</w:t>
                  </w:r>
                  <w:r>
                    <w:rPr>
                      <w:rFonts w:hint="eastAsia" w:ascii="Times New Roman" w:hAnsi="Times New Roman" w:eastAsia="宋体" w:cs="Times New Roman"/>
                      <w:b w:val="0"/>
                      <w:bCs/>
                      <w:color w:val="000000"/>
                      <w:spacing w:val="0"/>
                      <w:kern w:val="0"/>
                      <w:position w:val="0"/>
                      <w:sz w:val="21"/>
                      <w:szCs w:val="21"/>
                      <w:lang w:val="en-US" w:bidi="zh-CN"/>
                    </w:rPr>
                    <w:t>处理</w:t>
                  </w:r>
                  <w:r>
                    <w:rPr>
                      <w:rFonts w:hint="default" w:ascii="Times New Roman" w:hAnsi="Times New Roman" w:eastAsia="宋体" w:cs="Times New Roman"/>
                      <w:b w:val="0"/>
                      <w:bCs/>
                      <w:color w:val="000000"/>
                      <w:spacing w:val="0"/>
                      <w:kern w:val="0"/>
                      <w:position w:val="0"/>
                      <w:sz w:val="21"/>
                      <w:szCs w:val="21"/>
                      <w:lang w:val="en-US" w:bidi="zh-CN"/>
                    </w:rPr>
                    <w:t>。</w:t>
                  </w:r>
                </w:p>
              </w:tc>
            </w:tr>
            <w:tr w14:paraId="4E10AB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70" w:type="pct"/>
                  <w:tcBorders>
                    <w:tl2br w:val="nil"/>
                    <w:tr2bl w:val="nil"/>
                  </w:tcBorders>
                  <w:vAlign w:val="center"/>
                </w:tcPr>
                <w:p w14:paraId="2F62259B">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A4资源利用要求</w:t>
                  </w:r>
                </w:p>
              </w:tc>
              <w:tc>
                <w:tcPr>
                  <w:tcW w:w="476" w:type="pct"/>
                  <w:tcBorders>
                    <w:tl2br w:val="nil"/>
                    <w:tr2bl w:val="nil"/>
                  </w:tcBorders>
                  <w:vAlign w:val="center"/>
                </w:tcPr>
                <w:p w14:paraId="20753F89">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A4.5资源综合利用</w:t>
                  </w:r>
                </w:p>
              </w:tc>
              <w:tc>
                <w:tcPr>
                  <w:tcW w:w="2385" w:type="pct"/>
                  <w:tcBorders>
                    <w:tl2br w:val="nil"/>
                    <w:tr2bl w:val="nil"/>
                  </w:tcBorders>
                  <w:vAlign w:val="center"/>
                </w:tcPr>
                <w:p w14:paraId="1AEB2AAA">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市</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生活垃圾处理设施，到2025年，全疆城市生活垃圾无害化处理率达到99%以上。</w:t>
                  </w:r>
                </w:p>
              </w:tc>
              <w:tc>
                <w:tcPr>
                  <w:tcW w:w="1866" w:type="pct"/>
                  <w:tcBorders>
                    <w:tl2br w:val="nil"/>
                    <w:tr2bl w:val="nil"/>
                  </w:tcBorders>
                  <w:vAlign w:val="center"/>
                </w:tcPr>
                <w:p w14:paraId="724653EB">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w:t>
                  </w:r>
                  <w:r>
                    <w:rPr>
                      <w:rFonts w:hint="default" w:ascii="Times New Roman" w:hAnsi="Times New Roman" w:eastAsia="宋体" w:cs="Times New Roman"/>
                      <w:b w:val="0"/>
                      <w:bCs/>
                      <w:color w:val="000000"/>
                      <w:spacing w:val="0"/>
                      <w:kern w:val="0"/>
                      <w:position w:val="0"/>
                      <w:sz w:val="21"/>
                      <w:szCs w:val="21"/>
                      <w:highlight w:val="none"/>
                      <w:lang w:val="en-US" w:bidi="zh-CN"/>
                    </w:rPr>
                    <w:t>本项目产生的</w:t>
                  </w:r>
                  <w:r>
                    <w:rPr>
                      <w:rFonts w:hint="default" w:ascii="Times New Roman" w:hAnsi="Times New Roman" w:eastAsia="宋体" w:cs="Times New Roman"/>
                      <w:b w:val="0"/>
                      <w:bCs/>
                      <w:color w:val="000000"/>
                      <w:spacing w:val="0"/>
                      <w:kern w:val="0"/>
                      <w:position w:val="0"/>
                      <w:sz w:val="21"/>
                      <w:szCs w:val="21"/>
                      <w:highlight w:val="none"/>
                      <w:lang w:val="en-US" w:eastAsia="zh-CN" w:bidi="zh-CN"/>
                    </w:rPr>
                    <w:t>一般固废：废棉尘、铁磁性杂质、异常籽、瘪籽及轻杂物集中收集后外售</w:t>
                  </w:r>
                  <w:r>
                    <w:rPr>
                      <w:rFonts w:hint="eastAsia" w:cs="Times New Roman"/>
                      <w:b w:val="0"/>
                      <w:bCs/>
                      <w:color w:val="000000"/>
                      <w:spacing w:val="0"/>
                      <w:kern w:val="0"/>
                      <w:position w:val="0"/>
                      <w:sz w:val="21"/>
                      <w:szCs w:val="21"/>
                      <w:highlight w:val="none"/>
                      <w:lang w:val="en-US" w:eastAsia="zh-CN" w:bidi="zh-CN"/>
                    </w:rPr>
                    <w:t>；</w:t>
                  </w:r>
                  <w:r>
                    <w:rPr>
                      <w:rFonts w:hint="default" w:ascii="Times New Roman" w:hAnsi="Times New Roman" w:eastAsia="宋体" w:cs="Times New Roman"/>
                      <w:b w:val="0"/>
                      <w:bCs/>
                      <w:color w:val="000000"/>
                      <w:spacing w:val="0"/>
                      <w:kern w:val="0"/>
                      <w:position w:val="0"/>
                      <w:sz w:val="21"/>
                      <w:szCs w:val="21"/>
                      <w:highlight w:val="none"/>
                      <w:lang w:val="en-US" w:eastAsia="zh-CN" w:bidi="zh-CN"/>
                    </w:rPr>
                    <w:t>危险废物：氢氧化钠包装袋、废润滑油、废油桶及沾染含油污泥的废手套、废抹布等危险固废收集暂存于危险废物贮存库，定期交由有资质的单位处理</w:t>
                  </w:r>
                  <w:r>
                    <w:rPr>
                      <w:rFonts w:hint="eastAsia" w:cs="Times New Roman"/>
                      <w:b w:val="0"/>
                      <w:bCs/>
                      <w:color w:val="000000"/>
                      <w:spacing w:val="0"/>
                      <w:kern w:val="0"/>
                      <w:position w:val="0"/>
                      <w:sz w:val="21"/>
                      <w:szCs w:val="21"/>
                      <w:highlight w:val="none"/>
                      <w:lang w:val="en-US" w:eastAsia="zh-CN" w:bidi="zh-CN"/>
                    </w:rPr>
                    <w:t>；</w:t>
                  </w:r>
                  <w:r>
                    <w:rPr>
                      <w:rFonts w:hint="default" w:ascii="Times New Roman" w:hAnsi="Times New Roman" w:eastAsia="宋体" w:cs="Times New Roman"/>
                      <w:b w:val="0"/>
                      <w:bCs/>
                      <w:color w:val="000000"/>
                      <w:spacing w:val="0"/>
                      <w:kern w:val="0"/>
                      <w:position w:val="0"/>
                      <w:sz w:val="21"/>
                      <w:szCs w:val="21"/>
                      <w:highlight w:val="none"/>
                      <w:lang w:val="en-US" w:eastAsia="zh-CN" w:bidi="zh-CN"/>
                    </w:rPr>
                    <w:t>生活垃圾在厂区集中收集，环卫部门定期清运。</w:t>
                  </w:r>
                </w:p>
              </w:tc>
            </w:tr>
          </w:tbl>
          <w:p w14:paraId="78160E9C">
            <w:pPr>
              <w:pStyle w:val="83"/>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综上所述，本项目符合《关于印发&lt;新疆维吾尔自治区生态环境分区管控动态更新成果&gt;的通知》（新政发〔2024〕157号）管控要求</w:t>
            </w:r>
            <w:r>
              <w:rPr>
                <w:rFonts w:hint="eastAsia"/>
                <w:lang w:eastAsia="zh-CN"/>
              </w:rPr>
              <w:t>。</w:t>
            </w:r>
          </w:p>
          <w:p w14:paraId="17B9D1CF">
            <w:pPr>
              <w:pStyle w:val="83"/>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本项目与</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符合性分析见表1-2</w:t>
            </w:r>
            <w:r>
              <w:rPr>
                <w:rFonts w:hint="eastAsia"/>
                <w:lang w:eastAsia="zh-CN"/>
              </w:rPr>
              <w:t>。</w:t>
            </w:r>
          </w:p>
          <w:p w14:paraId="7A254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2" w:firstLineChars="200"/>
              <w:jc w:val="both"/>
              <w:textAlignment w:val="auto"/>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表1-</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新疆维吾尔自治区七大片区“三线一单”分析</w:t>
            </w:r>
          </w:p>
          <w:tbl>
            <w:tblPr>
              <w:tblStyle w:val="3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192"/>
              <w:gridCol w:w="2776"/>
              <w:gridCol w:w="716"/>
            </w:tblGrid>
            <w:tr w14:paraId="6359D4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14:paraId="0B8F18E0">
                  <w:pPr>
                    <w:keepNext w:val="0"/>
                    <w:keepLines w:val="0"/>
                    <w:widowControl/>
                    <w:suppressLineNumbers w:val="0"/>
                    <w:autoSpaceDE/>
                    <w:autoSpaceDN/>
                    <w:spacing w:before="0" w:beforeAutospacing="0" w:after="0" w:afterAutospacing="0" w:line="320" w:lineRule="exact"/>
                    <w:ind w:left="0" w:right="0"/>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管控要求</w:t>
                  </w:r>
                </w:p>
              </w:tc>
              <w:tc>
                <w:tcPr>
                  <w:tcW w:w="3192" w:type="dxa"/>
                  <w:tcBorders>
                    <w:tl2br w:val="nil"/>
                    <w:tr2bl w:val="nil"/>
                  </w:tcBorders>
                  <w:noWrap w:val="0"/>
                  <w:vAlign w:val="center"/>
                </w:tcPr>
                <w:p w14:paraId="40D4E9A3">
                  <w:pPr>
                    <w:keepNext w:val="0"/>
                    <w:keepLines w:val="0"/>
                    <w:widowControl/>
                    <w:suppressLineNumbers w:val="0"/>
                    <w:autoSpaceDE/>
                    <w:autoSpaceDN/>
                    <w:spacing w:before="0" w:beforeAutospacing="0" w:after="0" w:afterAutospacing="0" w:line="320" w:lineRule="exact"/>
                    <w:ind w:left="0" w:right="0"/>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“三线一单”要求</w:t>
                  </w:r>
                </w:p>
              </w:tc>
              <w:tc>
                <w:tcPr>
                  <w:tcW w:w="2776" w:type="dxa"/>
                  <w:tcBorders>
                    <w:tl2br w:val="nil"/>
                    <w:tr2bl w:val="nil"/>
                  </w:tcBorders>
                  <w:noWrap w:val="0"/>
                  <w:vAlign w:val="center"/>
                </w:tcPr>
                <w:p w14:paraId="759D3772">
                  <w:pPr>
                    <w:keepNext w:val="0"/>
                    <w:keepLines w:val="0"/>
                    <w:widowControl/>
                    <w:suppressLineNumbers w:val="0"/>
                    <w:autoSpaceDE/>
                    <w:autoSpaceDN/>
                    <w:spacing w:before="0" w:beforeAutospacing="0" w:after="0" w:afterAutospacing="0" w:line="320" w:lineRule="exact"/>
                    <w:ind w:left="0" w:right="0"/>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工程具体情况</w:t>
                  </w:r>
                </w:p>
              </w:tc>
              <w:tc>
                <w:tcPr>
                  <w:tcW w:w="716" w:type="dxa"/>
                  <w:tcBorders>
                    <w:tl2br w:val="nil"/>
                    <w:tr2bl w:val="nil"/>
                  </w:tcBorders>
                  <w:noWrap w:val="0"/>
                  <w:vAlign w:val="center"/>
                </w:tcPr>
                <w:p w14:paraId="0504FD84">
                  <w:pPr>
                    <w:keepNext w:val="0"/>
                    <w:keepLines w:val="0"/>
                    <w:widowControl/>
                    <w:suppressLineNumbers w:val="0"/>
                    <w:autoSpaceDE/>
                    <w:autoSpaceDN/>
                    <w:spacing w:before="0" w:beforeAutospacing="0" w:after="0" w:afterAutospacing="0" w:line="320" w:lineRule="exact"/>
                    <w:ind w:left="0" w:right="0"/>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符合性</w:t>
                  </w:r>
                </w:p>
              </w:tc>
            </w:tr>
            <w:tr w14:paraId="4B66A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14:paraId="7F303973">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空间布局约束</w:t>
                  </w:r>
                </w:p>
              </w:tc>
              <w:tc>
                <w:tcPr>
                  <w:tcW w:w="3192" w:type="dxa"/>
                  <w:tcBorders>
                    <w:tl2br w:val="nil"/>
                    <w:tr2bl w:val="nil"/>
                  </w:tcBorders>
                  <w:noWrap w:val="0"/>
                  <w:vAlign w:val="center"/>
                </w:tcPr>
                <w:p w14:paraId="1689FD33">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严格执行国家、自治区产业政策和环境准入要求，严禁</w:t>
                  </w:r>
                  <w:r>
                    <w:rPr>
                      <w:rFonts w:hint="eastAsia"/>
                      <w:spacing w:val="0"/>
                      <w:kern w:val="0"/>
                      <w:lang w:eastAsia="zh-CN"/>
                    </w:rPr>
                    <w:t>“</w:t>
                  </w:r>
                  <w:r>
                    <w:rPr>
                      <w:rFonts w:hint="eastAsia"/>
                      <w:spacing w:val="0"/>
                      <w:kern w:val="0"/>
                    </w:rPr>
                    <w:t>三高</w:t>
                  </w:r>
                  <w:r>
                    <w:rPr>
                      <w:rFonts w:hint="eastAsia"/>
                      <w:spacing w:val="0"/>
                      <w:kern w:val="0"/>
                      <w:lang w:eastAsia="zh-CN"/>
                    </w:rPr>
                    <w:t>”</w:t>
                  </w:r>
                  <w:r>
                    <w:rPr>
                      <w:rFonts w:hint="eastAsia"/>
                      <w:spacing w:val="0"/>
                      <w:kern w:val="0"/>
                    </w:rPr>
                    <w:t>项目进入新疆，坚决遏制</w:t>
                  </w:r>
                  <w:r>
                    <w:rPr>
                      <w:rFonts w:hint="eastAsia"/>
                      <w:spacing w:val="0"/>
                      <w:kern w:val="0"/>
                      <w:lang w:eastAsia="zh-CN"/>
                    </w:rPr>
                    <w:t>“</w:t>
                  </w:r>
                  <w:r>
                    <w:rPr>
                      <w:rFonts w:hint="eastAsia"/>
                      <w:spacing w:val="0"/>
                      <w:kern w:val="0"/>
                    </w:rPr>
                    <w:t>两高</w:t>
                  </w:r>
                  <w:r>
                    <w:rPr>
                      <w:rFonts w:hint="eastAsia"/>
                      <w:spacing w:val="0"/>
                      <w:kern w:val="0"/>
                      <w:lang w:eastAsia="zh-CN"/>
                    </w:rPr>
                    <w:t>”</w:t>
                  </w:r>
                  <w:r>
                    <w:rPr>
                      <w:rFonts w:hint="eastAsia"/>
                      <w:spacing w:val="0"/>
                      <w:kern w:val="0"/>
                    </w:rPr>
                    <w:t>项目盲目发展。不得在水源涵养区、饮用水水源保护区内和河流、湖泊、水库周围建设重化工、涉重金属等工业污染项目。推动项目集聚发展，新建、改建、扩建工业项目原则应布置于县级及以上人民政府批准建立、环境保护设施完善的产业园区、工业聚集区或规划矿区，并且符合相关规划和规划环评要求。</w:t>
                  </w:r>
                </w:p>
              </w:tc>
              <w:tc>
                <w:tcPr>
                  <w:tcW w:w="2776" w:type="dxa"/>
                  <w:tcBorders>
                    <w:tl2br w:val="nil"/>
                    <w:tr2bl w:val="nil"/>
                  </w:tcBorders>
                  <w:noWrap w:val="0"/>
                  <w:vAlign w:val="center"/>
                </w:tcPr>
                <w:p w14:paraId="50EED878">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default"/>
                      <w:spacing w:val="0"/>
                      <w:kern w:val="0"/>
                    </w:rPr>
                  </w:pPr>
                  <w:r>
                    <w:rPr>
                      <w:rFonts w:hint="eastAsia"/>
                      <w:spacing w:val="0"/>
                      <w:kern w:val="0"/>
                    </w:rPr>
                    <w:t>本项目不属于</w:t>
                  </w:r>
                  <w:r>
                    <w:rPr>
                      <w:rFonts w:hint="eastAsia"/>
                      <w:spacing w:val="0"/>
                      <w:kern w:val="0"/>
                      <w:lang w:eastAsia="zh-CN"/>
                    </w:rPr>
                    <w:t>“</w:t>
                  </w:r>
                  <w:r>
                    <w:rPr>
                      <w:rFonts w:hint="eastAsia"/>
                      <w:spacing w:val="0"/>
                      <w:kern w:val="0"/>
                    </w:rPr>
                    <w:t>三高项目</w:t>
                  </w:r>
                  <w:r>
                    <w:rPr>
                      <w:rFonts w:hint="eastAsia"/>
                      <w:spacing w:val="0"/>
                      <w:kern w:val="0"/>
                      <w:lang w:eastAsia="zh-CN"/>
                    </w:rPr>
                    <w:t>”</w:t>
                  </w:r>
                  <w:r>
                    <w:rPr>
                      <w:rFonts w:hint="eastAsia"/>
                      <w:spacing w:val="0"/>
                      <w:kern w:val="0"/>
                    </w:rPr>
                    <w:t>。项目周边无水源涵养区、饮用水水源</w:t>
                  </w:r>
                  <w:r>
                    <w:rPr>
                      <w:rFonts w:hint="eastAsia"/>
                      <w:spacing w:val="0"/>
                      <w:kern w:val="0"/>
                      <w:lang w:eastAsia="zh-CN"/>
                    </w:rPr>
                    <w:t>保护区</w:t>
                  </w:r>
                  <w:r>
                    <w:rPr>
                      <w:rFonts w:hint="eastAsia"/>
                      <w:spacing w:val="0"/>
                      <w:kern w:val="0"/>
                    </w:rPr>
                    <w:t>和河流、湖泊、水库。本项目</w:t>
                  </w:r>
                  <w:r>
                    <w:rPr>
                      <w:rFonts w:hint="eastAsia"/>
                      <w:spacing w:val="0"/>
                      <w:kern w:val="0"/>
                      <w:lang w:val="en-US" w:eastAsia="zh-CN"/>
                    </w:rPr>
                    <w:t>位于尉犁工业园区尉北区，且符合园区规划及规划环评的要求。</w:t>
                  </w:r>
                </w:p>
              </w:tc>
              <w:tc>
                <w:tcPr>
                  <w:tcW w:w="716" w:type="dxa"/>
                  <w:tcBorders>
                    <w:tl2br w:val="nil"/>
                    <w:tr2bl w:val="nil"/>
                  </w:tcBorders>
                  <w:noWrap w:val="0"/>
                  <w:vAlign w:val="center"/>
                </w:tcPr>
                <w:p w14:paraId="12B862FF">
                  <w:pPr>
                    <w:pStyle w:val="84"/>
                    <w:keepNext w:val="0"/>
                    <w:keepLines w:val="0"/>
                    <w:widowControl/>
                    <w:suppressLineNumbers w:val="0"/>
                    <w:bidi w:val="0"/>
                    <w:spacing w:before="0" w:beforeAutospacing="0" w:after="0" w:afterAutospacing="0"/>
                    <w:ind w:left="0" w:right="0"/>
                    <w:rPr>
                      <w:rFonts w:hint="eastAsia"/>
                      <w:spacing w:val="0"/>
                      <w:kern w:val="0"/>
                    </w:rPr>
                  </w:pPr>
                  <w:r>
                    <w:rPr>
                      <w:rFonts w:hint="eastAsia"/>
                      <w:spacing w:val="0"/>
                      <w:kern w:val="0"/>
                    </w:rPr>
                    <w:t>符合</w:t>
                  </w:r>
                </w:p>
              </w:tc>
            </w:tr>
            <w:tr w14:paraId="5F97D6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14:paraId="4757814E">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污染物排放管控</w:t>
                  </w:r>
                </w:p>
              </w:tc>
              <w:tc>
                <w:tcPr>
                  <w:tcW w:w="3192" w:type="dxa"/>
                  <w:tcBorders>
                    <w:tl2br w:val="nil"/>
                    <w:tr2bl w:val="nil"/>
                  </w:tcBorders>
                  <w:noWrap w:val="0"/>
                  <w:vAlign w:val="center"/>
                </w:tcPr>
                <w:p w14:paraId="4FFF232B">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深化行业污染源头治理，深入开展火电行业减排，全力推进钢铁行业超低排放改造，有序推进石化行业</w:t>
                  </w:r>
                  <w:r>
                    <w:rPr>
                      <w:rFonts w:hint="eastAsia"/>
                      <w:spacing w:val="0"/>
                      <w:kern w:val="0"/>
                      <w:lang w:eastAsia="zh-CN"/>
                    </w:rPr>
                    <w:t>“</w:t>
                  </w:r>
                  <w:r>
                    <w:rPr>
                      <w:rFonts w:hint="eastAsia"/>
                      <w:spacing w:val="0"/>
                      <w:kern w:val="0"/>
                    </w:rPr>
                    <w:t>泄漏检测与修复</w:t>
                  </w:r>
                  <w:r>
                    <w:rPr>
                      <w:rFonts w:hint="eastAsia"/>
                      <w:spacing w:val="0"/>
                      <w:kern w:val="0"/>
                      <w:lang w:eastAsia="zh-CN"/>
                    </w:rPr>
                    <w:t>”</w:t>
                  </w:r>
                  <w:r>
                    <w:rPr>
                      <w:rFonts w:hint="eastAsia"/>
                      <w:spacing w:val="0"/>
                      <w:kern w:val="0"/>
                    </w:rPr>
                    <w:t>技术改造。强化煤化工、石化、有机化工、表面涂装、包装印刷等重点行业挥发性有机物控制。深入开展燃煤锅炉污染综合整治，深化工业炉窑综合治理。加强</w:t>
                  </w:r>
                  <w:r>
                    <w:rPr>
                      <w:rFonts w:hint="eastAsia"/>
                      <w:spacing w:val="0"/>
                      <w:kern w:val="0"/>
                      <w:lang w:eastAsia="zh-CN"/>
                    </w:rPr>
                    <w:t>“</w:t>
                  </w:r>
                  <w:r>
                    <w:rPr>
                      <w:rFonts w:hint="eastAsia"/>
                      <w:spacing w:val="0"/>
                      <w:kern w:val="0"/>
                    </w:rPr>
                    <w:t>散乱污</w:t>
                  </w:r>
                  <w:r>
                    <w:rPr>
                      <w:rFonts w:hint="eastAsia"/>
                      <w:spacing w:val="0"/>
                      <w:kern w:val="0"/>
                      <w:lang w:eastAsia="zh-CN"/>
                    </w:rPr>
                    <w:t>”</w:t>
                  </w:r>
                  <w:r>
                    <w:rPr>
                      <w:rFonts w:hint="eastAsia"/>
                      <w:spacing w:val="0"/>
                      <w:kern w:val="0"/>
                    </w:rPr>
                    <w:t>企业综合整治。优化区域交通运输结构，加快货物运输绿色转型，做好车油联合管控。</w:t>
                  </w:r>
                </w:p>
              </w:tc>
              <w:tc>
                <w:tcPr>
                  <w:tcW w:w="2776" w:type="dxa"/>
                  <w:tcBorders>
                    <w:tl2br w:val="nil"/>
                    <w:tr2bl w:val="nil"/>
                  </w:tcBorders>
                  <w:noWrap w:val="0"/>
                  <w:vAlign w:val="center"/>
                </w:tcPr>
                <w:p w14:paraId="75EAE853">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default"/>
                      <w:spacing w:val="0"/>
                      <w:kern w:val="0"/>
                      <w:lang w:val="en-US" w:eastAsia="zh-CN"/>
                    </w:rPr>
                  </w:pPr>
                  <w:r>
                    <w:rPr>
                      <w:rFonts w:hint="default"/>
                      <w:spacing w:val="0"/>
                      <w:kern w:val="0"/>
                      <w:lang w:val="en-US" w:eastAsia="zh-CN"/>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w:t>
                  </w:r>
                </w:p>
              </w:tc>
              <w:tc>
                <w:tcPr>
                  <w:tcW w:w="716" w:type="dxa"/>
                  <w:tcBorders>
                    <w:tl2br w:val="nil"/>
                    <w:tr2bl w:val="nil"/>
                  </w:tcBorders>
                  <w:noWrap w:val="0"/>
                  <w:vAlign w:val="center"/>
                </w:tcPr>
                <w:p w14:paraId="3EBEBF91">
                  <w:pPr>
                    <w:pStyle w:val="84"/>
                    <w:keepNext w:val="0"/>
                    <w:keepLines w:val="0"/>
                    <w:widowControl/>
                    <w:suppressLineNumbers w:val="0"/>
                    <w:bidi w:val="0"/>
                    <w:spacing w:before="0" w:beforeAutospacing="0" w:after="0" w:afterAutospacing="0"/>
                    <w:ind w:left="0" w:right="0"/>
                    <w:rPr>
                      <w:rFonts w:hint="eastAsia"/>
                      <w:spacing w:val="0"/>
                      <w:kern w:val="0"/>
                    </w:rPr>
                  </w:pPr>
                  <w:r>
                    <w:rPr>
                      <w:rFonts w:hint="eastAsia"/>
                      <w:spacing w:val="0"/>
                      <w:kern w:val="0"/>
                    </w:rPr>
                    <w:t>符合</w:t>
                  </w:r>
                </w:p>
              </w:tc>
            </w:tr>
            <w:tr w14:paraId="358B7E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14:paraId="5DA0AB5E">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环境风险防控</w:t>
                  </w:r>
                </w:p>
              </w:tc>
              <w:tc>
                <w:tcPr>
                  <w:tcW w:w="3192" w:type="dxa"/>
                  <w:tcBorders>
                    <w:tl2br w:val="nil"/>
                    <w:tr2bl w:val="nil"/>
                  </w:tcBorders>
                  <w:noWrap w:val="0"/>
                  <w:vAlign w:val="center"/>
                </w:tcPr>
                <w:p w14:paraId="6FD6FE8D">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禁止在化工园区外新建、扩建危险化学品生产项目。严格落实危险废物处置相关要求。加强重点流域水环境风险管控，保障水环境安全。</w:t>
                  </w:r>
                </w:p>
              </w:tc>
              <w:tc>
                <w:tcPr>
                  <w:tcW w:w="2776" w:type="dxa"/>
                  <w:tcBorders>
                    <w:tl2br w:val="nil"/>
                    <w:tr2bl w:val="nil"/>
                  </w:tcBorders>
                  <w:noWrap w:val="0"/>
                  <w:vAlign w:val="center"/>
                </w:tcPr>
                <w:p w14:paraId="28CC76C3">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default"/>
                      <w:spacing w:val="0"/>
                      <w:kern w:val="0"/>
                    </w:rPr>
                  </w:pPr>
                  <w:r>
                    <w:rPr>
                      <w:rFonts w:hint="eastAsia"/>
                      <w:spacing w:val="0"/>
                      <w:kern w:val="0"/>
                    </w:rPr>
                    <w:t>项目</w:t>
                  </w:r>
                  <w:r>
                    <w:rPr>
                      <w:rFonts w:hint="eastAsia"/>
                      <w:spacing w:val="0"/>
                      <w:kern w:val="0"/>
                      <w:lang w:val="en-US" w:eastAsia="zh-CN"/>
                    </w:rPr>
                    <w:t>位于尉犁工业园区尉北区棉纺织加工业片区</w:t>
                  </w:r>
                  <w:r>
                    <w:rPr>
                      <w:rFonts w:hint="eastAsia"/>
                      <w:spacing w:val="0"/>
                      <w:kern w:val="0"/>
                      <w:lang w:eastAsia="zh-CN"/>
                    </w:rPr>
                    <w:t>。</w:t>
                  </w:r>
                  <w:r>
                    <w:rPr>
                      <w:rFonts w:hint="eastAsia"/>
                      <w:spacing w:val="0"/>
                      <w:kern w:val="0"/>
                    </w:rPr>
                    <w:t>本项目</w:t>
                  </w:r>
                  <w:r>
                    <w:rPr>
                      <w:rFonts w:hint="eastAsia"/>
                      <w:spacing w:val="0"/>
                      <w:kern w:val="0"/>
                      <w:lang w:val="en-US" w:eastAsia="zh-CN"/>
                    </w:rPr>
                    <w:t>不属于新建、扩建危险化学品生产项目，产生的危险废物暂存在危险废物贮存库，交有资质单位安全处置</w:t>
                  </w:r>
                  <w:r>
                    <w:rPr>
                      <w:rFonts w:hint="eastAsia"/>
                      <w:spacing w:val="0"/>
                      <w:kern w:val="0"/>
                    </w:rPr>
                    <w:t>。</w:t>
                  </w:r>
                </w:p>
              </w:tc>
              <w:tc>
                <w:tcPr>
                  <w:tcW w:w="716" w:type="dxa"/>
                  <w:tcBorders>
                    <w:tl2br w:val="nil"/>
                    <w:tr2bl w:val="nil"/>
                  </w:tcBorders>
                  <w:noWrap w:val="0"/>
                  <w:vAlign w:val="center"/>
                </w:tcPr>
                <w:p w14:paraId="76362AF1">
                  <w:pPr>
                    <w:pStyle w:val="84"/>
                    <w:keepNext w:val="0"/>
                    <w:keepLines w:val="0"/>
                    <w:widowControl/>
                    <w:suppressLineNumbers w:val="0"/>
                    <w:bidi w:val="0"/>
                    <w:spacing w:before="0" w:beforeAutospacing="0" w:after="0" w:afterAutospacing="0"/>
                    <w:ind w:left="0" w:right="0"/>
                    <w:rPr>
                      <w:rFonts w:hint="eastAsia"/>
                      <w:spacing w:val="0"/>
                      <w:kern w:val="0"/>
                    </w:rPr>
                  </w:pPr>
                  <w:r>
                    <w:rPr>
                      <w:rFonts w:hint="eastAsia"/>
                      <w:spacing w:val="0"/>
                      <w:kern w:val="0"/>
                    </w:rPr>
                    <w:t>符合</w:t>
                  </w:r>
                </w:p>
              </w:tc>
            </w:tr>
            <w:tr w14:paraId="0605A7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14:paraId="789B08C0">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资源利用效率要求</w:t>
                  </w:r>
                </w:p>
              </w:tc>
              <w:tc>
                <w:tcPr>
                  <w:tcW w:w="3192" w:type="dxa"/>
                  <w:tcBorders>
                    <w:tl2br w:val="nil"/>
                    <w:tr2bl w:val="nil"/>
                  </w:tcBorders>
                  <w:noWrap w:val="0"/>
                  <w:vAlign w:val="center"/>
                </w:tcPr>
                <w:p w14:paraId="6C65960A">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eastAsia"/>
                      <w:spacing w:val="0"/>
                      <w:kern w:val="0"/>
                    </w:rPr>
                  </w:pPr>
                  <w:r>
                    <w:rPr>
                      <w:rFonts w:hint="eastAsia"/>
                      <w:spacing w:val="0"/>
                      <w:kern w:val="0"/>
                    </w:rPr>
                    <w:t>优化能源结构，控制煤炭等化石能源使用量，鼓励使用清洁能源，协同推进减污降碳。全面实施节水工程，合理开发利用水资源，提升水资源利用效率，保障生态用水，严防地下水超采。</w:t>
                  </w:r>
                </w:p>
              </w:tc>
              <w:tc>
                <w:tcPr>
                  <w:tcW w:w="2776" w:type="dxa"/>
                  <w:tcBorders>
                    <w:tl2br w:val="nil"/>
                    <w:tr2bl w:val="nil"/>
                  </w:tcBorders>
                  <w:noWrap w:val="0"/>
                  <w:vAlign w:val="center"/>
                </w:tcPr>
                <w:p w14:paraId="64EB3BB3">
                  <w:pPr>
                    <w:pStyle w:val="84"/>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both"/>
                    <w:textAlignment w:val="baseline"/>
                    <w:rPr>
                      <w:rFonts w:hint="default"/>
                      <w:spacing w:val="0"/>
                      <w:kern w:val="0"/>
                    </w:rPr>
                  </w:pPr>
                  <w:r>
                    <w:rPr>
                      <w:rFonts w:hint="eastAsia"/>
                      <w:spacing w:val="0"/>
                      <w:kern w:val="0"/>
                    </w:rPr>
                    <w:t>项目运营过程中消耗一定量的电力及</w:t>
                  </w:r>
                  <w:r>
                    <w:rPr>
                      <w:rFonts w:hint="eastAsia"/>
                      <w:spacing w:val="0"/>
                      <w:kern w:val="0"/>
                      <w:lang w:val="en-US" w:eastAsia="zh-CN"/>
                    </w:rPr>
                    <w:t>水</w:t>
                  </w:r>
                  <w:r>
                    <w:rPr>
                      <w:rFonts w:hint="eastAsia"/>
                      <w:spacing w:val="0"/>
                      <w:kern w:val="0"/>
                    </w:rPr>
                    <w:t>资源，项目资源消耗相对区域资源利用总量较少，不会超过当地资源利用上线。</w:t>
                  </w:r>
                </w:p>
              </w:tc>
              <w:tc>
                <w:tcPr>
                  <w:tcW w:w="716" w:type="dxa"/>
                  <w:tcBorders>
                    <w:tl2br w:val="nil"/>
                    <w:tr2bl w:val="nil"/>
                  </w:tcBorders>
                  <w:noWrap w:val="0"/>
                  <w:vAlign w:val="center"/>
                </w:tcPr>
                <w:p w14:paraId="55F43CC6">
                  <w:pPr>
                    <w:pStyle w:val="84"/>
                    <w:keepNext w:val="0"/>
                    <w:keepLines w:val="0"/>
                    <w:widowControl/>
                    <w:suppressLineNumbers w:val="0"/>
                    <w:bidi w:val="0"/>
                    <w:spacing w:before="0" w:beforeAutospacing="0" w:after="0" w:afterAutospacing="0"/>
                    <w:ind w:left="0" w:right="0"/>
                    <w:rPr>
                      <w:rFonts w:hint="eastAsia"/>
                      <w:spacing w:val="0"/>
                      <w:kern w:val="0"/>
                    </w:rPr>
                  </w:pPr>
                  <w:r>
                    <w:rPr>
                      <w:rFonts w:hint="eastAsia"/>
                      <w:spacing w:val="0"/>
                      <w:kern w:val="0"/>
                    </w:rPr>
                    <w:t>符合</w:t>
                  </w:r>
                </w:p>
              </w:tc>
            </w:tr>
            <w:tr w14:paraId="79D45A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restart"/>
                  <w:tcBorders>
                    <w:tl2br w:val="nil"/>
                    <w:tr2bl w:val="nil"/>
                  </w:tcBorders>
                  <w:shd w:val="clear" w:color="auto" w:fill="auto"/>
                  <w:noWrap w:val="0"/>
                  <w:vAlign w:val="center"/>
                </w:tcPr>
                <w:p w14:paraId="2C594C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天山南坡片区总体管控要求</w:t>
                  </w:r>
                </w:p>
              </w:tc>
              <w:tc>
                <w:tcPr>
                  <w:tcW w:w="3192" w:type="dxa"/>
                  <w:tcBorders>
                    <w:tl2br w:val="nil"/>
                    <w:tr2bl w:val="nil"/>
                  </w:tcBorders>
                  <w:shd w:val="clear" w:color="auto" w:fill="auto"/>
                  <w:noWrap w:val="0"/>
                  <w:vAlign w:val="center"/>
                </w:tcPr>
                <w:p w14:paraId="2997ED4E">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776" w:type="dxa"/>
                  <w:tcBorders>
                    <w:tl2br w:val="nil"/>
                    <w:tr2bl w:val="nil"/>
                  </w:tcBorders>
                  <w:shd w:val="clear" w:color="auto" w:fill="auto"/>
                  <w:noWrap w:val="0"/>
                  <w:vAlign w:val="center"/>
                </w:tcPr>
                <w:p w14:paraId="187C78F8">
                  <w:pPr>
                    <w:keepNext w:val="0"/>
                    <w:keepLines w:val="0"/>
                    <w:suppressLineNumbers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lang w:bidi="ar"/>
                    </w:rPr>
                    <w:t>本项目不在托木尔峰和天山南坡中段冰雪水源及生物多样性保护生态功能区</w:t>
                  </w:r>
                  <w:r>
                    <w:rPr>
                      <w:rFonts w:hint="eastAsia"/>
                      <w:lang w:eastAsia="zh-CN"/>
                    </w:rPr>
                    <w:t>。</w:t>
                  </w:r>
                </w:p>
              </w:tc>
              <w:tc>
                <w:tcPr>
                  <w:tcW w:w="716" w:type="dxa"/>
                  <w:tcBorders>
                    <w:tl2br w:val="nil"/>
                    <w:tr2bl w:val="nil"/>
                  </w:tcBorders>
                  <w:noWrap w:val="0"/>
                  <w:vAlign w:val="center"/>
                </w:tcPr>
                <w:p w14:paraId="44A7D8C7">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14:paraId="3AAC1B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shd w:val="clear" w:color="auto" w:fill="auto"/>
                  <w:noWrap w:val="0"/>
                  <w:vAlign w:val="center"/>
                </w:tcPr>
                <w:p w14:paraId="07B045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shd w:val="clear" w:color="auto" w:fill="auto"/>
                  <w:noWrap w:val="0"/>
                  <w:vAlign w:val="center"/>
                </w:tcPr>
                <w:p w14:paraId="2151345B">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重点做好塔里木盆地北缘荒漠化防治。加强荒漠植被及河岸荒漠林保护，规范油气勘探开发作业，建立油田和公路扰动区域工程与生物相结合的防风固沙体系，逐步形成生态屏障。</w:t>
                  </w:r>
                </w:p>
              </w:tc>
              <w:tc>
                <w:tcPr>
                  <w:tcW w:w="2776" w:type="dxa"/>
                  <w:tcBorders>
                    <w:tl2br w:val="nil"/>
                    <w:tr2bl w:val="nil"/>
                  </w:tcBorders>
                  <w:shd w:val="clear" w:color="auto" w:fill="auto"/>
                  <w:noWrap w:val="0"/>
                  <w:vAlign w:val="center"/>
                </w:tcPr>
                <w:p w14:paraId="52120454">
                  <w:pPr>
                    <w:keepNext w:val="0"/>
                    <w:keepLines w:val="0"/>
                    <w:suppressLineNumbers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w:t>
                  </w:r>
                  <w:r>
                    <w:rPr>
                      <w:rFonts w:hint="eastAsia"/>
                      <w:lang w:eastAsia="zh-CN"/>
                    </w:rPr>
                    <w:t>。</w:t>
                  </w:r>
                </w:p>
              </w:tc>
              <w:tc>
                <w:tcPr>
                  <w:tcW w:w="716" w:type="dxa"/>
                  <w:tcBorders>
                    <w:tl2br w:val="nil"/>
                    <w:tr2bl w:val="nil"/>
                  </w:tcBorders>
                  <w:noWrap w:val="0"/>
                  <w:vAlign w:val="center"/>
                </w:tcPr>
                <w:p w14:paraId="60EEB004">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14:paraId="53FE82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shd w:val="clear" w:color="auto" w:fill="auto"/>
                  <w:noWrap w:val="0"/>
                  <w:vAlign w:val="center"/>
                </w:tcPr>
                <w:p w14:paraId="096E36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shd w:val="clear" w:color="auto" w:fill="auto"/>
                  <w:noWrap w:val="0"/>
                  <w:vAlign w:val="center"/>
                </w:tcPr>
                <w:p w14:paraId="547F57FF">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推进塔里木河流域用水结构调整，维护塔里木河、博斯腾湖基本生态用水。</w:t>
                  </w:r>
                </w:p>
              </w:tc>
              <w:tc>
                <w:tcPr>
                  <w:tcW w:w="2776" w:type="dxa"/>
                  <w:tcBorders>
                    <w:tl2br w:val="nil"/>
                    <w:tr2bl w:val="nil"/>
                  </w:tcBorders>
                  <w:shd w:val="clear" w:color="auto" w:fill="auto"/>
                  <w:noWrap w:val="0"/>
                  <w:vAlign w:val="center"/>
                </w:tcPr>
                <w:p w14:paraId="3F860020">
                  <w:pPr>
                    <w:keepNext w:val="0"/>
                    <w:keepLines w:val="0"/>
                    <w:suppressLineNumbers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本项目不涉及塔里木河、博斯腾湖生态用水</w:t>
                  </w:r>
                  <w:r>
                    <w:rPr>
                      <w:rFonts w:hint="eastAsia"/>
                      <w:lang w:eastAsia="zh-CN"/>
                    </w:rPr>
                    <w:t>。</w:t>
                  </w:r>
                </w:p>
              </w:tc>
              <w:tc>
                <w:tcPr>
                  <w:tcW w:w="716" w:type="dxa"/>
                  <w:tcBorders>
                    <w:tl2br w:val="nil"/>
                    <w:tr2bl w:val="nil"/>
                  </w:tcBorders>
                  <w:noWrap w:val="0"/>
                  <w:vAlign w:val="center"/>
                </w:tcPr>
                <w:p w14:paraId="48B755FE">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14:paraId="267D3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shd w:val="clear" w:color="auto" w:fill="auto"/>
                  <w:noWrap w:val="0"/>
                  <w:vAlign w:val="center"/>
                </w:tcPr>
                <w:p w14:paraId="2EF1C2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shd w:val="clear" w:color="auto" w:fill="auto"/>
                  <w:noWrap w:val="0"/>
                  <w:vAlign w:val="center"/>
                </w:tcPr>
                <w:p w14:paraId="4333D2C5">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加强塔里木河流域水环境风险管控。加大博斯腾湖污染源头达标排放治理和监督力度，实施博斯腾湖综合治理。</w:t>
                  </w:r>
                </w:p>
              </w:tc>
              <w:tc>
                <w:tcPr>
                  <w:tcW w:w="2776" w:type="dxa"/>
                  <w:tcBorders>
                    <w:tl2br w:val="nil"/>
                    <w:tr2bl w:val="nil"/>
                  </w:tcBorders>
                  <w:shd w:val="clear" w:color="auto" w:fill="auto"/>
                  <w:noWrap w:val="0"/>
                  <w:vAlign w:val="center"/>
                </w:tcPr>
                <w:p w14:paraId="714843BC">
                  <w:pPr>
                    <w:keepNext w:val="0"/>
                    <w:keepLines w:val="0"/>
                    <w:suppressLineNumbers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w:t>
                  </w:r>
                  <w:r>
                    <w:rPr>
                      <w:rFonts w:hint="eastAsia"/>
                      <w:lang w:eastAsia="zh-CN"/>
                    </w:rPr>
                    <w:t>。</w:t>
                  </w:r>
                </w:p>
              </w:tc>
              <w:tc>
                <w:tcPr>
                  <w:tcW w:w="716" w:type="dxa"/>
                  <w:tcBorders>
                    <w:tl2br w:val="nil"/>
                    <w:tr2bl w:val="nil"/>
                  </w:tcBorders>
                  <w:noWrap w:val="0"/>
                  <w:vAlign w:val="center"/>
                </w:tcPr>
                <w:p w14:paraId="4185E035">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14:paraId="54BE10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shd w:val="clear" w:color="auto" w:fill="auto"/>
                  <w:noWrap w:val="0"/>
                  <w:vAlign w:val="center"/>
                </w:tcPr>
                <w:p w14:paraId="232842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shd w:val="clear" w:color="auto" w:fill="auto"/>
                  <w:noWrap w:val="0"/>
                  <w:vAlign w:val="center"/>
                </w:tcPr>
                <w:p w14:paraId="0F621480">
                  <w:pPr>
                    <w:keepNext w:val="0"/>
                    <w:keepLines w:val="0"/>
                    <w:suppressLineNumbers w:val="0"/>
                    <w:autoSpaceDE w:val="0"/>
                    <w:autoSpaceDN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加强油</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气</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资源开发区土壤环境污染综合整治。强化涉重金属行业污染防控与工业废物处理处置。</w:t>
                  </w:r>
                </w:p>
              </w:tc>
              <w:tc>
                <w:tcPr>
                  <w:tcW w:w="2776" w:type="dxa"/>
                  <w:tcBorders>
                    <w:tl2br w:val="nil"/>
                    <w:tr2bl w:val="nil"/>
                  </w:tcBorders>
                  <w:shd w:val="clear" w:color="auto" w:fill="auto"/>
                  <w:noWrap w:val="0"/>
                  <w:vAlign w:val="center"/>
                </w:tcPr>
                <w:p w14:paraId="63EEC649">
                  <w:pPr>
                    <w:keepNext w:val="0"/>
                    <w:keepLines w:val="0"/>
                    <w:suppressLineNumbers w:val="0"/>
                    <w:adjustRightInd w:val="0"/>
                    <w:spacing w:before="0" w:beforeAutospacing="0" w:after="0" w:afterAutospacing="0" w:line="0" w:lineRule="atLeast"/>
                    <w:ind w:left="0" w:right="0"/>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w:t>
                  </w:r>
                  <w:r>
                    <w:rPr>
                      <w:rFonts w:hint="eastAsia" w:ascii="Times New Roman" w:hAnsi="宋体" w:eastAsia="宋体" w:cs="宋体"/>
                      <w:color w:val="auto"/>
                      <w:spacing w:val="0"/>
                      <w:kern w:val="0"/>
                      <w:sz w:val="21"/>
                      <w:szCs w:val="21"/>
                      <w:highlight w:val="none"/>
                      <w:lang w:bidi="ar"/>
                    </w:rPr>
                    <w:t>不涉及重金属排放</w:t>
                  </w:r>
                  <w:r>
                    <w:rPr>
                      <w:rFonts w:hint="eastAsia"/>
                      <w:lang w:eastAsia="zh-CN"/>
                    </w:rPr>
                    <w:t>。</w:t>
                  </w:r>
                </w:p>
              </w:tc>
              <w:tc>
                <w:tcPr>
                  <w:tcW w:w="716" w:type="dxa"/>
                  <w:tcBorders>
                    <w:tl2br w:val="nil"/>
                    <w:tr2bl w:val="nil"/>
                  </w:tcBorders>
                  <w:noWrap w:val="0"/>
                  <w:vAlign w:val="center"/>
                </w:tcPr>
                <w:p w14:paraId="7188FF7D">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bl>
          <w:p w14:paraId="61A11531">
            <w:pPr>
              <w:pStyle w:val="83"/>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综上所述，本项目符合</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管控要求</w:t>
            </w:r>
            <w:r>
              <w:rPr>
                <w:rFonts w:hint="eastAsia"/>
                <w:lang w:eastAsia="zh-CN"/>
              </w:rPr>
              <w:t>。</w:t>
            </w:r>
          </w:p>
          <w:p w14:paraId="114DFF67">
            <w:pPr>
              <w:pStyle w:val="83"/>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本项目与《关于印发巴音郭楞蒙古自治州“三线一单”生态环境分区管控动态更新成果（2023年）的通知》（巴政办发〔2024〕32号）表1-3</w:t>
            </w:r>
            <w:r>
              <w:rPr>
                <w:rFonts w:hint="eastAsia"/>
                <w:lang w:eastAsia="zh-CN"/>
              </w:rPr>
              <w:t>。</w:t>
            </w:r>
            <w:r>
              <w:rPr>
                <w:rFonts w:hint="eastAsia"/>
                <w:lang w:val="en-US" w:eastAsia="zh-CN"/>
              </w:rPr>
              <w:t>项目与巴音郭楞蒙古自治州“三线一单”生态环境分区管控方案位置关系图见附图3。</w:t>
            </w:r>
          </w:p>
          <w:p w14:paraId="351E995A">
            <w:pPr>
              <w:pStyle w:val="83"/>
              <w:keepNext w:val="0"/>
              <w:keepLines w:val="0"/>
              <w:suppressLineNumbers w:val="0"/>
              <w:bidi w:val="0"/>
              <w:spacing w:before="0" w:beforeAutospacing="0" w:after="0" w:afterAutospacing="0" w:line="240" w:lineRule="auto"/>
              <w:ind w:left="0" w:right="0"/>
              <w:rPr>
                <w:rFonts w:hint="default" w:ascii="Times New Roman" w:hAnsi="Times New Roman" w:eastAsia="宋体" w:cstheme="minorBidi"/>
                <w:b/>
                <w:bCs w:val="0"/>
                <w:color w:val="auto"/>
                <w:kern w:val="2"/>
                <w:sz w:val="21"/>
                <w:szCs w:val="18"/>
                <w:highlight w:val="none"/>
                <w:lang w:val="en-US" w:eastAsia="zh-CN" w:bidi="ar-SA"/>
              </w:rPr>
            </w:pPr>
            <w:r>
              <w:rPr>
                <w:rFonts w:hint="eastAsia"/>
                <w:b/>
                <w:bCs/>
                <w:sz w:val="21"/>
                <w:szCs w:val="21"/>
                <w:lang w:val="en-US" w:eastAsia="zh-CN"/>
              </w:rPr>
              <w:t>表</w:t>
            </w:r>
            <w:r>
              <w:rPr>
                <w:rFonts w:hint="eastAsia" w:ascii="Times New Roman" w:hAnsi="Times New Roman" w:eastAsia="宋体" w:cstheme="minorBidi"/>
                <w:b/>
                <w:bCs w:val="0"/>
                <w:color w:val="auto"/>
                <w:kern w:val="2"/>
                <w:sz w:val="21"/>
                <w:szCs w:val="18"/>
                <w:highlight w:val="none"/>
                <w:lang w:val="en-US" w:eastAsia="zh-CN" w:bidi="ar-SA"/>
              </w:rPr>
              <w:t>1-</w:t>
            </w:r>
            <w:r>
              <w:rPr>
                <w:rFonts w:hint="eastAsia" w:cstheme="minorBidi"/>
                <w:b/>
                <w:bCs w:val="0"/>
                <w:color w:val="auto"/>
                <w:kern w:val="2"/>
                <w:sz w:val="21"/>
                <w:szCs w:val="18"/>
                <w:highlight w:val="none"/>
                <w:lang w:val="en-US" w:eastAsia="zh-CN" w:bidi="ar-SA"/>
              </w:rPr>
              <w:t>3</w:t>
            </w:r>
            <w:r>
              <w:rPr>
                <w:rFonts w:hint="eastAsia" w:ascii="Times New Roman" w:hAnsi="Times New Roman" w:eastAsia="宋体" w:cstheme="minorBidi"/>
                <w:b/>
                <w:bCs w:val="0"/>
                <w:color w:val="auto"/>
                <w:kern w:val="2"/>
                <w:sz w:val="21"/>
                <w:szCs w:val="18"/>
                <w:highlight w:val="none"/>
                <w:lang w:val="en-US" w:eastAsia="zh-CN" w:bidi="ar-SA"/>
              </w:rPr>
              <w:t xml:space="preserve"> </w:t>
            </w:r>
            <w:r>
              <w:rPr>
                <w:rFonts w:hint="eastAsia" w:cstheme="minorBidi"/>
                <w:b/>
                <w:bCs w:val="0"/>
                <w:color w:val="auto"/>
                <w:kern w:val="2"/>
                <w:sz w:val="21"/>
                <w:szCs w:val="18"/>
                <w:highlight w:val="none"/>
                <w:lang w:val="en-US" w:eastAsia="zh-CN" w:bidi="ar-SA"/>
              </w:rPr>
              <w:t xml:space="preserve">  </w:t>
            </w:r>
            <w:r>
              <w:rPr>
                <w:rFonts w:hint="eastAsia" w:ascii="Times New Roman" w:hAnsi="Times New Roman" w:eastAsia="宋体" w:cstheme="minorBidi"/>
                <w:b/>
                <w:bCs w:val="0"/>
                <w:color w:val="auto"/>
                <w:kern w:val="2"/>
                <w:sz w:val="21"/>
                <w:szCs w:val="18"/>
                <w:highlight w:val="none"/>
                <w:lang w:val="en-US" w:eastAsia="zh-CN" w:bidi="ar-SA"/>
              </w:rPr>
              <w:t>与自治州“三线一单”生态环境分区管控方案</w:t>
            </w:r>
            <w:r>
              <w:rPr>
                <w:rFonts w:hint="default" w:ascii="Times New Roman" w:hAnsi="Times New Roman" w:eastAsia="宋体" w:cstheme="minorBidi"/>
                <w:b/>
                <w:bCs w:val="0"/>
                <w:color w:val="auto"/>
                <w:kern w:val="2"/>
                <w:sz w:val="21"/>
                <w:szCs w:val="18"/>
                <w:highlight w:val="none"/>
                <w:lang w:val="en-US" w:eastAsia="zh-CN" w:bidi="ar-SA"/>
              </w:rPr>
              <w:t>符合分析</w:t>
            </w:r>
          </w:p>
          <w:tbl>
            <w:tblPr>
              <w:tblStyle w:val="35"/>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43"/>
              <w:gridCol w:w="499"/>
              <w:gridCol w:w="2709"/>
              <w:gridCol w:w="2553"/>
            </w:tblGrid>
            <w:tr w14:paraId="5D693D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tcBorders>
                    <w:tl2br w:val="nil"/>
                    <w:tr2bl w:val="nil"/>
                  </w:tcBorders>
                  <w:noWrap w:val="0"/>
                  <w:vAlign w:val="center"/>
                </w:tcPr>
                <w:p w14:paraId="7E8D940C">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t>环境管控单元名称及编码</w:t>
                  </w:r>
                </w:p>
              </w:tc>
              <w:tc>
                <w:tcPr>
                  <w:tcW w:w="2196" w:type="pct"/>
                  <w:gridSpan w:val="2"/>
                  <w:tcBorders>
                    <w:tl2br w:val="nil"/>
                    <w:tr2bl w:val="nil"/>
                  </w:tcBorders>
                  <w:noWrap w:val="0"/>
                  <w:vAlign w:val="center"/>
                </w:tcPr>
                <w:p w14:paraId="04987CC0">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t>“三线一单”要求</w:t>
                  </w:r>
                </w:p>
              </w:tc>
              <w:tc>
                <w:tcPr>
                  <w:tcW w:w="1747" w:type="pct"/>
                  <w:tcBorders>
                    <w:tl2br w:val="nil"/>
                    <w:tr2bl w:val="nil"/>
                  </w:tcBorders>
                  <w:noWrap w:val="0"/>
                  <w:vAlign w:val="center"/>
                </w:tcPr>
                <w:p w14:paraId="5A06A1E8">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bCs/>
                      <w:i w:val="0"/>
                      <w:caps w:val="0"/>
                      <w:color w:val="000000"/>
                      <w:spacing w:val="0"/>
                      <w:w w:val="100"/>
                      <w:kern w:val="2"/>
                      <w:sz w:val="21"/>
                      <w:szCs w:val="21"/>
                      <w:highlight w:val="none"/>
                      <w:lang w:val="en-US" w:eastAsia="zh-CN" w:bidi="ar-SA"/>
                    </w:rPr>
                    <w:t>本项目</w:t>
                  </w:r>
                </w:p>
              </w:tc>
            </w:tr>
            <w:tr w14:paraId="33B210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restart"/>
                  <w:tcBorders>
                    <w:tl2br w:val="nil"/>
                    <w:tr2bl w:val="nil"/>
                  </w:tcBorders>
                  <w:noWrap w:val="0"/>
                  <w:vAlign w:val="center"/>
                </w:tcPr>
                <w:p w14:paraId="781323E6">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cs="Times New Roman"/>
                      <w:b w:val="0"/>
                      <w:i w:val="0"/>
                      <w:caps w:val="0"/>
                      <w:color w:val="000000"/>
                      <w:spacing w:val="0"/>
                      <w:w w:val="100"/>
                      <w:kern w:val="2"/>
                      <w:sz w:val="21"/>
                      <w:szCs w:val="21"/>
                      <w:highlight w:val="none"/>
                      <w:lang w:val="en-US" w:eastAsia="zh-CN" w:bidi="ar-SA"/>
                    </w:rPr>
                    <w:t>尉犁县</w:t>
                  </w: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工业园区重点管控单元（ZH65282220004）</w:t>
                  </w:r>
                </w:p>
              </w:tc>
              <w:tc>
                <w:tcPr>
                  <w:tcW w:w="341" w:type="pct"/>
                  <w:vMerge w:val="restart"/>
                  <w:tcBorders>
                    <w:tl2br w:val="nil"/>
                    <w:tr2bl w:val="nil"/>
                  </w:tcBorders>
                  <w:noWrap w:val="0"/>
                  <w:vAlign w:val="center"/>
                </w:tcPr>
                <w:p w14:paraId="2DEAC660">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空间管控约束</w:t>
                  </w:r>
                </w:p>
              </w:tc>
              <w:tc>
                <w:tcPr>
                  <w:tcW w:w="1854" w:type="pct"/>
                  <w:tcBorders>
                    <w:tl2br w:val="nil"/>
                    <w:tr2bl w:val="nil"/>
                  </w:tcBorders>
                  <w:shd w:val="clear" w:color="auto" w:fill="auto"/>
                  <w:noWrap w:val="0"/>
                  <w:vAlign w:val="center"/>
                </w:tcPr>
                <w:p w14:paraId="233F7720">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1.</w:t>
                  </w:r>
                  <w:r>
                    <w:rPr>
                      <w:rFonts w:hint="default" w:ascii="Times New Roman" w:hAnsi="Times New Roman" w:eastAsia="宋体" w:cs="Times New Roman"/>
                      <w:kern w:val="2"/>
                      <w:sz w:val="21"/>
                      <w:szCs w:val="21"/>
                      <w:highlight w:val="none"/>
                      <w:lang w:val="en-US" w:eastAsia="zh-CN" w:bidi="ar-SA"/>
                    </w:rPr>
                    <w:t>有行业准入条件的需满足准入条件。进入尉犁工业园区的产业项目在招商引资的过程中，要根据产业发展规划，有针对性的进行产业类型引导。</w:t>
                  </w:r>
                </w:p>
              </w:tc>
              <w:tc>
                <w:tcPr>
                  <w:tcW w:w="1747" w:type="pct"/>
                  <w:tcBorders>
                    <w:tl2br w:val="nil"/>
                    <w:tr2bl w:val="nil"/>
                  </w:tcBorders>
                  <w:shd w:val="clear" w:color="auto" w:fill="auto"/>
                  <w:noWrap w:val="0"/>
                  <w:vAlign w:val="top"/>
                </w:tcPr>
                <w:p w14:paraId="22C450F7">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符合，本项目属于《产业结构调整指导目录（2024 年本）》允许类项目，不属于《市场准入负面清单（202</w:t>
                  </w:r>
                  <w:r>
                    <w:rPr>
                      <w:rFonts w:hint="eastAsia" w:cs="Times New Roman"/>
                      <w:b w:val="0"/>
                      <w:i w:val="0"/>
                      <w:caps w:val="0"/>
                      <w:color w:val="000000"/>
                      <w:spacing w:val="0"/>
                      <w:w w:val="100"/>
                      <w:kern w:val="2"/>
                      <w:sz w:val="21"/>
                      <w:szCs w:val="21"/>
                      <w:highlight w:val="none"/>
                      <w:lang w:val="en-US" w:eastAsia="zh-CN" w:bidi="ar-SA"/>
                    </w:rPr>
                    <w:t>5</w:t>
                  </w: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年版）》禁止准入事项</w:t>
                  </w:r>
                  <w:r>
                    <w:rPr>
                      <w:rFonts w:hint="eastAsia" w:cs="Times New Roman"/>
                      <w:b w:val="0"/>
                      <w:i w:val="0"/>
                      <w:caps w:val="0"/>
                      <w:color w:val="000000"/>
                      <w:spacing w:val="0"/>
                      <w:w w:val="100"/>
                      <w:kern w:val="2"/>
                      <w:sz w:val="21"/>
                      <w:szCs w:val="21"/>
                      <w:highlight w:val="none"/>
                      <w:lang w:val="en-US" w:eastAsia="zh-CN" w:bidi="ar-SA"/>
                    </w:rPr>
                    <w:t>，</w:t>
                  </w: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本项目为棉花种子生产线建设项目</w:t>
                  </w:r>
                  <w:r>
                    <w:rPr>
                      <w:rFonts w:hint="eastAsia" w:cs="Times New Roman"/>
                      <w:b w:val="0"/>
                      <w:i w:val="0"/>
                      <w:caps w:val="0"/>
                      <w:color w:val="000000"/>
                      <w:spacing w:val="0"/>
                      <w:w w:val="100"/>
                      <w:kern w:val="2"/>
                      <w:sz w:val="21"/>
                      <w:szCs w:val="21"/>
                      <w:highlight w:val="none"/>
                      <w:lang w:val="en-US" w:eastAsia="zh-CN" w:bidi="ar-SA"/>
                    </w:rPr>
                    <w:t>，</w:t>
                  </w: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符合园区产业</w:t>
                  </w:r>
                  <w:r>
                    <w:rPr>
                      <w:rFonts w:hint="eastAsia" w:cs="Times New Roman"/>
                      <w:b w:val="0"/>
                      <w:i w:val="0"/>
                      <w:caps w:val="0"/>
                      <w:color w:val="000000"/>
                      <w:spacing w:val="0"/>
                      <w:w w:val="100"/>
                      <w:kern w:val="2"/>
                      <w:sz w:val="21"/>
                      <w:szCs w:val="21"/>
                      <w:highlight w:val="none"/>
                      <w:lang w:val="en-US" w:eastAsia="zh-CN" w:bidi="ar-SA"/>
                    </w:rPr>
                    <w:t>发展</w:t>
                  </w: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规划</w:t>
                  </w:r>
                  <w:r>
                    <w:rPr>
                      <w:rFonts w:hint="eastAsia" w:cs="Times New Roman"/>
                      <w:b w:val="0"/>
                      <w:i w:val="0"/>
                      <w:caps w:val="0"/>
                      <w:color w:val="000000"/>
                      <w:spacing w:val="0"/>
                      <w:w w:val="100"/>
                      <w:kern w:val="2"/>
                      <w:sz w:val="21"/>
                      <w:szCs w:val="21"/>
                      <w:highlight w:val="none"/>
                      <w:lang w:val="en-US" w:eastAsia="zh-CN" w:bidi="ar-SA"/>
                    </w:rPr>
                    <w:t>。</w:t>
                  </w:r>
                </w:p>
              </w:tc>
            </w:tr>
            <w:tr w14:paraId="485077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1C4E9ABA">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eastAsia"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03B33CCF">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shd w:val="clear" w:color="auto" w:fill="auto"/>
                  <w:noWrap w:val="0"/>
                  <w:vAlign w:val="center"/>
                </w:tcPr>
                <w:p w14:paraId="3D2F09C4">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2.</w:t>
                  </w:r>
                  <w:r>
                    <w:rPr>
                      <w:rFonts w:hint="default" w:ascii="Times New Roman" w:hAnsi="Times New Roman" w:eastAsia="宋体" w:cs="Times New Roman"/>
                      <w:kern w:val="2"/>
                      <w:sz w:val="21"/>
                      <w:szCs w:val="21"/>
                      <w:highlight w:val="none"/>
                      <w:lang w:val="en-US" w:eastAsia="zh-CN" w:bidi="ar-SA"/>
                    </w:rPr>
                    <w:t>符合国家环保和节能减排要求，排放污染物必须达到国家和自治区污染物排放标准，严禁国家明文规定的限制类、淘汰类项目进入园区；不得采用国家、自治区淘汰或禁止使用的生产工艺、技术和设备；入园项目必须严格执行环境影响评价制度和“三同时”制度</w:t>
                  </w:r>
                </w:p>
              </w:tc>
              <w:tc>
                <w:tcPr>
                  <w:tcW w:w="1747" w:type="pct"/>
                  <w:tcBorders>
                    <w:tl2br w:val="nil"/>
                    <w:tr2bl w:val="nil"/>
                  </w:tcBorders>
                  <w:shd w:val="clear" w:color="auto" w:fill="auto"/>
                  <w:noWrap w:val="0"/>
                  <w:vAlign w:val="top"/>
                </w:tcPr>
                <w:p w14:paraId="7D1E2C60">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符合，本项目属于《产业结构调整指导目录（2024 年本）》允许类项目，不属于《市场准入负面清单（202</w:t>
                  </w:r>
                  <w:r>
                    <w:rPr>
                      <w:rFonts w:hint="eastAsia" w:cs="Times New Roman"/>
                      <w:b w:val="0"/>
                      <w:i w:val="0"/>
                      <w:caps w:val="0"/>
                      <w:color w:val="000000"/>
                      <w:spacing w:val="0"/>
                      <w:w w:val="100"/>
                      <w:kern w:val="2"/>
                      <w:sz w:val="21"/>
                      <w:szCs w:val="21"/>
                      <w:highlight w:val="none"/>
                      <w:lang w:val="en-US" w:eastAsia="zh-CN" w:bidi="ar-SA"/>
                    </w:rPr>
                    <w:t>5</w:t>
                  </w: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年版）》禁止准入事项</w:t>
                  </w:r>
                  <w:r>
                    <w:rPr>
                      <w:rFonts w:hint="eastAsia" w:cs="Times New Roman"/>
                      <w:b w:val="0"/>
                      <w:i w:val="0"/>
                      <w:caps w:val="0"/>
                      <w:color w:val="000000"/>
                      <w:spacing w:val="0"/>
                      <w:w w:val="100"/>
                      <w:kern w:val="2"/>
                      <w:sz w:val="21"/>
                      <w:szCs w:val="21"/>
                      <w:highlight w:val="none"/>
                      <w:lang w:val="en-US" w:eastAsia="zh-CN" w:bidi="ar-SA"/>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w:t>
                  </w:r>
                </w:p>
              </w:tc>
            </w:tr>
            <w:tr w14:paraId="3298228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501876B7">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restart"/>
                  <w:tcBorders>
                    <w:tl2br w:val="nil"/>
                    <w:tr2bl w:val="nil"/>
                  </w:tcBorders>
                  <w:noWrap w:val="0"/>
                  <w:vAlign w:val="center"/>
                </w:tcPr>
                <w:p w14:paraId="3F44A1E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污染物排放管控</w:t>
                  </w:r>
                </w:p>
              </w:tc>
              <w:tc>
                <w:tcPr>
                  <w:tcW w:w="1854" w:type="pct"/>
                  <w:tcBorders>
                    <w:tl2br w:val="nil"/>
                    <w:tr2bl w:val="nil"/>
                  </w:tcBorders>
                  <w:noWrap w:val="0"/>
                  <w:vAlign w:val="center"/>
                </w:tcPr>
                <w:p w14:paraId="41B8A78E">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1.入园企业生产设施排放的废气须经处理达到相应的行业排放标准或《大气污染物综合排放标准》中的二级标准。</w:t>
                  </w:r>
                </w:p>
              </w:tc>
              <w:tc>
                <w:tcPr>
                  <w:tcW w:w="1747" w:type="pct"/>
                  <w:tcBorders>
                    <w:tl2br w:val="nil"/>
                    <w:tr2bl w:val="nil"/>
                  </w:tcBorders>
                  <w:noWrap w:val="0"/>
                  <w:vAlign w:val="center"/>
                </w:tcPr>
                <w:p w14:paraId="01565156">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符合，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w:t>
                  </w:r>
                </w:p>
              </w:tc>
            </w:tr>
            <w:tr w14:paraId="35BFB1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0A8F8FE2">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5D8F71D6">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top"/>
                </w:tcPr>
                <w:p w14:paraId="6E389270">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2.园区企业污水经处理后需</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高浓度盐水除外</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满足《城市污水再生利用工业用水水质》</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GB/T19923-2005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标准的要求，用于园区绿化及荒漠灌溉；②园区内企业生活污水同时还需满足《城镇下水道水质标准》</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GB/T31962-2015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后接入尉犁县污水管网，最终排入尉犁县污水处理厂。</w:t>
                  </w:r>
                </w:p>
              </w:tc>
              <w:tc>
                <w:tcPr>
                  <w:tcW w:w="1747" w:type="pct"/>
                  <w:tcBorders>
                    <w:tl2br w:val="nil"/>
                    <w:tr2bl w:val="nil"/>
                  </w:tcBorders>
                  <w:noWrap w:val="0"/>
                  <w:vAlign w:val="center"/>
                </w:tcPr>
                <w:p w14:paraId="5E14FCC5">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符合，</w:t>
                  </w:r>
                  <w:r>
                    <w:rPr>
                      <w:rFonts w:hint="eastAsia" w:ascii="Times New Roman" w:hAnsi="Times New Roman" w:eastAsia="宋体" w:cs="Times New Roman"/>
                      <w:kern w:val="0"/>
                      <w:sz w:val="21"/>
                      <w:szCs w:val="21"/>
                      <w:highlight w:val="none"/>
                      <w:lang w:val="en-US" w:eastAsia="zh-CN"/>
                    </w:rPr>
                    <w:t>本项目</w:t>
                  </w:r>
                  <w:r>
                    <w:rPr>
                      <w:rFonts w:hint="eastAsia" w:cs="Times New Roman"/>
                      <w:kern w:val="0"/>
                      <w:sz w:val="21"/>
                      <w:szCs w:val="21"/>
                      <w:highlight w:val="none"/>
                      <w:lang w:val="en-US" w:eastAsia="zh-CN"/>
                    </w:rPr>
                    <w:t>无生产废水，生活污水进入园区下水管网，最终进入尉犁县污水处理厂处理。</w:t>
                  </w:r>
                </w:p>
              </w:tc>
            </w:tr>
            <w:tr w14:paraId="08ED21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7EEC594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restart"/>
                  <w:tcBorders>
                    <w:tl2br w:val="nil"/>
                    <w:tr2bl w:val="nil"/>
                  </w:tcBorders>
                  <w:noWrap w:val="0"/>
                  <w:vAlign w:val="center"/>
                </w:tcPr>
                <w:p w14:paraId="39A6182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环境风险防控</w:t>
                  </w:r>
                </w:p>
              </w:tc>
              <w:tc>
                <w:tcPr>
                  <w:tcW w:w="1854" w:type="pct"/>
                  <w:tcBorders>
                    <w:tl2br w:val="nil"/>
                    <w:tr2bl w:val="nil"/>
                  </w:tcBorders>
                  <w:noWrap w:val="0"/>
                  <w:vAlign w:val="center"/>
                </w:tcPr>
                <w:p w14:paraId="0EF06812">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1.各企业</w:t>
                  </w:r>
                  <w:r>
                    <w:rPr>
                      <w:rFonts w:hint="default" w:ascii="Times New Roman" w:hAnsi="Times New Roman" w:eastAsia="宋体" w:cs="Times New Roman"/>
                      <w:kern w:val="0"/>
                      <w:sz w:val="21"/>
                      <w:szCs w:val="21"/>
                      <w:highlight w:val="none"/>
                      <w:lang w:val="en-US" w:eastAsia="zh-CN"/>
                    </w:rPr>
                    <w:t>污水处理设施</w:t>
                  </w:r>
                  <w:r>
                    <w:rPr>
                      <w:rFonts w:hint="default" w:ascii="Times New Roman" w:hAnsi="Times New Roman" w:eastAsia="宋体" w:cs="Times New Roman"/>
                      <w:kern w:val="0"/>
                      <w:sz w:val="21"/>
                      <w:szCs w:val="21"/>
                      <w:lang w:val="en-US" w:eastAsia="zh-CN"/>
                    </w:rPr>
                    <w:t>附近应修建应急事故池，事故池容积应满足应急要求。</w:t>
                  </w:r>
                </w:p>
              </w:tc>
              <w:tc>
                <w:tcPr>
                  <w:tcW w:w="1747" w:type="pct"/>
                  <w:tcBorders>
                    <w:tl2br w:val="nil"/>
                    <w:tr2bl w:val="nil"/>
                  </w:tcBorders>
                  <w:noWrap w:val="0"/>
                  <w:vAlign w:val="center"/>
                </w:tcPr>
                <w:p w14:paraId="687C935D">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符合，</w:t>
                  </w:r>
                  <w:r>
                    <w:rPr>
                      <w:rFonts w:hint="eastAsia" w:ascii="Times New Roman" w:hAnsi="Times New Roman" w:eastAsia="宋体" w:cs="Times New Roman"/>
                      <w:kern w:val="0"/>
                      <w:sz w:val="21"/>
                      <w:szCs w:val="21"/>
                      <w:highlight w:val="none"/>
                      <w:lang w:val="en-US" w:eastAsia="zh-CN"/>
                    </w:rPr>
                    <w:t>本项目</w:t>
                  </w:r>
                  <w:r>
                    <w:rPr>
                      <w:rFonts w:hint="eastAsia" w:cs="Times New Roman"/>
                      <w:kern w:val="0"/>
                      <w:sz w:val="21"/>
                      <w:szCs w:val="21"/>
                      <w:highlight w:val="none"/>
                      <w:lang w:val="en-US" w:eastAsia="zh-CN"/>
                    </w:rPr>
                    <w:t>不涉及污水处理设施。</w:t>
                  </w:r>
                </w:p>
              </w:tc>
            </w:tr>
            <w:tr w14:paraId="631FD6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3F78FEA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01D4BBC7">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center"/>
                </w:tcPr>
                <w:p w14:paraId="451F7729">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2.工业用地固废临时堆放点均按相关要求做好防渗措施，防止贮存过程发生溢漏、导致地下水污染。</w:t>
                  </w:r>
                </w:p>
              </w:tc>
              <w:tc>
                <w:tcPr>
                  <w:tcW w:w="1747" w:type="pct"/>
                  <w:tcBorders>
                    <w:tl2br w:val="nil"/>
                    <w:tr2bl w:val="nil"/>
                  </w:tcBorders>
                  <w:noWrap w:val="0"/>
                  <w:vAlign w:val="center"/>
                </w:tcPr>
                <w:p w14:paraId="593DAC62">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符合，</w:t>
                  </w:r>
                  <w:r>
                    <w:rPr>
                      <w:rFonts w:hint="eastAsia" w:cs="Times New Roman"/>
                      <w:kern w:val="0"/>
                      <w:sz w:val="21"/>
                      <w:szCs w:val="21"/>
                      <w:highlight w:val="none"/>
                      <w:lang w:val="en-US" w:eastAsia="zh-CN"/>
                    </w:rPr>
                    <w:t>项目区地面采取分区防渗处理；危险废物贮存库及硫酸储罐区为重点防渗区；厂房为一般防渗区，其他设施为简单防渗区。</w:t>
                  </w:r>
                </w:p>
              </w:tc>
            </w:tr>
            <w:tr w14:paraId="38904A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718B35B4">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47D6EBA8">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center"/>
                </w:tcPr>
                <w:p w14:paraId="66973C6B">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w:t>
                  </w:r>
                  <w:r>
                    <w:rPr>
                      <w:rFonts w:hint="default" w:ascii="Times New Roman" w:hAnsi="Times New Roman" w:eastAsia="宋体" w:cs="Times New Roman"/>
                      <w:kern w:val="0"/>
                      <w:sz w:val="21"/>
                      <w:szCs w:val="21"/>
                      <w:lang w:val="en-US" w:eastAsia="zh-CN"/>
                    </w:rPr>
                    <w:t>.对于工业园区内各生产企业如有危险废物产生的，各企业应严格按《危险废物贮存污染控制标准》执行，贮存设施应设置警示标志，做好地面防渗工程，避免雨淋对地下水影响，满足危险废物临时贮存要求。</w:t>
                  </w:r>
                </w:p>
              </w:tc>
              <w:tc>
                <w:tcPr>
                  <w:tcW w:w="1747" w:type="pct"/>
                  <w:tcBorders>
                    <w:tl2br w:val="nil"/>
                    <w:tr2bl w:val="nil"/>
                  </w:tcBorders>
                  <w:noWrap w:val="0"/>
                  <w:vAlign w:val="center"/>
                </w:tcPr>
                <w:p w14:paraId="03F129F0">
                  <w:pPr>
                    <w:keepNext w:val="0"/>
                    <w:keepLines w:val="0"/>
                    <w:suppressLineNumbers w:val="0"/>
                    <w:spacing w:before="0" w:beforeAutospacing="0" w:after="0" w:afterAutospacing="0" w:line="240" w:lineRule="auto"/>
                    <w:ind w:left="0" w:right="0" w:firstLine="0" w:firstLineChars="0"/>
                    <w:jc w:val="both"/>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b w:val="0"/>
                      <w:bCs/>
                      <w:color w:val="000000"/>
                      <w:spacing w:val="0"/>
                      <w:kern w:val="0"/>
                      <w:position w:val="0"/>
                      <w:sz w:val="21"/>
                      <w:szCs w:val="21"/>
                      <w:lang w:val="en-US" w:eastAsia="zh-CN" w:bidi="zh-CN"/>
                    </w:rPr>
                    <w:t>本项目</w:t>
                  </w:r>
                  <w:r>
                    <w:rPr>
                      <w:rFonts w:hint="default" w:ascii="Times New Roman" w:hAnsi="Times New Roman" w:eastAsia="宋体" w:cs="Times New Roman"/>
                      <w:kern w:val="0"/>
                      <w:sz w:val="21"/>
                      <w:szCs w:val="21"/>
                      <w:lang w:val="en-US" w:eastAsia="zh-CN"/>
                    </w:rPr>
                    <w:t>按《危险废物贮存污染控制标准》</w:t>
                  </w:r>
                  <w:r>
                    <w:rPr>
                      <w:rFonts w:hint="eastAsia" w:cs="Times New Roman"/>
                      <w:kern w:val="0"/>
                      <w:sz w:val="21"/>
                      <w:szCs w:val="21"/>
                      <w:lang w:val="en-US" w:eastAsia="zh-CN"/>
                    </w:rPr>
                    <w:t>（GB18597-2023）</w:t>
                  </w:r>
                  <w:r>
                    <w:rPr>
                      <w:rFonts w:hint="eastAsia" w:ascii="Times New Roman" w:hAnsi="Times New Roman" w:eastAsia="宋体" w:cs="Times New Roman"/>
                      <w:kern w:val="0"/>
                      <w:sz w:val="21"/>
                      <w:szCs w:val="21"/>
                      <w:highlight w:val="none"/>
                      <w:lang w:val="en-US" w:eastAsia="zh-CN"/>
                    </w:rPr>
                    <w:t>设置</w:t>
                  </w:r>
                  <w:r>
                    <w:rPr>
                      <w:rFonts w:hint="eastAsia" w:cs="Times New Roman"/>
                      <w:kern w:val="0"/>
                      <w:sz w:val="21"/>
                      <w:szCs w:val="21"/>
                      <w:highlight w:val="none"/>
                      <w:lang w:val="en-US" w:eastAsia="zh-CN"/>
                    </w:rPr>
                    <w:t>危险废物贮存库</w:t>
                  </w:r>
                  <w:r>
                    <w:rPr>
                      <w:rFonts w:hint="eastAsia" w:ascii="Times New Roman" w:hAnsi="Times New Roman" w:eastAsia="宋体" w:cs="Times New Roman"/>
                      <w:kern w:val="0"/>
                      <w:sz w:val="21"/>
                      <w:szCs w:val="21"/>
                      <w:highlight w:val="none"/>
                      <w:lang w:val="en-US" w:eastAsia="zh-CN"/>
                    </w:rPr>
                    <w:t>，</w:t>
                  </w:r>
                  <w:r>
                    <w:rPr>
                      <w:rFonts w:hint="eastAsia" w:ascii="Times New Roman" w:hAnsi="Times New Roman" w:eastAsia="宋体" w:cs="Times New Roman"/>
                      <w:b w:val="0"/>
                      <w:bCs/>
                      <w:color w:val="000000"/>
                      <w:spacing w:val="0"/>
                      <w:kern w:val="0"/>
                      <w:position w:val="0"/>
                      <w:sz w:val="21"/>
                      <w:szCs w:val="21"/>
                      <w:highlight w:val="none"/>
                      <w:lang w:val="en-US" w:eastAsia="zh-CN" w:bidi="zh-CN"/>
                    </w:rPr>
                    <w:t>产生的</w:t>
                  </w:r>
                  <w:r>
                    <w:rPr>
                      <w:rFonts w:hint="default" w:ascii="Times New Roman" w:hAnsi="Times New Roman" w:eastAsia="宋体" w:cs="Times New Roman"/>
                      <w:b w:val="0"/>
                      <w:bCs/>
                      <w:color w:val="000000"/>
                      <w:spacing w:val="0"/>
                      <w:kern w:val="0"/>
                      <w:position w:val="0"/>
                      <w:sz w:val="21"/>
                      <w:szCs w:val="21"/>
                      <w:highlight w:val="none"/>
                      <w:lang w:val="en-US" w:eastAsia="zh-CN" w:bidi="zh-CN"/>
                    </w:rPr>
                    <w:t>危险废物集中收集至</w:t>
                  </w:r>
                  <w:r>
                    <w:rPr>
                      <w:rFonts w:hint="eastAsia" w:cs="Times New Roman"/>
                      <w:kern w:val="0"/>
                      <w:sz w:val="21"/>
                      <w:szCs w:val="21"/>
                      <w:highlight w:val="none"/>
                      <w:lang w:val="en-US" w:eastAsia="zh-CN"/>
                    </w:rPr>
                    <w:t>危险废物贮存库</w:t>
                  </w:r>
                  <w:r>
                    <w:rPr>
                      <w:rFonts w:hint="default" w:ascii="Times New Roman" w:hAnsi="Times New Roman" w:eastAsia="宋体" w:cs="Times New Roman"/>
                      <w:b w:val="0"/>
                      <w:bCs/>
                      <w:color w:val="000000"/>
                      <w:spacing w:val="0"/>
                      <w:kern w:val="0"/>
                      <w:position w:val="0"/>
                      <w:sz w:val="21"/>
                      <w:szCs w:val="21"/>
                      <w:highlight w:val="none"/>
                      <w:lang w:val="en-US" w:eastAsia="zh-CN" w:bidi="zh-CN"/>
                    </w:rPr>
                    <w:t>内，</w:t>
                  </w:r>
                  <w:r>
                    <w:rPr>
                      <w:rFonts w:hint="eastAsia" w:ascii="Times New Roman" w:hAnsi="Times New Roman" w:eastAsia="宋体" w:cs="Times New Roman"/>
                      <w:b w:val="0"/>
                      <w:bCs/>
                      <w:color w:val="000000"/>
                      <w:spacing w:val="0"/>
                      <w:kern w:val="0"/>
                      <w:position w:val="0"/>
                      <w:sz w:val="21"/>
                      <w:szCs w:val="21"/>
                      <w:highlight w:val="none"/>
                      <w:lang w:val="en-US" w:eastAsia="zh-CN" w:bidi="zh-CN"/>
                    </w:rPr>
                    <w:t>定期交由有资质单位清运处置。</w:t>
                  </w:r>
                </w:p>
              </w:tc>
            </w:tr>
            <w:tr w14:paraId="448999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73BFB12F">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35578A28">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center"/>
                </w:tcPr>
                <w:p w14:paraId="46A9C4C7">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4.</w:t>
                  </w:r>
                  <w:r>
                    <w:rPr>
                      <w:rFonts w:hint="default" w:ascii="Times New Roman" w:hAnsi="Times New Roman" w:eastAsia="宋体" w:cs="Times New Roman"/>
                      <w:kern w:val="0"/>
                      <w:sz w:val="21"/>
                      <w:szCs w:val="21"/>
                      <w:lang w:val="en-US" w:eastAsia="zh-CN"/>
                    </w:rPr>
                    <w:t>入园项目要符合建设项目环评文件中大气环境防护距离或卫生防护距离的要求。</w:t>
                  </w:r>
                </w:p>
              </w:tc>
              <w:tc>
                <w:tcPr>
                  <w:tcW w:w="1747" w:type="pct"/>
                  <w:tcBorders>
                    <w:tl2br w:val="nil"/>
                    <w:tr2bl w:val="nil"/>
                  </w:tcBorders>
                  <w:noWrap w:val="0"/>
                  <w:vAlign w:val="center"/>
                </w:tcPr>
                <w:p w14:paraId="5B198CA2">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符合，本项目不设置大气及卫生防护距离。</w:t>
                  </w:r>
                </w:p>
              </w:tc>
            </w:tr>
            <w:tr w14:paraId="551849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166EAED6">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1AE836B4">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center"/>
                </w:tcPr>
                <w:p w14:paraId="4D3B6557">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5.重点排污单位应当根据所在地重污染天气应急预案，编制本单位重污染天气应急响应方案。根据重污染天气的预警等级，及时启动重污染天气应急预案，并采取与预警等级对应的响应措施。</w:t>
                  </w:r>
                </w:p>
              </w:tc>
              <w:tc>
                <w:tcPr>
                  <w:tcW w:w="1747" w:type="pct"/>
                  <w:tcBorders>
                    <w:tl2br w:val="nil"/>
                    <w:tr2bl w:val="nil"/>
                  </w:tcBorders>
                  <w:noWrap w:val="0"/>
                  <w:vAlign w:val="center"/>
                </w:tcPr>
                <w:p w14:paraId="7752B1B9">
                  <w:pPr>
                    <w:keepNext w:val="0"/>
                    <w:keepLines w:val="0"/>
                    <w:suppressLineNumbers w:val="0"/>
                    <w:spacing w:before="0" w:beforeAutospacing="0" w:after="0" w:afterAutospacing="0" w:line="240" w:lineRule="auto"/>
                    <w:ind w:left="0" w:right="0" w:firstLine="0" w:firstLineChars="0"/>
                    <w:jc w:val="both"/>
                    <w:rPr>
                      <w:rFonts w:hint="eastAsia" w:ascii="Times New Roman" w:hAnsi="Times New Roman" w:eastAsia="宋体" w:cs="Times New Roman"/>
                      <w:kern w:val="0"/>
                      <w:sz w:val="21"/>
                      <w:szCs w:val="21"/>
                      <w:lang w:val="en-US" w:eastAsia="zh-CN"/>
                    </w:rPr>
                  </w:pPr>
                  <w:r>
                    <w:rPr>
                      <w:rFonts w:hint="eastAsia" w:cs="Times New Roman"/>
                      <w:color w:val="000000" w:themeColor="text1"/>
                      <w:sz w:val="21"/>
                      <w:szCs w:val="21"/>
                      <w:highlight w:val="none"/>
                      <w:lang w:val="en-US" w:eastAsia="zh-CN"/>
                      <w14:textFill>
                        <w14:solidFill>
                          <w14:schemeClr w14:val="tx1"/>
                        </w14:solidFill>
                      </w14:textFill>
                    </w:rPr>
                    <w:t>符合，本项目不涉及。</w:t>
                  </w:r>
                </w:p>
              </w:tc>
            </w:tr>
            <w:tr w14:paraId="2FF10E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556D0E32">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restart"/>
                  <w:tcBorders>
                    <w:tl2br w:val="nil"/>
                    <w:tr2bl w:val="nil"/>
                  </w:tcBorders>
                  <w:noWrap w:val="0"/>
                  <w:vAlign w:val="center"/>
                </w:tcPr>
                <w:p w14:paraId="0AD3453C">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资源利用效率</w:t>
                  </w:r>
                </w:p>
              </w:tc>
              <w:tc>
                <w:tcPr>
                  <w:tcW w:w="1854" w:type="pct"/>
                  <w:tcBorders>
                    <w:tl2br w:val="nil"/>
                    <w:tr2bl w:val="nil"/>
                  </w:tcBorders>
                  <w:noWrap w:val="0"/>
                  <w:vAlign w:val="center"/>
                </w:tcPr>
                <w:p w14:paraId="39AD2A3C">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cs="Times New Roman"/>
                      <w:b w:val="0"/>
                      <w:i w:val="0"/>
                      <w:caps w:val="0"/>
                      <w:color w:val="000000"/>
                      <w:spacing w:val="0"/>
                      <w:w w:val="100"/>
                      <w:kern w:val="2"/>
                      <w:sz w:val="21"/>
                      <w:szCs w:val="21"/>
                      <w:highlight w:val="none"/>
                      <w:lang w:val="en-US" w:eastAsia="zh-CN" w:bidi="ar-SA"/>
                    </w:rPr>
                    <w:t>1.</w:t>
                  </w: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结合产业结构调整，大力发展循环经济，推行清洁生产，促进企业采用高新技术改造传统产业，实现污染物防治从单纯末端治理向预防为主和全过程控制转变，达到节能降耗、综合利用，减少生产过程中污染物的排放。</w:t>
                  </w:r>
                </w:p>
              </w:tc>
              <w:tc>
                <w:tcPr>
                  <w:tcW w:w="1747" w:type="pct"/>
                  <w:tcBorders>
                    <w:tl2br w:val="nil"/>
                    <w:tr2bl w:val="nil"/>
                  </w:tcBorders>
                  <w:noWrap w:val="0"/>
                  <w:vAlign w:val="center"/>
                </w:tcPr>
                <w:p w14:paraId="767707E0">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sz w:val="21"/>
                      <w:lang w:val="en-US" w:eastAsia="zh-CN"/>
                    </w:rPr>
                    <w:t>符合，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w:t>
                  </w:r>
                  <w:r>
                    <w:rPr>
                      <w:rFonts w:hint="eastAsia" w:ascii="Times New Roman" w:hAnsi="Times New Roman" w:eastAsia="宋体" w:cs="Times New Roman"/>
                      <w:sz w:val="21"/>
                      <w:highlight w:val="none"/>
                      <w:lang w:val="en-US" w:eastAsia="zh-CN"/>
                    </w:rPr>
                    <w:t>采取上述措施后各污染物均能达标排放。</w:t>
                  </w:r>
                </w:p>
              </w:tc>
            </w:tr>
            <w:tr w14:paraId="2F6967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056" w:type="pct"/>
                  <w:vMerge w:val="continue"/>
                  <w:tcBorders>
                    <w:tl2br w:val="nil"/>
                    <w:tr2bl w:val="nil"/>
                  </w:tcBorders>
                  <w:noWrap w:val="0"/>
                  <w:vAlign w:val="center"/>
                </w:tcPr>
                <w:p w14:paraId="1703C27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341" w:type="pct"/>
                  <w:vMerge w:val="continue"/>
                  <w:tcBorders>
                    <w:tl2br w:val="nil"/>
                    <w:tr2bl w:val="nil"/>
                  </w:tcBorders>
                  <w:noWrap w:val="0"/>
                  <w:vAlign w:val="center"/>
                </w:tcPr>
                <w:p w14:paraId="6D0A766D">
                  <w:pPr>
                    <w:keepNext w:val="0"/>
                    <w:keepLines w:val="0"/>
                    <w:widowControl/>
                    <w:suppressLineNumbers w:val="0"/>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1854" w:type="pct"/>
                  <w:tcBorders>
                    <w:tl2br w:val="nil"/>
                    <w:tr2bl w:val="nil"/>
                  </w:tcBorders>
                  <w:noWrap w:val="0"/>
                  <w:vAlign w:val="center"/>
                </w:tcPr>
                <w:p w14:paraId="5C43D900">
                  <w:pPr>
                    <w:keepNext w:val="0"/>
                    <w:keepLines w:val="0"/>
                    <w:widowControl/>
                    <w:suppressLineNumbers w:val="0"/>
                    <w:snapToGrid/>
                    <w:spacing w:before="0" w:beforeAutospacing="0" w:after="0" w:afterAutospacing="0" w:line="240" w:lineRule="auto"/>
                    <w:ind w:left="0" w:right="0" w:firstLine="0" w:firstLineChars="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cs="Times New Roman"/>
                      <w:b w:val="0"/>
                      <w:i w:val="0"/>
                      <w:caps w:val="0"/>
                      <w:color w:val="000000"/>
                      <w:spacing w:val="0"/>
                      <w:w w:val="100"/>
                      <w:kern w:val="2"/>
                      <w:sz w:val="21"/>
                      <w:szCs w:val="21"/>
                      <w:highlight w:val="none"/>
                      <w:lang w:val="en-US" w:eastAsia="zh-CN" w:bidi="ar-SA"/>
                    </w:rPr>
                    <w:t>2.围绕资源高效循环利用，加大先进节能技术和减排技术的推广应用，推动结构性、技术性和制度性节能减排。严格落实项目能评和环评制度，加强源头控制。</w:t>
                  </w:r>
                </w:p>
              </w:tc>
              <w:tc>
                <w:tcPr>
                  <w:tcW w:w="1747" w:type="pct"/>
                  <w:tcBorders>
                    <w:tl2br w:val="nil"/>
                    <w:tr2bl w:val="nil"/>
                  </w:tcBorders>
                  <w:noWrap w:val="0"/>
                  <w:vAlign w:val="center"/>
                </w:tcPr>
                <w:p w14:paraId="128D4AF0">
                  <w:pPr>
                    <w:keepNext w:val="0"/>
                    <w:keepLines w:val="0"/>
                    <w:widowControl/>
                    <w:numPr>
                      <w:ilvl w:val="0"/>
                      <w:numId w:val="0"/>
                    </w:numPr>
                    <w:suppressLineNumbers w:val="0"/>
                    <w:snapToGrid/>
                    <w:spacing w:before="0" w:beforeAutospacing="0" w:after="0" w:afterAutospacing="0" w:line="240" w:lineRule="auto"/>
                    <w:ind w:left="0" w:right="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符合，</w:t>
                  </w:r>
                  <w:r>
                    <w:rPr>
                      <w:rFonts w:hint="eastAsia" w:cs="Times New Roman"/>
                      <w:color w:val="000000" w:themeColor="text1"/>
                      <w:sz w:val="21"/>
                      <w:szCs w:val="21"/>
                      <w:highlight w:val="none"/>
                      <w:lang w:val="en-US" w:eastAsia="zh-CN"/>
                      <w14:textFill>
                        <w14:solidFill>
                          <w14:schemeClr w14:val="tx1"/>
                        </w14:solidFill>
                      </w14:textFill>
                    </w:rPr>
                    <w:t>本项目不涉及。</w:t>
                  </w:r>
                </w:p>
              </w:tc>
            </w:tr>
          </w:tbl>
          <w:p w14:paraId="26884873">
            <w:pPr>
              <w:keepNext w:val="0"/>
              <w:keepLines w:val="0"/>
              <w:suppressLineNumbers w:val="0"/>
              <w:spacing w:before="0" w:beforeAutospacing="0" w:after="0" w:afterAutospacing="0"/>
              <w:ind w:left="0" w:right="0" w:firstLine="480" w:firstLineChars="200"/>
              <w:rPr>
                <w:rFonts w:hint="eastAsia"/>
                <w:color w:val="000000"/>
                <w:kern w:val="0"/>
                <w:lang w:val="en-US" w:eastAsia="zh-CN"/>
              </w:rPr>
            </w:pPr>
            <w:r>
              <w:rPr>
                <w:rFonts w:hint="eastAsia"/>
              </w:rPr>
              <w:t>综合</w:t>
            </w:r>
            <w:r>
              <w:rPr>
                <w:rFonts w:hint="eastAsia"/>
                <w:lang w:val="en-US" w:eastAsia="zh-CN"/>
              </w:rPr>
              <w:t>所述</w:t>
            </w:r>
            <w:r>
              <w:rPr>
                <w:rFonts w:hint="eastAsia"/>
              </w:rPr>
              <w:t>，本项目符合</w:t>
            </w:r>
            <w:r>
              <w:rPr>
                <w:rFonts w:hint="eastAsia"/>
                <w:lang w:val="en-US" w:eastAsia="zh-CN"/>
              </w:rPr>
              <w:t>《关于印发巴音郭楞蒙古自治州“三线一单”生态环境分区管控动态更新成果（2023年）的通知》（巴政办发〔2024〕32号）</w:t>
            </w:r>
            <w:r>
              <w:rPr>
                <w:rFonts w:hint="eastAsia"/>
              </w:rPr>
              <w:t>文件</w:t>
            </w:r>
            <w:r>
              <w:rPr>
                <w:rFonts w:hint="eastAsia"/>
                <w:lang w:val="en-US" w:eastAsia="zh-CN"/>
              </w:rPr>
              <w:t>管控</w:t>
            </w:r>
            <w:r>
              <w:rPr>
                <w:rFonts w:hint="eastAsia"/>
              </w:rPr>
              <w:t>要求</w:t>
            </w:r>
            <w:r>
              <w:rPr>
                <w:rFonts w:hint="eastAsia"/>
                <w:lang w:eastAsia="zh-CN"/>
              </w:rPr>
              <w:t>。</w:t>
            </w:r>
          </w:p>
          <w:p w14:paraId="317FE6C7">
            <w:pPr>
              <w:keepNext w:val="0"/>
              <w:keepLines w:val="0"/>
              <w:widowControl/>
              <w:suppressLineNumbers w:val="0"/>
              <w:spacing w:before="0" w:beforeAutospacing="0" w:after="0" w:afterAutospacing="0"/>
              <w:ind w:left="0" w:right="0"/>
              <w:jc w:val="left"/>
              <w:rPr>
                <w:rFonts w:hint="eastAsia"/>
                <w:b/>
                <w:bCs/>
                <w:snapToGrid w:val="0"/>
                <w:kern w:val="0"/>
              </w:rPr>
            </w:pPr>
            <w:r>
              <w:rPr>
                <w:rFonts w:hint="eastAsia"/>
                <w:b/>
                <w:bCs/>
                <w:szCs w:val="20"/>
                <w:lang w:val="en-US" w:eastAsia="zh-CN"/>
              </w:rPr>
              <w:t>3</w:t>
            </w:r>
            <w:r>
              <w:rPr>
                <w:rFonts w:hint="eastAsia"/>
                <w:b/>
                <w:bCs/>
                <w:szCs w:val="20"/>
                <w:lang w:eastAsia="zh-CN"/>
              </w:rPr>
              <w:t>、</w:t>
            </w:r>
            <w:r>
              <w:rPr>
                <w:rFonts w:hint="eastAsia"/>
                <w:b/>
                <w:bCs/>
                <w:snapToGrid w:val="0"/>
                <w:kern w:val="0"/>
              </w:rPr>
              <w:t>与</w:t>
            </w:r>
            <w:r>
              <w:rPr>
                <w:rFonts w:hint="default"/>
                <w:b/>
                <w:bCs/>
                <w:snapToGrid w:val="0"/>
                <w:kern w:val="0"/>
              </w:rPr>
              <w:t>《</w:t>
            </w:r>
            <w:r>
              <w:rPr>
                <w:rStyle w:val="38"/>
                <w:rFonts w:hint="default"/>
                <w:color w:val="000000"/>
              </w:rPr>
              <w:t>新疆生态环境保护“十四五”规划</w:t>
            </w:r>
            <w:r>
              <w:rPr>
                <w:rFonts w:hint="default"/>
                <w:b/>
                <w:bCs/>
                <w:snapToGrid w:val="0"/>
                <w:kern w:val="0"/>
              </w:rPr>
              <w:t>》</w:t>
            </w:r>
            <w:r>
              <w:rPr>
                <w:rFonts w:hint="eastAsia"/>
                <w:b/>
                <w:bCs/>
                <w:snapToGrid w:val="0"/>
                <w:kern w:val="0"/>
              </w:rPr>
              <w:t>的符合性分析</w:t>
            </w:r>
          </w:p>
          <w:p w14:paraId="6298D8A4">
            <w:pPr>
              <w:keepNext w:val="0"/>
              <w:keepLines w:val="0"/>
              <w:widowControl/>
              <w:suppressLineNumbers w:val="0"/>
              <w:adjustRightInd w:val="0"/>
              <w:snapToGrid w:val="0"/>
              <w:spacing w:before="0" w:beforeAutospacing="0" w:after="0" w:afterAutospacing="0"/>
              <w:ind w:left="0" w:right="0" w:firstLine="480" w:firstLineChars="200"/>
              <w:jc w:val="left"/>
              <w:rPr>
                <w:rFonts w:hint="eastAsia"/>
                <w:snapToGrid w:val="0"/>
                <w:kern w:val="0"/>
              </w:rPr>
            </w:pPr>
            <w:r>
              <w:rPr>
                <w:rFonts w:hint="eastAsia"/>
                <w:snapToGrid w:val="0"/>
                <w:kern w:val="0"/>
                <w:lang w:eastAsia="zh-CN"/>
              </w:rPr>
              <w:t>实施重点行业氮氧化物（以下简称“</w:t>
            </w:r>
            <w:r>
              <w:rPr>
                <w:rFonts w:hint="eastAsia"/>
                <w:snapToGrid w:val="0"/>
                <w:kern w:val="0"/>
                <w:lang w:val="en-US"/>
              </w:rPr>
              <w:t>NOx</w:t>
            </w:r>
            <w:r>
              <w:rPr>
                <w:rFonts w:hint="eastAsia"/>
                <w:snapToGrid w:val="0"/>
                <w:kern w:val="0"/>
                <w:lang w:eastAsia="zh-CN"/>
              </w:rPr>
              <w:t>”）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p w14:paraId="063229EA">
            <w:pPr>
              <w:keepNext w:val="0"/>
              <w:keepLines w:val="0"/>
              <w:widowControl/>
              <w:suppressLineNumbers w:val="0"/>
              <w:adjustRightInd w:val="0"/>
              <w:snapToGrid w:val="0"/>
              <w:spacing w:before="0" w:beforeAutospacing="0" w:after="0" w:afterAutospacing="0"/>
              <w:ind w:left="0" w:right="0" w:firstLine="480" w:firstLineChars="200"/>
              <w:jc w:val="both"/>
              <w:rPr>
                <w:rFonts w:hint="default" w:eastAsia="宋体"/>
                <w:snapToGrid w:val="0"/>
                <w:kern w:val="0"/>
                <w:sz w:val="24"/>
                <w:szCs w:val="24"/>
                <w:highlight w:val="none"/>
                <w:lang w:val="en-US" w:eastAsia="zh-CN"/>
              </w:rPr>
            </w:pPr>
            <w:r>
              <w:rPr>
                <w:rFonts w:hint="eastAsia"/>
                <w:snapToGrid w:val="0"/>
                <w:kern w:val="0"/>
                <w:sz w:val="24"/>
                <w:szCs w:val="24"/>
                <w:highlight w:val="none"/>
                <w:lang w:val="en-US" w:eastAsia="zh-CN"/>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采取上述措施后各污染物均能达标排放</w:t>
            </w:r>
            <w:r>
              <w:rPr>
                <w:rFonts w:hint="eastAsia" w:cs="Times New Roman"/>
                <w:b w:val="0"/>
                <w:bCs/>
                <w:color w:val="000000"/>
                <w:spacing w:val="-6"/>
                <w:sz w:val="24"/>
                <w:szCs w:val="24"/>
                <w:highlight w:val="none"/>
                <w:lang w:val="en-US" w:eastAsia="zh-CN"/>
              </w:rPr>
              <w:t>。综上所述，本项目符合《新疆生态环境保护“十四五”规划》中的要求。</w:t>
            </w:r>
          </w:p>
          <w:p w14:paraId="278B5076">
            <w:pPr>
              <w:keepNext w:val="0"/>
              <w:keepLines w:val="0"/>
              <w:suppressLineNumbers w:val="0"/>
              <w:spacing w:before="0" w:beforeAutospacing="0" w:after="0" w:afterAutospacing="0"/>
              <w:ind w:left="0" w:right="0"/>
              <w:rPr>
                <w:rFonts w:hint="default"/>
                <w:b/>
                <w:bCs/>
                <w:szCs w:val="20"/>
                <w:lang w:val="en-US" w:eastAsia="zh-CN"/>
              </w:rPr>
            </w:pPr>
            <w:r>
              <w:rPr>
                <w:rFonts w:hint="eastAsia"/>
                <w:b/>
                <w:bCs/>
                <w:szCs w:val="20"/>
                <w:lang w:val="en-US" w:eastAsia="zh-CN"/>
              </w:rPr>
              <w:t>4</w:t>
            </w:r>
            <w:r>
              <w:rPr>
                <w:rFonts w:hint="eastAsia"/>
                <w:b/>
                <w:bCs/>
                <w:szCs w:val="20"/>
                <w:lang w:eastAsia="zh-CN"/>
              </w:rPr>
              <w:t>、</w:t>
            </w:r>
            <w:r>
              <w:rPr>
                <w:rFonts w:hint="eastAsia"/>
                <w:b/>
                <w:bCs/>
                <w:szCs w:val="20"/>
                <w:lang w:val="en-US" w:eastAsia="zh-CN"/>
              </w:rPr>
              <w:t>与《巴音郭楞蒙古自治州生态环境“十四五”规划》的符合性分析</w:t>
            </w:r>
          </w:p>
          <w:p w14:paraId="4FD8BA1F">
            <w:pPr>
              <w:pStyle w:val="5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b w:val="0"/>
                <w:bCs w:val="0"/>
                <w:szCs w:val="20"/>
                <w:lang w:eastAsia="zh-CN"/>
              </w:rPr>
            </w:pPr>
            <w:r>
              <w:rPr>
                <w:rFonts w:hint="eastAsia"/>
                <w:b w:val="0"/>
                <w:bCs w:val="0"/>
                <w:szCs w:val="20"/>
                <w:lang w:eastAsia="zh-CN"/>
              </w:rPr>
              <w:t>深入实施燃煤锅炉、工业</w:t>
            </w:r>
            <w:r>
              <w:rPr>
                <w:rFonts w:hint="eastAsia"/>
                <w:b w:val="0"/>
                <w:bCs w:val="0"/>
                <w:szCs w:val="20"/>
                <w:lang w:val="en-US" w:eastAsia="zh-CN"/>
              </w:rPr>
              <w:t>炉窑</w:t>
            </w:r>
            <w:r>
              <w:rPr>
                <w:rFonts w:hint="eastAsia"/>
                <w:b w:val="0"/>
                <w:bCs w:val="0"/>
                <w:szCs w:val="20"/>
                <w:lang w:eastAsia="zh-CN"/>
              </w:rPr>
              <w:t>综合治理。城市建成区35蒸吨/小时及以下的燃煤锅炉全部淘汰或实施清洁能源替代；推动65蒸吨/小时及以上的燃煤锅炉全部实现超低排放改造，实施燃气锅炉低氮改造。深入实施《自治州工业炉密大气污染综合治理实施方案》，健全完善全州工业密炉大气污染综合治理管理体系推进工业密炉全面达标排放，全面加强无组织排放管理；库尔勒区域（库尔勒市、兵团第二师铁门关市、库尔勒经济技术开发区、第二师铁门关经济技术开发区、焉县河北生态产业园）工业</w:t>
            </w:r>
            <w:r>
              <w:rPr>
                <w:rFonts w:hint="eastAsia"/>
                <w:b w:val="0"/>
                <w:bCs w:val="0"/>
                <w:szCs w:val="20"/>
                <w:lang w:val="en-US" w:eastAsia="zh-CN"/>
              </w:rPr>
              <w:t>炉窑</w:t>
            </w:r>
            <w:r>
              <w:rPr>
                <w:rFonts w:hint="eastAsia"/>
                <w:b w:val="0"/>
                <w:bCs w:val="0"/>
                <w:szCs w:val="20"/>
                <w:lang w:eastAsia="zh-CN"/>
              </w:rPr>
              <w:t>装备和污染治理水平明显提高，实现工业行业二氧化硫、氮氧化物、颗粒物等污染物排放进一步下降，协同促进钢铁、建材等重点行业二氧化碳排放有效控制，推动环境空气质量持续改善和产业高质量发展。</w:t>
            </w:r>
          </w:p>
          <w:p w14:paraId="1E94E2DC">
            <w:pPr>
              <w:pStyle w:val="5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b w:val="0"/>
                <w:bCs w:val="0"/>
                <w:szCs w:val="20"/>
                <w:highlight w:val="none"/>
                <w:lang w:val="en-US" w:eastAsia="zh-CN"/>
              </w:rPr>
            </w:pPr>
            <w:r>
              <w:rPr>
                <w:rFonts w:hint="eastAsia"/>
                <w:b w:val="0"/>
                <w:bCs w:val="0"/>
                <w:szCs w:val="20"/>
                <w:highlight w:val="none"/>
                <w:lang w:val="en-US" w:eastAsia="zh-CN"/>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符合《巴音郭楞蒙古自治州生态环境“十四五”规划》中的要求。</w:t>
            </w:r>
          </w:p>
          <w:p w14:paraId="5D8BD298">
            <w:pPr>
              <w:pStyle w:val="5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b/>
                <w:bCs/>
              </w:rPr>
            </w:pPr>
            <w:r>
              <w:rPr>
                <w:rFonts w:hint="eastAsia" w:ascii="Times New Roman" w:hAnsi="Times New Roman" w:eastAsia="宋体" w:cs="Times New Roman"/>
                <w:b/>
                <w:bCs/>
                <w:kern w:val="2"/>
                <w:sz w:val="24"/>
                <w:szCs w:val="24"/>
                <w:lang w:val="en-US" w:eastAsia="zh-CN" w:bidi="ar-SA"/>
              </w:rPr>
              <w:t>5、</w:t>
            </w:r>
            <w:r>
              <w:rPr>
                <w:rFonts w:hint="eastAsia"/>
                <w:b/>
                <w:bCs/>
                <w:lang w:val="en-US" w:eastAsia="zh-CN"/>
              </w:rPr>
              <w:t>与《工业炉窑大气污染综合治理方案》的符合性分析</w:t>
            </w:r>
          </w:p>
          <w:p w14:paraId="24F33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rPr>
            </w:pPr>
            <w:r>
              <w:rPr>
                <w:rFonts w:hint="default"/>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p w14:paraId="024841F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eastAsia="宋体"/>
                <w:szCs w:val="20"/>
                <w:lang w:eastAsia="zh-CN"/>
              </w:rPr>
            </w:pPr>
            <w:r>
              <w:rPr>
                <w:rFonts w:hint="default" w:ascii="Times New Roman" w:hAnsi="Times New Roman" w:cs="Times New Roman"/>
                <w:lang w:val="en-US" w:eastAsia="zh-CN"/>
              </w:rPr>
              <w:t>本项目使用</w:t>
            </w:r>
            <w:r>
              <w:rPr>
                <w:rFonts w:hint="eastAsia" w:ascii="Times New Roman" w:hAnsi="Times New Roman" w:cs="Times New Roman"/>
                <w:lang w:val="en-US" w:eastAsia="zh-CN"/>
              </w:rPr>
              <w:t>两</w:t>
            </w:r>
            <w:r>
              <w:rPr>
                <w:rFonts w:hint="default" w:ascii="Times New Roman" w:hAnsi="Times New Roman" w:cs="Times New Roman"/>
                <w:lang w:val="en-US" w:eastAsia="zh-CN"/>
              </w:rPr>
              <w:t>台热风炉对</w:t>
            </w:r>
            <w:r>
              <w:rPr>
                <w:rFonts w:hint="eastAsia" w:cs="Times New Roman"/>
                <w:lang w:val="en-US" w:eastAsia="zh-CN"/>
              </w:rPr>
              <w:t>烘干机</w:t>
            </w:r>
            <w:r>
              <w:rPr>
                <w:rFonts w:hint="default" w:ascii="Times New Roman" w:hAnsi="Times New Roman" w:cs="Times New Roman"/>
                <w:lang w:val="en-US" w:eastAsia="zh-CN"/>
              </w:rPr>
              <w:t>供热</w:t>
            </w:r>
            <w:r>
              <w:rPr>
                <w:rFonts w:hint="eastAsia" w:ascii="Times New Roman" w:hAnsi="Times New Roman" w:cs="Times New Roman"/>
                <w:lang w:val="en-US" w:eastAsia="zh-CN"/>
              </w:rPr>
              <w:t>，</w:t>
            </w:r>
            <w:r>
              <w:rPr>
                <w:rFonts w:hint="default" w:ascii="Times New Roman" w:hAnsi="Times New Roman" w:cs="Times New Roman"/>
                <w:lang w:val="en-US" w:eastAsia="zh-CN"/>
              </w:rPr>
              <w:t>燃料</w:t>
            </w:r>
            <w:r>
              <w:rPr>
                <w:rFonts w:hint="default"/>
              </w:rPr>
              <w:t>使用</w:t>
            </w:r>
            <w:r>
              <w:rPr>
                <w:rFonts w:hint="eastAsia"/>
                <w:lang w:val="en-US" w:eastAsia="zh-CN"/>
              </w:rPr>
              <w:t>天然气</w:t>
            </w:r>
            <w:r>
              <w:rPr>
                <w:rFonts w:hint="eastAsia" w:cs="Times New Roman"/>
                <w:lang w:val="en-US" w:eastAsia="zh-CN"/>
              </w:rPr>
              <w:t>，</w:t>
            </w:r>
            <w:r>
              <w:rPr>
                <w:rFonts w:hint="eastAsia"/>
                <w:lang w:val="en-US" w:eastAsia="zh-CN"/>
              </w:rPr>
              <w:t>不属于高污染燃料</w:t>
            </w:r>
            <w:r>
              <w:rPr>
                <w:rFonts w:hint="eastAsia" w:ascii="Times New Roman" w:hAnsi="Times New Roman" w:cs="Times New Roman"/>
                <w:lang w:val="en-US" w:eastAsia="zh-CN"/>
              </w:rPr>
              <w:t>，</w:t>
            </w:r>
            <w:r>
              <w:rPr>
                <w:rFonts w:hint="default"/>
              </w:rPr>
              <w:t>加快</w:t>
            </w:r>
            <w:r>
              <w:rPr>
                <w:rFonts w:hint="eastAsia"/>
                <w:lang w:val="en-US" w:eastAsia="zh-CN"/>
              </w:rPr>
              <w:t>了</w:t>
            </w:r>
            <w:r>
              <w:rPr>
                <w:rFonts w:hint="default"/>
              </w:rPr>
              <w:t>燃料清洁低碳化</w:t>
            </w:r>
            <w:r>
              <w:rPr>
                <w:rFonts w:hint="eastAsia"/>
                <w:lang w:eastAsia="zh-CN"/>
              </w:rPr>
              <w:t>，</w:t>
            </w:r>
            <w:r>
              <w:rPr>
                <w:rFonts w:hint="eastAsia" w:eastAsia="宋体" w:cs="Times New Roman"/>
                <w:color w:val="000000"/>
                <w:spacing w:val="0"/>
                <w:highlight w:val="none"/>
                <w:lang w:val="en-US" w:eastAsia="zh-CN"/>
              </w:rPr>
              <w:t>符合《工业炉窑大气污染综合治理方案》</w:t>
            </w:r>
            <w:r>
              <w:rPr>
                <w:rFonts w:hint="eastAsia"/>
                <w:lang w:val="en-US" w:eastAsia="zh-CN"/>
              </w:rPr>
              <w:t>中的要求</w:t>
            </w:r>
            <w:r>
              <w:rPr>
                <w:rFonts w:hint="eastAsia"/>
                <w:lang w:eastAsia="zh-CN"/>
              </w:rPr>
              <w:t>。</w:t>
            </w:r>
          </w:p>
          <w:p w14:paraId="187CDB35">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、与《新疆维吾尔自治区工业炉窑大气污染综合治理实施方案》的符合性分析</w:t>
            </w:r>
          </w:p>
          <w:p w14:paraId="3CFF6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推进工业炉窑全面达标排放。已有行业排放标准的工业炉窑，严格执行行业排放标准相关规定，配套建设高效脱硫脱硝除尘设施，确保稳定达标排放。重点区域钢铁、水泥、焦化、石化、化工、有色等行业，二氧化硫、氮氧化物、颗粒物、挥发性有机物（VOCs）排放全面执行大气污染物特别排放限值。已核发排污许可证的，应严格执行许可要求。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铸造行业烧结、高炉工序污染排放控制按照钢铁行业相关标准要求执行；重点区域原则上按照颗粒物、二氧化硫、氮氧化物排放限值分别不高于30、200、300毫克/立方米实施改造，其中，日用玻璃、玻璃棉氮氧化物排放限值不高于400毫克/立方米</w:t>
            </w:r>
            <w:r>
              <w:rPr>
                <w:rFonts w:hint="eastAsia" w:cs="Times New Roman"/>
                <w:b w:val="0"/>
                <w:bCs w:val="0"/>
                <w:kern w:val="2"/>
                <w:sz w:val="24"/>
                <w:szCs w:val="24"/>
                <w:lang w:val="en-US" w:eastAsia="zh-CN" w:bidi="ar-SA"/>
              </w:rPr>
              <w:t>。</w:t>
            </w:r>
          </w:p>
          <w:p w14:paraId="1E620B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cs="Times New Roman"/>
                <w:b/>
                <w:bCs/>
                <w:kern w:val="2"/>
                <w:sz w:val="24"/>
                <w:szCs w:val="24"/>
                <w:highlight w:val="none"/>
                <w:lang w:val="en-US" w:eastAsia="zh-CN" w:bidi="ar-SA"/>
              </w:rPr>
            </w:pPr>
            <w:r>
              <w:rPr>
                <w:rFonts w:hint="eastAsia"/>
                <w:snapToGrid w:val="0"/>
                <w:kern w:val="0"/>
                <w:sz w:val="24"/>
                <w:szCs w:val="24"/>
                <w:highlight w:val="none"/>
                <w:lang w:val="en-US" w:eastAsia="zh-CN"/>
              </w:rPr>
              <w:t>本项目生产过程中均在封闭厂房内进行，本项目建成后热风炉采用低氮燃烧技术，分选产生的颗粒物与烘干产生的颗粒物、硫酸雾、二氧化硫及氮氧化物通过同一套旋风除尘器+沉降室+碱洗喷淋塔处理后，从15m高排气筒（DA001）排放。采取上述措施后各污染物均能达到</w:t>
            </w:r>
            <w:r>
              <w:rPr>
                <w:rFonts w:hint="eastAsia" w:cs="Times New Roman"/>
                <w:b w:val="0"/>
                <w:bCs/>
                <w:color w:val="000000"/>
                <w:spacing w:val="-6"/>
                <w:sz w:val="24"/>
                <w:szCs w:val="24"/>
                <w:highlight w:val="none"/>
                <w:lang w:val="en-US" w:eastAsia="zh-CN"/>
              </w:rPr>
              <w:t>重点区域工业窑炉大气污染物排放特别限值。</w:t>
            </w:r>
          </w:p>
          <w:p w14:paraId="3D02211B">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7</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与</w:t>
            </w:r>
            <w:r>
              <w:rPr>
                <w:rFonts w:hint="eastAsia" w:ascii="Times New Roman" w:hAnsi="Times New Roman" w:eastAsia="宋体" w:cs="Times New Roman"/>
                <w:b/>
                <w:bCs/>
                <w:kern w:val="2"/>
                <w:sz w:val="24"/>
                <w:szCs w:val="24"/>
                <w:lang w:val="en-US" w:eastAsia="zh-CN" w:bidi="ar-SA"/>
              </w:rPr>
              <w:t>《&lt;新疆维吾尔自治区2025年空气质量持续改善行动实施方案&gt;的通知》（新政办发〔2024〕58号）的符合性分析</w:t>
            </w:r>
          </w:p>
          <w:p w14:paraId="5AC8F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持续推进工业炉窑清洁能源替代。有序推进以电代煤，稳妥推进以气代煤。联防联控区原则上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p w14:paraId="7AA045F1">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本项目使用两台热风炉对烘干机供热，燃料使用天然气，</w:t>
            </w:r>
            <w:r>
              <w:rPr>
                <w:rFonts w:hint="eastAsia" w:cs="Times New Roman"/>
                <w:b w:val="0"/>
                <w:bCs w:val="0"/>
                <w:kern w:val="2"/>
                <w:sz w:val="24"/>
                <w:szCs w:val="24"/>
                <w:lang w:val="en-US" w:eastAsia="zh-CN" w:bidi="ar-SA"/>
              </w:rPr>
              <w:t>采用清洁低碳能源</w:t>
            </w:r>
            <w:r>
              <w:rPr>
                <w:rFonts w:hint="default" w:ascii="Times New Roman" w:hAnsi="Times New Roman" w:eastAsia="宋体" w:cs="Times New Roman"/>
                <w:sz w:val="24"/>
                <w:szCs w:val="24"/>
                <w:lang w:val="en-US" w:eastAsia="zh-CN"/>
              </w:rPr>
              <w:t>，</w:t>
            </w:r>
            <w:r>
              <w:rPr>
                <w:rFonts w:hint="eastAsia" w:cs="Times New Roman"/>
                <w:b w:val="0"/>
                <w:bCs w:val="0"/>
                <w:kern w:val="2"/>
                <w:sz w:val="24"/>
                <w:szCs w:val="24"/>
                <w:lang w:val="en-US" w:eastAsia="zh-CN" w:bidi="ar-SA"/>
              </w:rPr>
              <w:t>推进了以气代煤</w:t>
            </w:r>
            <w:r>
              <w:rPr>
                <w:rFonts w:hint="default" w:ascii="Times New Roman" w:hAnsi="Times New Roman" w:eastAsia="宋体" w:cs="Times New Roman"/>
                <w:sz w:val="24"/>
                <w:szCs w:val="24"/>
                <w:lang w:val="en-US" w:eastAsia="zh-CN"/>
              </w:rPr>
              <w:t>，符合《&lt;新疆维吾尔自治区2025年空气质量持续改善行动实施方案&gt;的通知》</w:t>
            </w:r>
            <w:r>
              <w:rPr>
                <w:rFonts w:hint="eastAsia" w:ascii="Times New Roman" w:hAnsi="Times New Roman" w:eastAsia="宋体" w:cs="Times New Roman"/>
                <w:sz w:val="24"/>
                <w:szCs w:val="24"/>
                <w:lang w:val="en-US" w:eastAsia="zh-CN"/>
              </w:rPr>
              <w:t>中的要求。</w:t>
            </w:r>
          </w:p>
          <w:p w14:paraId="33F98B66">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、选址合理性分析</w:t>
            </w:r>
          </w:p>
          <w:p w14:paraId="7DB13BF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80" w:firstLineChars="200"/>
              <w:textAlignment w:val="auto"/>
              <w:rPr>
                <w:rFonts w:hint="eastAsia"/>
                <w:lang w:val="en-US" w:eastAsia="zh-CN"/>
              </w:rPr>
            </w:pPr>
            <w:r>
              <w:rPr>
                <w:rFonts w:hint="eastAsia"/>
                <w:lang w:val="en-US" w:eastAsia="zh-CN"/>
              </w:rPr>
              <w:t>本项目厂址位于新疆维吾尔自治区巴音郭楞蒙古自治州尉犁县尉北棉纺织及农副产品加工园六号（尉棉路50号），项目用地类型为工业用地。场址周围无饮用水源地、自然保护区、文物景观等环境敏感目标。项目区道路交通条件完备，市政给水管网、污水管网及天然气管网均已铺设，项目用水用电用气均有保障。选址符合“三线一单”中的要求。因此，本项目建设交通、能源方面均有保障，项目内部、外部条件均能满足建设要求。</w:t>
            </w:r>
          </w:p>
          <w:p w14:paraId="7A84B92C">
            <w:pPr>
              <w:pStyle w:val="8"/>
              <w:keepNext w:val="0"/>
              <w:keepLines w:val="0"/>
              <w:suppressLineNumbers w:val="0"/>
              <w:spacing w:before="0" w:beforeAutospacing="0" w:after="0" w:afterAutospacing="0"/>
              <w:ind w:left="0" w:right="0"/>
              <w:rPr>
                <w:rFonts w:hint="eastAsia"/>
                <w:lang w:val="en-US" w:eastAsia="zh-CN"/>
              </w:rPr>
            </w:pPr>
          </w:p>
          <w:p w14:paraId="14BA8930">
            <w:pPr>
              <w:keepNext w:val="0"/>
              <w:keepLines w:val="0"/>
              <w:suppressLineNumbers w:val="0"/>
              <w:spacing w:before="0" w:beforeAutospacing="0" w:after="0" w:afterAutospacing="0"/>
              <w:ind w:left="0" w:right="0"/>
              <w:rPr>
                <w:rFonts w:hint="eastAsia"/>
                <w:lang w:val="en-US" w:eastAsia="zh-CN"/>
              </w:rPr>
            </w:pPr>
          </w:p>
          <w:p w14:paraId="0769E639">
            <w:pPr>
              <w:pStyle w:val="4"/>
              <w:keepNext w:val="0"/>
              <w:keepLines w:val="0"/>
              <w:suppressLineNumbers w:val="0"/>
              <w:spacing w:before="0" w:beforeAutospacing="0" w:afterAutospacing="0"/>
              <w:ind w:left="0" w:leftChars="0" w:right="0" w:firstLine="0" w:firstLineChars="0"/>
              <w:rPr>
                <w:rFonts w:hint="default"/>
              </w:rPr>
            </w:pPr>
          </w:p>
        </w:tc>
      </w:tr>
    </w:tbl>
    <w:p w14:paraId="08CB3FC2">
      <w:pPr>
        <w:rPr>
          <w:rFonts w:eastAsia="黑体"/>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22B6C60B">
      <w:pPr>
        <w:pStyle w:val="5"/>
        <w:rPr>
          <w:color w:val="auto"/>
        </w:rPr>
      </w:pPr>
      <w:bookmarkStart w:id="2" w:name="_Toc18574"/>
      <w:r>
        <w:rPr>
          <w:color w:val="auto"/>
        </w:rPr>
        <w:t>二、建设项目工程分析</w:t>
      </w:r>
      <w:bookmarkEnd w:id="2"/>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8"/>
        <w:gridCol w:w="8068"/>
      </w:tblGrid>
      <w:tr w14:paraId="17020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0" w:hRule="atLeast"/>
          <w:jc w:val="center"/>
        </w:trPr>
        <w:tc>
          <w:tcPr>
            <w:tcW w:w="448" w:type="dxa"/>
            <w:tcBorders>
              <w:tl2br w:val="nil"/>
              <w:tr2bl w:val="nil"/>
            </w:tcBorders>
            <w:noWrap w:val="0"/>
            <w:vAlign w:val="center"/>
          </w:tcPr>
          <w:p w14:paraId="0E3BBA8C">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z w:val="21"/>
                <w:szCs w:val="21"/>
              </w:rPr>
            </w:pPr>
            <w:r>
              <w:rPr>
                <w:rFonts w:hint="default" w:ascii="Times New Roman" w:hAnsi="Times New Roman"/>
                <w:b/>
                <w:bCs/>
                <w:color w:val="000000"/>
                <w:sz w:val="21"/>
                <w:szCs w:val="21"/>
              </w:rPr>
              <w:t>建设内容</w:t>
            </w:r>
          </w:p>
        </w:tc>
        <w:tc>
          <w:tcPr>
            <w:tcW w:w="8068" w:type="dxa"/>
            <w:tcBorders>
              <w:tl2br w:val="nil"/>
              <w:tr2bl w:val="nil"/>
            </w:tcBorders>
            <w:noWrap w:val="0"/>
            <w:vAlign w:val="top"/>
          </w:tcPr>
          <w:p w14:paraId="588B3816">
            <w:pPr>
              <w:keepNext w:val="0"/>
              <w:keepLines w:val="0"/>
              <w:numPr>
                <w:ilvl w:val="0"/>
                <w:numId w:val="0"/>
              </w:numPr>
              <w:suppressLineNumbers w:val="0"/>
              <w:spacing w:before="0" w:beforeAutospacing="0" w:after="0" w:afterAutospacing="0"/>
              <w:ind w:left="0" w:leftChars="0" w:right="0" w:firstLine="0" w:firstLineChars="0"/>
              <w:rPr>
                <w:rFonts w:hint="eastAsia"/>
                <w:b/>
                <w:bCs/>
                <w:color w:val="000000"/>
                <w:kern w:val="0"/>
                <w:lang w:val="en-US" w:eastAsia="zh-CN"/>
              </w:rPr>
            </w:pPr>
            <w:r>
              <w:rPr>
                <w:rFonts w:hint="eastAsia" w:cs="Times New Roman"/>
                <w:b/>
                <w:bCs/>
                <w:color w:val="000000"/>
                <w:kern w:val="0"/>
                <w:sz w:val="24"/>
                <w:szCs w:val="24"/>
                <w:lang w:val="en-US" w:eastAsia="zh-CN" w:bidi="ar-SA"/>
              </w:rPr>
              <w:t>1</w:t>
            </w:r>
            <w:r>
              <w:rPr>
                <w:rFonts w:hint="eastAsia" w:ascii="Times New Roman" w:hAnsi="Times New Roman" w:eastAsia="宋体" w:cs="Times New Roman"/>
                <w:b/>
                <w:bCs/>
                <w:color w:val="000000"/>
                <w:kern w:val="0"/>
                <w:sz w:val="24"/>
                <w:szCs w:val="24"/>
                <w:lang w:val="en-US" w:eastAsia="zh-CN" w:bidi="ar-SA"/>
              </w:rPr>
              <w:t>、</w:t>
            </w:r>
            <w:r>
              <w:rPr>
                <w:rFonts w:hint="eastAsia"/>
                <w:b/>
                <w:bCs/>
                <w:color w:val="000000"/>
                <w:kern w:val="0"/>
                <w:lang w:val="en-US" w:eastAsia="zh-CN"/>
              </w:rPr>
              <w:t>建设地点</w:t>
            </w:r>
          </w:p>
          <w:p w14:paraId="2F75E5C5">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ind w:left="0" w:leftChars="0" w:right="0" w:firstLine="480" w:firstLineChars="200"/>
              <w:textAlignment w:val="auto"/>
              <w:rPr>
                <w:rFonts w:hint="eastAsia"/>
                <w:color w:val="000000"/>
                <w:kern w:val="0"/>
              </w:rPr>
            </w:pPr>
            <w:r>
              <w:rPr>
                <w:rFonts w:hint="default"/>
                <w:color w:val="000000"/>
                <w:kern w:val="0"/>
              </w:rPr>
              <w:t>本项目位于</w:t>
            </w:r>
            <w:r>
              <w:rPr>
                <w:rFonts w:hint="eastAsia"/>
                <w:szCs w:val="21"/>
                <w:lang w:val="en-US" w:eastAsia="zh-CN"/>
              </w:rPr>
              <w:t>新疆维吾尔自治区巴音郭楞蒙古自治州尉犁县尉北棉纺织及农副产品加工园六号（尉棉路50号）</w:t>
            </w:r>
            <w:r>
              <w:rPr>
                <w:rFonts w:hint="eastAsia"/>
                <w:color w:val="000000"/>
                <w:kern w:val="0"/>
              </w:rPr>
              <w:t>，</w:t>
            </w:r>
            <w:r>
              <w:rPr>
                <w:rFonts w:hint="default"/>
                <w:color w:val="000000"/>
                <w:kern w:val="0"/>
              </w:rPr>
              <w:t>项目区中心地理坐标：</w:t>
            </w:r>
            <w:r>
              <w:rPr>
                <w:rFonts w:hint="eastAsia"/>
                <w:color w:val="000000"/>
                <w:kern w:val="0"/>
              </w:rPr>
              <w:t>东经86°14′48.</w:t>
            </w:r>
            <w:r>
              <w:rPr>
                <w:rFonts w:hint="eastAsia"/>
                <w:color w:val="000000"/>
                <w:kern w:val="0"/>
                <w:lang w:val="en-US" w:eastAsia="zh-CN"/>
              </w:rPr>
              <w:t>951</w:t>
            </w:r>
            <w:r>
              <w:rPr>
                <w:rFonts w:hint="eastAsia"/>
                <w:color w:val="000000"/>
                <w:kern w:val="0"/>
              </w:rPr>
              <w:t>″</w:t>
            </w:r>
            <w:r>
              <w:rPr>
                <w:rFonts w:hint="default"/>
                <w:color w:val="000000"/>
                <w:kern w:val="0"/>
              </w:rPr>
              <w:t>，</w:t>
            </w:r>
            <w:r>
              <w:rPr>
                <w:rFonts w:hint="eastAsia"/>
                <w:color w:val="000000"/>
                <w:kern w:val="0"/>
              </w:rPr>
              <w:t>北纬41°</w:t>
            </w:r>
            <w:r>
              <w:rPr>
                <w:rFonts w:hint="eastAsia"/>
                <w:color w:val="000000"/>
                <w:kern w:val="0"/>
                <w:lang w:val="en-US" w:eastAsia="zh-CN"/>
              </w:rPr>
              <w:t>21</w:t>
            </w:r>
            <w:r>
              <w:rPr>
                <w:rFonts w:hint="eastAsia"/>
                <w:color w:val="000000"/>
                <w:kern w:val="0"/>
              </w:rPr>
              <w:t>′</w:t>
            </w:r>
            <w:r>
              <w:rPr>
                <w:rFonts w:hint="eastAsia"/>
                <w:color w:val="000000"/>
                <w:kern w:val="0"/>
                <w:lang w:val="en-US" w:eastAsia="zh-CN"/>
              </w:rPr>
              <w:t>55.086</w:t>
            </w:r>
            <w:r>
              <w:rPr>
                <w:rFonts w:hint="eastAsia"/>
                <w:color w:val="000000"/>
                <w:kern w:val="0"/>
              </w:rPr>
              <w:t>″</w:t>
            </w:r>
            <w:r>
              <w:rPr>
                <w:rFonts w:hint="default"/>
                <w:color w:val="000000"/>
                <w:kern w:val="0"/>
              </w:rPr>
              <w:t>具体位置见：附图</w:t>
            </w:r>
            <w:r>
              <w:rPr>
                <w:rFonts w:hint="eastAsia"/>
                <w:color w:val="000000"/>
                <w:kern w:val="0"/>
                <w:lang w:val="en-US" w:eastAsia="zh-CN"/>
              </w:rPr>
              <w:t>4</w:t>
            </w:r>
            <w:r>
              <w:rPr>
                <w:rFonts w:hint="default"/>
                <w:color w:val="000000"/>
                <w:kern w:val="0"/>
              </w:rPr>
              <w:t>建设项目地理位置图，</w:t>
            </w:r>
            <w:r>
              <w:rPr>
                <w:rFonts w:hint="default"/>
                <w:color w:val="000000"/>
                <w:kern w:val="0"/>
                <w:highlight w:val="none"/>
              </w:rPr>
              <w:t>项目区南侧为</w:t>
            </w:r>
            <w:r>
              <w:rPr>
                <w:rFonts w:hint="eastAsia"/>
                <w:color w:val="000000"/>
                <w:kern w:val="0"/>
                <w:highlight w:val="none"/>
                <w:lang w:val="en-US" w:eastAsia="zh-CN"/>
              </w:rPr>
              <w:t>空置厂房</w:t>
            </w:r>
            <w:r>
              <w:rPr>
                <w:rFonts w:hint="default"/>
                <w:color w:val="000000"/>
                <w:kern w:val="0"/>
                <w:highlight w:val="none"/>
              </w:rPr>
              <w:t>、西侧为</w:t>
            </w:r>
            <w:r>
              <w:rPr>
                <w:rFonts w:hint="eastAsia"/>
                <w:color w:val="000000"/>
                <w:kern w:val="0"/>
                <w:highlight w:val="none"/>
                <w:lang w:val="en-US" w:eastAsia="zh-CN"/>
              </w:rPr>
              <w:t>新疆十方九草中草药有限公司</w:t>
            </w:r>
            <w:r>
              <w:rPr>
                <w:rFonts w:hint="default"/>
                <w:color w:val="000000"/>
                <w:kern w:val="0"/>
                <w:highlight w:val="none"/>
              </w:rPr>
              <w:t>、东侧为</w:t>
            </w:r>
            <w:r>
              <w:rPr>
                <w:rFonts w:hint="eastAsia"/>
                <w:color w:val="000000"/>
                <w:kern w:val="0"/>
                <w:highlight w:val="none"/>
              </w:rPr>
              <w:t>巴州天山通农业科技发展有限公司</w:t>
            </w:r>
            <w:r>
              <w:rPr>
                <w:rFonts w:hint="default"/>
                <w:color w:val="000000"/>
                <w:kern w:val="0"/>
                <w:highlight w:val="none"/>
              </w:rPr>
              <w:t>、北侧</w:t>
            </w:r>
            <w:r>
              <w:rPr>
                <w:rFonts w:hint="eastAsia"/>
                <w:color w:val="000000"/>
                <w:kern w:val="0"/>
                <w:highlight w:val="none"/>
                <w:lang w:val="en-US" w:eastAsia="zh-CN"/>
              </w:rPr>
              <w:t>为</w:t>
            </w:r>
            <w:r>
              <w:rPr>
                <w:rFonts w:hint="eastAsia"/>
                <w:color w:val="000000"/>
                <w:kern w:val="0"/>
                <w:highlight w:val="none"/>
              </w:rPr>
              <w:t>尉犁利华纺织有限公</w:t>
            </w:r>
            <w:r>
              <w:rPr>
                <w:rFonts w:hint="eastAsia"/>
                <w:color w:val="000000"/>
                <w:kern w:val="0"/>
                <w:highlight w:val="none"/>
                <w:lang w:eastAsia="zh-CN"/>
              </w:rPr>
              <w:t>司</w:t>
            </w:r>
            <w:r>
              <w:rPr>
                <w:rFonts w:hint="default"/>
                <w:color w:val="000000"/>
                <w:kern w:val="0"/>
              </w:rPr>
              <w:t>，周边关系见：附图</w:t>
            </w:r>
            <w:r>
              <w:rPr>
                <w:rFonts w:hint="eastAsia"/>
                <w:color w:val="000000"/>
                <w:kern w:val="0"/>
                <w:lang w:val="en-US" w:eastAsia="zh-CN"/>
              </w:rPr>
              <w:t>5</w:t>
            </w:r>
            <w:r>
              <w:rPr>
                <w:rFonts w:hint="default"/>
                <w:color w:val="000000"/>
                <w:kern w:val="0"/>
              </w:rPr>
              <w:t>建设项目周边关系图</w:t>
            </w:r>
            <w:r>
              <w:rPr>
                <w:rFonts w:hint="eastAsia"/>
                <w:color w:val="000000"/>
                <w:kern w:val="0"/>
              </w:rPr>
              <w:t>。</w:t>
            </w:r>
          </w:p>
          <w:p w14:paraId="493DEEF6">
            <w:pPr>
              <w:keepNext w:val="0"/>
              <w:keepLines w:val="0"/>
              <w:suppressLineNumbers w:val="0"/>
              <w:adjustRightInd w:val="0"/>
              <w:snapToGrid w:val="0"/>
              <w:spacing w:before="0" w:beforeAutospacing="0" w:after="0" w:afterAutospacing="0"/>
              <w:ind w:left="0" w:right="0"/>
              <w:rPr>
                <w:rFonts w:hint="default"/>
                <w:b/>
                <w:bCs/>
                <w:color w:val="000000"/>
                <w:kern w:val="0"/>
              </w:rPr>
            </w:pPr>
            <w:r>
              <w:rPr>
                <w:rFonts w:hint="eastAsia"/>
                <w:b/>
                <w:bCs/>
                <w:color w:val="000000"/>
                <w:kern w:val="0"/>
                <w:lang w:val="en-US" w:eastAsia="zh-CN"/>
              </w:rPr>
              <w:t>2、</w:t>
            </w:r>
            <w:r>
              <w:rPr>
                <w:rFonts w:hint="default"/>
                <w:b/>
                <w:bCs/>
                <w:color w:val="000000"/>
                <w:kern w:val="0"/>
              </w:rPr>
              <w:t>建设内容</w:t>
            </w:r>
          </w:p>
          <w:p w14:paraId="01B3E3E4">
            <w:pPr>
              <w:keepNext w:val="0"/>
              <w:keepLines w:val="0"/>
              <w:suppressLineNumbers w:val="0"/>
              <w:spacing w:before="0" w:beforeAutospacing="0" w:after="0" w:afterAutospacing="0"/>
              <w:ind w:left="0" w:right="0" w:firstLine="480" w:firstLineChars="200"/>
              <w:rPr>
                <w:rFonts w:hint="default" w:eastAsia="宋体"/>
                <w:lang w:val="en-US" w:eastAsia="zh-CN"/>
              </w:rPr>
            </w:pPr>
            <w:r>
              <w:rPr>
                <w:rFonts w:hint="eastAsia" w:ascii="Times New Roman" w:hAnsi="Times New Roman" w:eastAsia="宋体" w:cs="Times New Roman"/>
                <w:color w:val="000000"/>
                <w:kern w:val="0"/>
                <w:lang w:val="en-US" w:eastAsia="zh-CN"/>
              </w:rPr>
              <w:t>本项目</w:t>
            </w:r>
            <w:r>
              <w:rPr>
                <w:rFonts w:hint="eastAsia" w:cs="Times New Roman"/>
                <w:color w:val="000000"/>
                <w:sz w:val="24"/>
                <w:szCs w:val="24"/>
                <w:highlight w:val="none"/>
                <w:lang w:val="en-US" w:eastAsia="zh-CN"/>
              </w:rPr>
              <w:t>租赁巴州皓天农业科技开发有限公司</w:t>
            </w:r>
            <w:r>
              <w:rPr>
                <w:rFonts w:hint="eastAsia"/>
                <w:highlight w:val="none"/>
                <w:lang w:val="en-US" w:eastAsia="zh-CN"/>
              </w:rPr>
              <w:t>2座现有厂房、其他辅助工程进行生产。本项目总占地面积24000m</w:t>
            </w:r>
            <w:r>
              <w:rPr>
                <w:rFonts w:hint="eastAsia"/>
                <w:highlight w:val="none"/>
                <w:vertAlign w:val="superscript"/>
                <w:lang w:val="en-US" w:eastAsia="zh-CN"/>
              </w:rPr>
              <w:t>2</w:t>
            </w:r>
            <w:r>
              <w:rPr>
                <w:rFonts w:hint="eastAsia"/>
                <w:highlight w:val="none"/>
                <w:lang w:val="en-US" w:eastAsia="zh-CN"/>
              </w:rPr>
              <w:t>、总建筑面积4680m</w:t>
            </w:r>
            <w:r>
              <w:rPr>
                <w:rFonts w:hint="eastAsia"/>
                <w:highlight w:val="none"/>
                <w:vertAlign w:val="superscript"/>
                <w:lang w:val="en-US" w:eastAsia="zh-CN"/>
              </w:rPr>
              <w:t>2</w:t>
            </w:r>
            <w:r>
              <w:rPr>
                <w:rFonts w:hint="eastAsia"/>
                <w:highlight w:val="none"/>
                <w:lang w:val="en-US" w:eastAsia="zh-CN"/>
              </w:rPr>
              <w:t>。新建棉花种子生产线一条，建成后年产棉花种子6422.317t。</w:t>
            </w:r>
          </w:p>
          <w:p w14:paraId="7F03C227">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项目主要工程内容见表</w:t>
            </w:r>
            <w:r>
              <w:rPr>
                <w:rFonts w:hint="eastAsia"/>
                <w:color w:val="000000"/>
                <w:kern w:val="0"/>
                <w:lang w:val="en-US" w:eastAsia="zh-CN"/>
              </w:rPr>
              <w:t>2-1</w:t>
            </w:r>
            <w:r>
              <w:rPr>
                <w:rFonts w:hint="default"/>
                <w:color w:val="000000"/>
                <w:kern w:val="0"/>
              </w:rPr>
              <w:t>。</w:t>
            </w:r>
          </w:p>
          <w:p w14:paraId="0E5E9F19">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kern w:val="0"/>
                <w:sz w:val="21"/>
                <w:szCs w:val="21"/>
                <w:highlight w:val="yellow"/>
              </w:rPr>
            </w:pPr>
            <w:r>
              <w:rPr>
                <w:rFonts w:hint="default"/>
                <w:b/>
                <w:bCs/>
                <w:color w:val="000000"/>
                <w:kern w:val="0"/>
                <w:sz w:val="21"/>
                <w:szCs w:val="21"/>
                <w:highlight w:val="none"/>
              </w:rPr>
              <w:t>表</w:t>
            </w:r>
            <w:r>
              <w:rPr>
                <w:rFonts w:hint="eastAsia"/>
                <w:b/>
                <w:bCs/>
                <w:color w:val="000000"/>
                <w:kern w:val="0"/>
                <w:sz w:val="21"/>
                <w:szCs w:val="21"/>
                <w:highlight w:val="none"/>
                <w:lang w:val="en-US" w:eastAsia="zh-CN"/>
              </w:rPr>
              <w:t>2-1</w:t>
            </w:r>
            <w:r>
              <w:rPr>
                <w:rFonts w:hint="default"/>
                <w:b/>
                <w:bCs/>
                <w:color w:val="000000"/>
                <w:kern w:val="0"/>
                <w:sz w:val="21"/>
                <w:szCs w:val="21"/>
                <w:highlight w:val="none"/>
              </w:rPr>
              <w:t xml:space="preserve">                   项目主要工程内容一览表</w:t>
            </w:r>
          </w:p>
          <w:tbl>
            <w:tblPr>
              <w:tblStyle w:val="35"/>
              <w:tblW w:w="4872"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8"/>
              <w:gridCol w:w="727"/>
              <w:gridCol w:w="4732"/>
              <w:gridCol w:w="1854"/>
            </w:tblGrid>
            <w:tr w14:paraId="2E942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3A7E0005">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r>
                    <w:rPr>
                      <w:rFonts w:hint="default"/>
                      <w:color w:val="000000"/>
                      <w:kern w:val="0"/>
                      <w:lang w:val="zh-CN"/>
                    </w:rPr>
                    <w:t>类别</w:t>
                  </w:r>
                </w:p>
              </w:tc>
              <w:tc>
                <w:tcPr>
                  <w:tcW w:w="3567" w:type="pct"/>
                  <w:gridSpan w:val="2"/>
                  <w:noWrap w:val="0"/>
                  <w:vAlign w:val="center"/>
                </w:tcPr>
                <w:p w14:paraId="33A828C2">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default"/>
                      <w:color w:val="000000"/>
                      <w:kern w:val="0"/>
                    </w:rPr>
                    <w:t>建设内容</w:t>
                  </w:r>
                </w:p>
              </w:tc>
              <w:tc>
                <w:tcPr>
                  <w:tcW w:w="1211" w:type="pct"/>
                  <w:noWrap w:val="0"/>
                  <w:vAlign w:val="center"/>
                </w:tcPr>
                <w:p w14:paraId="01EFA79E">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eastAsia"/>
                      <w:color w:val="000000"/>
                      <w:kern w:val="0"/>
                      <w:lang w:val="en-US" w:eastAsia="zh-CN"/>
                    </w:rPr>
                    <w:t>备注</w:t>
                  </w:r>
                </w:p>
              </w:tc>
            </w:tr>
            <w:tr w14:paraId="5787C4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 w:type="pct"/>
                  <w:noWrap w:val="0"/>
                  <w:vAlign w:val="center"/>
                </w:tcPr>
                <w:p w14:paraId="470757CE">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r>
                    <w:rPr>
                      <w:rFonts w:hint="default"/>
                      <w:color w:val="000000"/>
                      <w:kern w:val="0"/>
                      <w:lang w:val="zh-CN"/>
                    </w:rPr>
                    <w:t>主体工程</w:t>
                  </w:r>
                </w:p>
              </w:tc>
              <w:tc>
                <w:tcPr>
                  <w:tcW w:w="475" w:type="pct"/>
                  <w:noWrap w:val="0"/>
                  <w:vAlign w:val="center"/>
                </w:tcPr>
                <w:p w14:paraId="7367BDB8">
                  <w:pPr>
                    <w:pStyle w:val="59"/>
                    <w:keepNext w:val="0"/>
                    <w:keepLines w:val="0"/>
                    <w:suppressLineNumbers w:val="0"/>
                    <w:adjustRightInd w:val="0"/>
                    <w:snapToGrid w:val="0"/>
                    <w:spacing w:before="0" w:beforeAutospacing="0" w:after="0" w:afterAutospacing="0"/>
                    <w:ind w:left="0" w:right="0"/>
                    <w:rPr>
                      <w:rFonts w:hint="default"/>
                      <w:color w:val="000000"/>
                      <w:kern w:val="0"/>
                      <w:lang w:val="en-US" w:eastAsia="zh-CN"/>
                    </w:rPr>
                  </w:pPr>
                  <w:r>
                    <w:rPr>
                      <w:rFonts w:hint="eastAsia"/>
                      <w:color w:val="000000"/>
                      <w:kern w:val="0"/>
                      <w:lang w:val="en-US" w:eastAsia="zh-CN"/>
                    </w:rPr>
                    <w:t>生产</w:t>
                  </w:r>
                  <w:r>
                    <w:rPr>
                      <w:rFonts w:hint="default"/>
                      <w:color w:val="000000"/>
                      <w:kern w:val="0"/>
                    </w:rPr>
                    <w:t>厂房</w:t>
                  </w:r>
                </w:p>
              </w:tc>
              <w:tc>
                <w:tcPr>
                  <w:tcW w:w="3092" w:type="pct"/>
                  <w:noWrap w:val="0"/>
                  <w:vAlign w:val="center"/>
                </w:tcPr>
                <w:p w14:paraId="40D70CBC">
                  <w:pPr>
                    <w:pStyle w:val="59"/>
                    <w:keepNext w:val="0"/>
                    <w:keepLines w:val="0"/>
                    <w:suppressLineNumbers w:val="0"/>
                    <w:adjustRightInd w:val="0"/>
                    <w:snapToGrid w:val="0"/>
                    <w:spacing w:before="0" w:beforeAutospacing="0" w:after="0" w:afterAutospacing="0"/>
                    <w:ind w:left="0" w:right="0"/>
                    <w:rPr>
                      <w:rFonts w:hint="default"/>
                      <w:color w:val="000000"/>
                      <w:kern w:val="0"/>
                      <w:lang w:val="en-US" w:eastAsia="zh-CN"/>
                    </w:rPr>
                  </w:pPr>
                  <w:r>
                    <w:rPr>
                      <w:rFonts w:hint="eastAsia"/>
                      <w:color w:val="000000"/>
                      <w:kern w:val="0"/>
                      <w:lang w:val="en-US" w:eastAsia="zh-CN"/>
                    </w:rPr>
                    <w:t>租赁巴州皓天农业科技开发有限公司原有厂房1栋，建筑面积1400m</w:t>
                  </w:r>
                  <w:r>
                    <w:rPr>
                      <w:rFonts w:hint="eastAsia"/>
                      <w:color w:val="000000"/>
                      <w:kern w:val="0"/>
                      <w:vertAlign w:val="superscript"/>
                      <w:lang w:val="en-US" w:eastAsia="zh-CN"/>
                    </w:rPr>
                    <w:t>2</w:t>
                  </w:r>
                  <w:r>
                    <w:rPr>
                      <w:rFonts w:hint="eastAsia"/>
                      <w:lang w:val="en-US" w:eastAsia="zh-CN"/>
                    </w:rPr>
                    <w:t>，</w:t>
                  </w:r>
                  <w:r>
                    <w:rPr>
                      <w:rFonts w:hint="eastAsia"/>
                      <w:color w:val="000000"/>
                      <w:kern w:val="0"/>
                      <w:vertAlign w:val="baseline"/>
                      <w:lang w:val="en-US" w:eastAsia="zh-CN"/>
                    </w:rPr>
                    <w:t>1F，钢结构，新建棉花种子生产线1条</w:t>
                  </w:r>
                </w:p>
              </w:tc>
              <w:tc>
                <w:tcPr>
                  <w:tcW w:w="1211" w:type="pct"/>
                  <w:noWrap w:val="0"/>
                  <w:vAlign w:val="center"/>
                </w:tcPr>
                <w:p w14:paraId="5208150C">
                  <w:pPr>
                    <w:pStyle w:val="59"/>
                    <w:keepNext w:val="0"/>
                    <w:keepLines w:val="0"/>
                    <w:suppressLineNumbers w:val="0"/>
                    <w:adjustRightInd w:val="0"/>
                    <w:snapToGrid w:val="0"/>
                    <w:spacing w:before="0" w:beforeAutospacing="0" w:after="0" w:afterAutospacing="0"/>
                    <w:ind w:left="0" w:right="0"/>
                    <w:rPr>
                      <w:rFonts w:hint="default"/>
                      <w:color w:val="000000"/>
                      <w:kern w:val="0"/>
                      <w:lang w:val="en-US" w:eastAsia="zh-CN"/>
                    </w:rPr>
                  </w:pPr>
                  <w:r>
                    <w:rPr>
                      <w:rFonts w:hint="eastAsia" w:cs="Times New Roman"/>
                      <w:color w:val="000000"/>
                      <w:kern w:val="0"/>
                      <w:sz w:val="21"/>
                      <w:szCs w:val="21"/>
                      <w:highlight w:val="none"/>
                      <w:lang w:val="en-US" w:eastAsia="zh-CN" w:bidi="ar-SA"/>
                    </w:rPr>
                    <w:t>新建生产线</w:t>
                  </w:r>
                  <w:r>
                    <w:rPr>
                      <w:rFonts w:hint="eastAsia"/>
                      <w:color w:val="000000"/>
                      <w:kern w:val="0"/>
                      <w:highlight w:val="none"/>
                      <w:lang w:val="en-US" w:eastAsia="zh-CN"/>
                    </w:rPr>
                    <w:t>，</w:t>
                  </w:r>
                  <w:r>
                    <w:rPr>
                      <w:rFonts w:hint="eastAsia" w:cs="Times New Roman"/>
                      <w:color w:val="000000"/>
                      <w:kern w:val="0"/>
                      <w:sz w:val="21"/>
                      <w:szCs w:val="21"/>
                      <w:lang w:val="en-US" w:eastAsia="zh-CN" w:bidi="ar-SA"/>
                    </w:rPr>
                    <w:t>厂房租赁现有</w:t>
                  </w:r>
                </w:p>
              </w:tc>
            </w:tr>
            <w:tr w14:paraId="2E1915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restart"/>
                  <w:shd w:val="clear" w:color="auto" w:fill="auto"/>
                  <w:noWrap w:val="0"/>
                  <w:vAlign w:val="center"/>
                </w:tcPr>
                <w:p w14:paraId="4F3367F1">
                  <w:pPr>
                    <w:pStyle w:val="59"/>
                    <w:keepNext w:val="0"/>
                    <w:keepLines w:val="0"/>
                    <w:suppressLineNumbers w:val="0"/>
                    <w:adjustRightInd w:val="0"/>
                    <w:snapToGrid w:val="0"/>
                    <w:spacing w:before="0" w:beforeAutospacing="0" w:after="0" w:afterAutospacing="0"/>
                    <w:ind w:left="0" w:right="0" w:firstLine="0" w:firstLineChars="0"/>
                    <w:rPr>
                      <w:rFonts w:hint="eastAsia" w:ascii="Times New Roman" w:hAnsi="Times New Roman" w:eastAsia="宋体" w:cs="Times New Roman"/>
                      <w:color w:val="000000"/>
                      <w:kern w:val="0"/>
                      <w:sz w:val="21"/>
                      <w:szCs w:val="21"/>
                      <w:lang w:val="en-US" w:eastAsia="zh-CN" w:bidi="ar-SA"/>
                    </w:rPr>
                  </w:pPr>
                  <w:r>
                    <w:rPr>
                      <w:rFonts w:hint="eastAsia"/>
                      <w:color w:val="000000"/>
                      <w:kern w:val="0"/>
                      <w:lang w:val="en-US" w:eastAsia="zh-CN"/>
                    </w:rPr>
                    <w:t>储运工程</w:t>
                  </w:r>
                </w:p>
              </w:tc>
              <w:tc>
                <w:tcPr>
                  <w:tcW w:w="475" w:type="pct"/>
                  <w:shd w:val="clear" w:color="auto" w:fill="auto"/>
                  <w:noWrap w:val="0"/>
                  <w:vAlign w:val="center"/>
                </w:tcPr>
                <w:p w14:paraId="46DF3733">
                  <w:pPr>
                    <w:pStyle w:val="59"/>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kern w:val="2"/>
                      <w:sz w:val="21"/>
                      <w:szCs w:val="21"/>
                      <w:lang w:val="en-US" w:eastAsia="zh-CN" w:bidi="ar-SA"/>
                    </w:rPr>
                  </w:pPr>
                  <w:r>
                    <w:rPr>
                      <w:rFonts w:hint="eastAsia" w:cs="Times New Roman"/>
                      <w:lang w:val="en-US" w:eastAsia="zh-CN"/>
                    </w:rPr>
                    <w:t>库房</w:t>
                  </w:r>
                </w:p>
              </w:tc>
              <w:tc>
                <w:tcPr>
                  <w:tcW w:w="3092" w:type="pct"/>
                  <w:shd w:val="clear" w:color="auto" w:fill="auto"/>
                  <w:noWrap w:val="0"/>
                  <w:vAlign w:val="center"/>
                </w:tcPr>
                <w:p w14:paraId="2BD54EC0">
                  <w:pPr>
                    <w:pStyle w:val="59"/>
                    <w:keepNext w:val="0"/>
                    <w:keepLines w:val="0"/>
                    <w:suppressLineNumbers w:val="0"/>
                    <w:adjustRightInd w:val="0"/>
                    <w:snapToGrid w:val="0"/>
                    <w:spacing w:before="0" w:beforeAutospacing="0" w:after="0" w:afterAutospacing="0"/>
                    <w:ind w:left="0" w:right="0" w:firstLine="0" w:firstLineChars="0"/>
                    <w:rPr>
                      <w:rFonts w:hint="eastAsia" w:ascii="Times New Roman" w:hAnsi="Times New Roman" w:eastAsia="宋体" w:cs="Times New Roman"/>
                      <w:kern w:val="2"/>
                      <w:sz w:val="21"/>
                      <w:szCs w:val="21"/>
                      <w:lang w:val="en-US" w:eastAsia="zh-CN" w:bidi="ar-SA"/>
                    </w:rPr>
                  </w:pPr>
                  <w:r>
                    <w:rPr>
                      <w:rFonts w:hint="eastAsia" w:cs="Times New Roman"/>
                      <w:lang w:val="en-US" w:eastAsia="zh-CN"/>
                    </w:rPr>
                    <w:t>租赁现有库房一栋，</w:t>
                  </w:r>
                  <w:r>
                    <w:rPr>
                      <w:rFonts w:hint="eastAsia" w:cs="Times New Roman"/>
                      <w:highlight w:val="none"/>
                      <w:lang w:val="en-US" w:eastAsia="zh-CN"/>
                    </w:rPr>
                    <w:t>用于堆存成品及一般固废</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建筑</w:t>
                  </w:r>
                  <w:r>
                    <w:rPr>
                      <w:rFonts w:hint="eastAsia" w:ascii="Times New Roman" w:hAnsi="Times New Roman" w:eastAsia="宋体" w:cs="Times New Roman"/>
                      <w:highlight w:val="none"/>
                      <w:lang w:val="en-US" w:eastAsia="zh-CN"/>
                    </w:rPr>
                    <w:t>面积2200m</w:t>
                  </w:r>
                  <w:r>
                    <w:rPr>
                      <w:rFonts w:hint="eastAsia" w:ascii="Times New Roman" w:hAnsi="Times New Roman" w:eastAsia="宋体" w:cs="Times New Roman"/>
                      <w:highlight w:val="none"/>
                      <w:vertAlign w:val="superscript"/>
                      <w:lang w:val="en-US" w:eastAsia="zh-CN"/>
                    </w:rPr>
                    <w:t>2</w:t>
                  </w:r>
                  <w:r>
                    <w:rPr>
                      <w:rFonts w:hint="eastAsia" w:ascii="Times New Roman" w:hAnsi="Times New Roman" w:eastAsia="宋体" w:cs="Times New Roman"/>
                      <w:highlight w:val="none"/>
                      <w:lang w:val="en-US" w:eastAsia="zh-CN"/>
                    </w:rPr>
                    <w:t>，1F</w:t>
                  </w:r>
                  <w:r>
                    <w:rPr>
                      <w:rFonts w:hint="eastAsia" w:cs="Times New Roman"/>
                      <w:highlight w:val="none"/>
                      <w:lang w:val="en-US" w:eastAsia="zh-CN"/>
                    </w:rPr>
                    <w:t>，一般固废设置托盘进行存放，成品堆场位于库房内西侧，占地面积为1000m</w:t>
                  </w:r>
                  <w:r>
                    <w:rPr>
                      <w:rFonts w:hint="eastAsia" w:cs="Times New Roman"/>
                      <w:highlight w:val="none"/>
                      <w:vertAlign w:val="superscript"/>
                      <w:lang w:val="en-US" w:eastAsia="zh-CN"/>
                    </w:rPr>
                    <w:t>3</w:t>
                  </w:r>
                  <w:r>
                    <w:rPr>
                      <w:rFonts w:hint="eastAsia" w:cs="Times New Roman"/>
                      <w:highlight w:val="none"/>
                      <w:lang w:val="en-US" w:eastAsia="zh-CN"/>
                    </w:rPr>
                    <w:t>，一般固废暂存区位于库房内东北侧，占地面积为80m</w:t>
                  </w:r>
                  <w:r>
                    <w:rPr>
                      <w:rFonts w:hint="eastAsia" w:cs="Times New Roman"/>
                      <w:highlight w:val="none"/>
                      <w:vertAlign w:val="superscript"/>
                      <w:lang w:val="en-US" w:eastAsia="zh-CN"/>
                    </w:rPr>
                    <w:t>3</w:t>
                  </w:r>
                  <w:r>
                    <w:rPr>
                      <w:rFonts w:hint="eastAsia" w:cs="Times New Roman"/>
                      <w:highlight w:val="none"/>
                      <w:lang w:val="en-US" w:eastAsia="zh-CN"/>
                    </w:rPr>
                    <w:t>，</w:t>
                  </w:r>
                  <w:r>
                    <w:rPr>
                      <w:rFonts w:hint="eastAsia" w:cs="Times New Roman"/>
                      <w:color w:val="000000"/>
                      <w:sz w:val="21"/>
                      <w:szCs w:val="21"/>
                      <w:highlight w:val="none"/>
                      <w:lang w:val="en-US" w:eastAsia="zh-CN"/>
                    </w:rPr>
                    <w:t>按要求设置</w:t>
                  </w:r>
                  <w:r>
                    <w:rPr>
                      <w:rFonts w:hint="eastAsia" w:cs="Times New Roman"/>
                      <w:highlight w:val="none"/>
                      <w:lang w:val="en-US" w:eastAsia="zh-CN"/>
                    </w:rPr>
                    <w:t>一般固废暂存区</w:t>
                  </w:r>
                  <w:r>
                    <w:rPr>
                      <w:rFonts w:hint="eastAsia" w:cs="Times New Roman"/>
                      <w:color w:val="000000"/>
                      <w:sz w:val="21"/>
                      <w:szCs w:val="21"/>
                      <w:highlight w:val="none"/>
                      <w:lang w:val="en-US" w:eastAsia="zh-CN"/>
                    </w:rPr>
                    <w:t>标识标牌。</w:t>
                  </w:r>
                </w:p>
              </w:tc>
              <w:tc>
                <w:tcPr>
                  <w:tcW w:w="1211" w:type="pct"/>
                  <w:noWrap w:val="0"/>
                  <w:vAlign w:val="center"/>
                </w:tcPr>
                <w:p w14:paraId="794CF25E">
                  <w:pPr>
                    <w:pStyle w:val="59"/>
                    <w:keepNext w:val="0"/>
                    <w:keepLines w:val="0"/>
                    <w:suppressLineNumbers w:val="0"/>
                    <w:adjustRightInd w:val="0"/>
                    <w:snapToGrid w:val="0"/>
                    <w:spacing w:before="0" w:beforeAutospacing="0" w:after="0" w:afterAutospacing="0"/>
                    <w:ind w:left="0" w:right="0"/>
                    <w:rPr>
                      <w:rFonts w:hint="default"/>
                      <w:color w:val="000000"/>
                      <w:kern w:val="0"/>
                      <w:highlight w:val="none"/>
                      <w:lang w:val="en-US" w:eastAsia="zh-CN"/>
                    </w:rPr>
                  </w:pPr>
                  <w:r>
                    <w:rPr>
                      <w:rFonts w:hint="eastAsia" w:cs="Times New Roman"/>
                      <w:color w:val="000000"/>
                      <w:kern w:val="0"/>
                      <w:sz w:val="21"/>
                      <w:szCs w:val="21"/>
                      <w:lang w:val="en-US" w:eastAsia="zh-CN" w:bidi="ar-SA"/>
                    </w:rPr>
                    <w:t>厂房租赁现有</w:t>
                  </w:r>
                </w:p>
              </w:tc>
            </w:tr>
            <w:tr w14:paraId="0FD772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shd w:val="clear" w:color="auto" w:fill="auto"/>
                  <w:noWrap w:val="0"/>
                  <w:vAlign w:val="center"/>
                </w:tcPr>
                <w:p w14:paraId="039284B5">
                  <w:pPr>
                    <w:pStyle w:val="59"/>
                    <w:keepNext w:val="0"/>
                    <w:keepLines w:val="0"/>
                    <w:suppressLineNumbers w:val="0"/>
                    <w:adjustRightInd w:val="0"/>
                    <w:snapToGrid w:val="0"/>
                    <w:spacing w:before="0" w:beforeAutospacing="0" w:after="0" w:afterAutospacing="0"/>
                    <w:ind w:left="0" w:right="0" w:firstLine="0" w:firstLineChars="0"/>
                    <w:rPr>
                      <w:rFonts w:hint="eastAsia"/>
                      <w:color w:val="000000"/>
                      <w:kern w:val="0"/>
                      <w:lang w:val="en-US" w:eastAsia="zh-CN"/>
                    </w:rPr>
                  </w:pPr>
                </w:p>
              </w:tc>
              <w:tc>
                <w:tcPr>
                  <w:tcW w:w="475" w:type="pct"/>
                  <w:shd w:val="clear" w:color="auto" w:fill="auto"/>
                  <w:noWrap w:val="0"/>
                  <w:vAlign w:val="center"/>
                </w:tcPr>
                <w:p w14:paraId="41F6840E">
                  <w:pPr>
                    <w:pStyle w:val="59"/>
                    <w:keepNext w:val="0"/>
                    <w:keepLines w:val="0"/>
                    <w:suppressLineNumbers w:val="0"/>
                    <w:adjustRightInd w:val="0"/>
                    <w:snapToGrid w:val="0"/>
                    <w:spacing w:before="0" w:beforeAutospacing="0" w:after="0" w:afterAutospacing="0"/>
                    <w:ind w:left="0" w:right="0" w:firstLine="0" w:firstLineChars="0"/>
                    <w:rPr>
                      <w:rFonts w:hint="default" w:cs="Times New Roman"/>
                      <w:lang w:val="en-US" w:eastAsia="zh-CN"/>
                    </w:rPr>
                  </w:pPr>
                  <w:r>
                    <w:rPr>
                      <w:rFonts w:hint="eastAsia" w:cs="Times New Roman"/>
                      <w:lang w:val="en-US" w:eastAsia="zh-CN"/>
                    </w:rPr>
                    <w:t>原料堆场</w:t>
                  </w:r>
                </w:p>
              </w:tc>
              <w:tc>
                <w:tcPr>
                  <w:tcW w:w="3092" w:type="pct"/>
                  <w:shd w:val="clear" w:color="auto" w:fill="auto"/>
                  <w:noWrap w:val="0"/>
                  <w:vAlign w:val="center"/>
                </w:tcPr>
                <w:p w14:paraId="098651FB">
                  <w:pPr>
                    <w:pStyle w:val="59"/>
                    <w:keepNext w:val="0"/>
                    <w:keepLines w:val="0"/>
                    <w:suppressLineNumbers w:val="0"/>
                    <w:adjustRightInd w:val="0"/>
                    <w:snapToGrid w:val="0"/>
                    <w:spacing w:before="0" w:beforeAutospacing="0" w:after="0" w:afterAutospacing="0"/>
                    <w:ind w:left="0" w:right="0" w:firstLine="0" w:firstLineChars="0"/>
                    <w:rPr>
                      <w:rFonts w:hint="eastAsia" w:cs="Times New Roman"/>
                      <w:lang w:val="en-US" w:eastAsia="zh-CN"/>
                    </w:rPr>
                  </w:pPr>
                  <w:r>
                    <w:rPr>
                      <w:rFonts w:hint="eastAsia" w:cs="Times New Roman"/>
                      <w:lang w:val="en-US" w:eastAsia="zh-CN"/>
                    </w:rPr>
                    <w:t>原料堆场设置于库房西侧露天堆放，采用防雨篷布进行苫盖</w:t>
                  </w:r>
                </w:p>
              </w:tc>
              <w:tc>
                <w:tcPr>
                  <w:tcW w:w="1211" w:type="pct"/>
                  <w:noWrap w:val="0"/>
                  <w:vAlign w:val="center"/>
                </w:tcPr>
                <w:p w14:paraId="0E9D84E8">
                  <w:pPr>
                    <w:pStyle w:val="59"/>
                    <w:keepNext w:val="0"/>
                    <w:keepLines w:val="0"/>
                    <w:suppressLineNumbers w:val="0"/>
                    <w:adjustRightInd w:val="0"/>
                    <w:snapToGrid w:val="0"/>
                    <w:spacing w:before="0" w:beforeAutospacing="0" w:after="0" w:afterAutospacing="0"/>
                    <w:ind w:left="0" w:right="0"/>
                    <w:rPr>
                      <w:rFonts w:hint="default" w:cs="Times New Roman"/>
                      <w:color w:val="000000"/>
                      <w:kern w:val="0"/>
                      <w:sz w:val="21"/>
                      <w:szCs w:val="21"/>
                      <w:lang w:val="en-US" w:eastAsia="zh-CN" w:bidi="ar-SA"/>
                    </w:rPr>
                  </w:pPr>
                  <w:r>
                    <w:rPr>
                      <w:rFonts w:hint="eastAsia" w:cs="Times New Roman"/>
                      <w:color w:val="000000"/>
                      <w:kern w:val="0"/>
                      <w:sz w:val="21"/>
                      <w:szCs w:val="21"/>
                      <w:lang w:val="en-US" w:eastAsia="zh-CN" w:bidi="ar-SA"/>
                    </w:rPr>
                    <w:t>新建</w:t>
                  </w:r>
                </w:p>
              </w:tc>
            </w:tr>
            <w:tr w14:paraId="3AF04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shd w:val="clear" w:color="auto" w:fill="auto"/>
                  <w:noWrap w:val="0"/>
                  <w:vAlign w:val="center"/>
                </w:tcPr>
                <w:p w14:paraId="7C13ADD2">
                  <w:pPr>
                    <w:pStyle w:val="59"/>
                    <w:keepNext w:val="0"/>
                    <w:keepLines w:val="0"/>
                    <w:suppressLineNumbers w:val="0"/>
                    <w:adjustRightInd w:val="0"/>
                    <w:snapToGrid w:val="0"/>
                    <w:spacing w:before="0" w:beforeAutospacing="0" w:after="0" w:afterAutospacing="0"/>
                    <w:ind w:left="0" w:right="0" w:firstLine="0" w:firstLineChars="0"/>
                    <w:rPr>
                      <w:rFonts w:hint="eastAsia"/>
                      <w:color w:val="000000"/>
                      <w:kern w:val="0"/>
                      <w:lang w:val="en-US" w:eastAsia="zh-CN"/>
                    </w:rPr>
                  </w:pPr>
                </w:p>
              </w:tc>
              <w:tc>
                <w:tcPr>
                  <w:tcW w:w="475" w:type="pct"/>
                  <w:noWrap w:val="0"/>
                  <w:vAlign w:val="center"/>
                </w:tcPr>
                <w:p w14:paraId="0345B993">
                  <w:pPr>
                    <w:pStyle w:val="59"/>
                    <w:keepNext w:val="0"/>
                    <w:keepLines w:val="0"/>
                    <w:suppressLineNumbers w:val="0"/>
                    <w:adjustRightInd w:val="0"/>
                    <w:snapToGrid w:val="0"/>
                    <w:spacing w:before="0" w:beforeAutospacing="0" w:after="0" w:afterAutospacing="0"/>
                    <w:ind w:left="0" w:right="0"/>
                    <w:rPr>
                      <w:rFonts w:hint="default"/>
                      <w:color w:val="000000"/>
                      <w:kern w:val="0"/>
                      <w:highlight w:val="none"/>
                      <w:lang w:val="en-US" w:eastAsia="zh-CN"/>
                    </w:rPr>
                  </w:pPr>
                  <w:r>
                    <w:rPr>
                      <w:rFonts w:hint="eastAsia"/>
                      <w:color w:val="000000"/>
                      <w:kern w:val="0"/>
                      <w:highlight w:val="none"/>
                      <w:lang w:val="en-US" w:eastAsia="zh-CN"/>
                    </w:rPr>
                    <w:t>储罐区</w:t>
                  </w:r>
                </w:p>
              </w:tc>
              <w:tc>
                <w:tcPr>
                  <w:tcW w:w="3092" w:type="pct"/>
                  <w:noWrap w:val="0"/>
                  <w:vAlign w:val="center"/>
                </w:tcPr>
                <w:p w14:paraId="5CC9ACBF">
                  <w:pPr>
                    <w:pStyle w:val="59"/>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000000"/>
                      <w:sz w:val="21"/>
                      <w:szCs w:val="21"/>
                      <w:highlight w:val="none"/>
                      <w:lang w:val="en-US" w:eastAsia="zh-CN"/>
                    </w:rPr>
                  </w:pPr>
                  <w:r>
                    <w:rPr>
                      <w:rFonts w:hint="eastAsia" w:cs="Times New Roman"/>
                      <w:highlight w:val="none"/>
                      <w:lang w:val="en-US" w:eastAsia="zh-CN"/>
                    </w:rPr>
                    <w:t>外购硫酸储存于1个22m</w:t>
                  </w:r>
                  <w:r>
                    <w:rPr>
                      <w:rFonts w:hint="eastAsia" w:cs="Times New Roman"/>
                      <w:highlight w:val="none"/>
                      <w:vertAlign w:val="superscript"/>
                      <w:lang w:val="en-US" w:eastAsia="zh-CN"/>
                    </w:rPr>
                    <w:t>3</w:t>
                  </w:r>
                  <w:r>
                    <w:rPr>
                      <w:rFonts w:hint="eastAsia" w:ascii="Times New Roman" w:hAnsi="Times New Roman" w:eastAsia="宋体" w:cs="Times New Roman"/>
                      <w:color w:val="000000"/>
                      <w:kern w:val="0"/>
                      <w:sz w:val="21"/>
                      <w:szCs w:val="21"/>
                      <w:highlight w:val="none"/>
                      <w:shd w:val="clear" w:color="auto" w:fill="auto"/>
                      <w:lang w:val="en-US" w:eastAsia="zh-CN" w:bidi="ar"/>
                    </w:rPr>
                    <w:t>浓酸罐</w:t>
                  </w:r>
                  <w:r>
                    <w:rPr>
                      <w:rFonts w:hint="eastAsia" w:cs="Times New Roman"/>
                      <w:highlight w:val="none"/>
                      <w:lang w:val="en-US" w:eastAsia="zh-CN"/>
                    </w:rPr>
                    <w:t>中，</w:t>
                  </w:r>
                  <w:r>
                    <w:rPr>
                      <w:rFonts w:hint="eastAsia" w:ascii="Times New Roman" w:hAnsi="Times New Roman" w:eastAsia="宋体" w:cs="Times New Roman"/>
                      <w:highlight w:val="none"/>
                      <w:lang w:val="en-US" w:eastAsia="zh-CN"/>
                    </w:rPr>
                    <w:t>存于生产厂房内西侧，</w:t>
                  </w:r>
                  <w:r>
                    <w:rPr>
                      <w:rFonts w:hint="eastAsia" w:cs="Times New Roman"/>
                      <w:highlight w:val="none"/>
                      <w:lang w:val="en-US" w:eastAsia="zh-CN"/>
                    </w:rPr>
                    <w:t>地上储罐</w:t>
                  </w:r>
                </w:p>
              </w:tc>
              <w:tc>
                <w:tcPr>
                  <w:tcW w:w="1211" w:type="pct"/>
                  <w:noWrap w:val="0"/>
                  <w:vAlign w:val="center"/>
                </w:tcPr>
                <w:p w14:paraId="6B8C595E">
                  <w:pPr>
                    <w:pStyle w:val="59"/>
                    <w:keepNext w:val="0"/>
                    <w:keepLines w:val="0"/>
                    <w:suppressLineNumbers w:val="0"/>
                    <w:adjustRightInd w:val="0"/>
                    <w:snapToGrid w:val="0"/>
                    <w:spacing w:before="0" w:beforeAutospacing="0" w:after="0" w:afterAutospacing="0"/>
                    <w:ind w:left="0" w:right="0"/>
                    <w:rPr>
                      <w:rFonts w:hint="default"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新建</w:t>
                  </w:r>
                </w:p>
              </w:tc>
            </w:tr>
            <w:tr w14:paraId="5DFB4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shd w:val="clear" w:color="auto" w:fill="auto"/>
                  <w:noWrap w:val="0"/>
                  <w:vAlign w:val="center"/>
                </w:tcPr>
                <w:p w14:paraId="0B0195EF">
                  <w:pPr>
                    <w:pStyle w:val="59"/>
                    <w:keepNext w:val="0"/>
                    <w:keepLines w:val="0"/>
                    <w:suppressLineNumbers w:val="0"/>
                    <w:adjustRightInd w:val="0"/>
                    <w:snapToGrid w:val="0"/>
                    <w:spacing w:before="0" w:beforeAutospacing="0" w:after="0" w:afterAutospacing="0"/>
                    <w:ind w:left="0" w:right="0" w:firstLine="0" w:firstLineChars="0"/>
                    <w:rPr>
                      <w:rFonts w:hint="eastAsia"/>
                      <w:color w:val="000000"/>
                      <w:kern w:val="0"/>
                      <w:lang w:val="en-US" w:eastAsia="zh-CN"/>
                    </w:rPr>
                  </w:pPr>
                </w:p>
              </w:tc>
              <w:tc>
                <w:tcPr>
                  <w:tcW w:w="475" w:type="pct"/>
                  <w:shd w:val="clear" w:color="auto" w:fill="auto"/>
                  <w:noWrap w:val="0"/>
                  <w:vAlign w:val="center"/>
                </w:tcPr>
                <w:p w14:paraId="23C6B426">
                  <w:pPr>
                    <w:pStyle w:val="59"/>
                    <w:keepNext w:val="0"/>
                    <w:keepLines w:val="0"/>
                    <w:suppressLineNumbers w:val="0"/>
                    <w:adjustRightInd w:val="0"/>
                    <w:snapToGrid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21"/>
                      <w:szCs w:val="21"/>
                      <w:highlight w:val="none"/>
                      <w:lang w:val="en-US" w:eastAsia="zh-CN" w:bidi="ar-SA"/>
                    </w:rPr>
                  </w:pPr>
                  <w:r>
                    <w:rPr>
                      <w:rFonts w:hint="eastAsia"/>
                      <w:color w:val="000000"/>
                      <w:kern w:val="0"/>
                      <w:highlight w:val="none"/>
                      <w:lang w:val="en-US" w:eastAsia="zh-CN"/>
                    </w:rPr>
                    <w:t>危险废物贮存库</w:t>
                  </w:r>
                </w:p>
              </w:tc>
              <w:tc>
                <w:tcPr>
                  <w:tcW w:w="3092" w:type="pct"/>
                  <w:shd w:val="clear" w:color="auto" w:fill="auto"/>
                  <w:noWrap w:val="0"/>
                  <w:vAlign w:val="center"/>
                </w:tcPr>
                <w:p w14:paraId="21A6595D">
                  <w:pPr>
                    <w:pStyle w:val="59"/>
                    <w:keepNext w:val="0"/>
                    <w:keepLines w:val="0"/>
                    <w:suppressLineNumbers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于</w:t>
                  </w:r>
                  <w:r>
                    <w:rPr>
                      <w:rFonts w:hint="eastAsia" w:cs="Times New Roman"/>
                      <w:color w:val="000000"/>
                      <w:sz w:val="21"/>
                      <w:szCs w:val="21"/>
                      <w:highlight w:val="none"/>
                      <w:lang w:val="en-US" w:eastAsia="zh-CN"/>
                    </w:rPr>
                    <w:t>生产</w:t>
                  </w:r>
                  <w:r>
                    <w:rPr>
                      <w:rFonts w:hint="eastAsia" w:ascii="Times New Roman" w:hAnsi="Times New Roman" w:eastAsia="宋体" w:cs="Times New Roman"/>
                      <w:color w:val="000000"/>
                      <w:sz w:val="21"/>
                      <w:szCs w:val="21"/>
                      <w:highlight w:val="none"/>
                      <w:lang w:val="en-US" w:eastAsia="zh-CN"/>
                    </w:rPr>
                    <w:t>厂房</w:t>
                  </w:r>
                  <w:r>
                    <w:rPr>
                      <w:rFonts w:hint="eastAsia" w:cs="Times New Roman"/>
                      <w:color w:val="000000"/>
                      <w:sz w:val="21"/>
                      <w:szCs w:val="21"/>
                      <w:highlight w:val="none"/>
                      <w:lang w:val="en-US" w:eastAsia="zh-CN"/>
                    </w:rPr>
                    <w:t>内东北侧设置危险废物贮存库一处，占地</w:t>
                  </w:r>
                  <w:r>
                    <w:rPr>
                      <w:rFonts w:hint="default" w:ascii="Times New Roman" w:hAnsi="Times New Roman" w:eastAsia="宋体" w:cs="Times New Roman"/>
                      <w:color w:val="000000"/>
                      <w:sz w:val="21"/>
                      <w:szCs w:val="21"/>
                      <w:highlight w:val="none"/>
                      <w:lang w:val="en-US" w:eastAsia="zh-CN"/>
                    </w:rPr>
                    <w:t>面积10m</w:t>
                  </w:r>
                  <w:r>
                    <w:rPr>
                      <w:rFonts w:hint="default" w:ascii="Times New Roman" w:hAnsi="Times New Roman" w:eastAsia="宋体" w:cs="Times New Roman"/>
                      <w:color w:val="000000"/>
                      <w:sz w:val="21"/>
                      <w:szCs w:val="21"/>
                      <w:highlight w:val="none"/>
                      <w:vertAlign w:val="superscript"/>
                      <w:lang w:val="en-US" w:eastAsia="zh-CN"/>
                    </w:rPr>
                    <w:t>2</w:t>
                  </w:r>
                  <w:r>
                    <w:rPr>
                      <w:rFonts w:hint="default" w:ascii="Times New Roman" w:hAnsi="Times New Roman" w:eastAsia="宋体" w:cs="Times New Roman"/>
                      <w:color w:val="000000"/>
                      <w:sz w:val="21"/>
                      <w:szCs w:val="21"/>
                      <w:highlight w:val="none"/>
                      <w:lang w:val="en-US" w:eastAsia="zh-CN"/>
                    </w:rPr>
                    <w:t>，</w:t>
                  </w:r>
                  <w:r>
                    <w:rPr>
                      <w:rFonts w:hint="default"/>
                      <w:color w:val="000000"/>
                      <w:kern w:val="0"/>
                      <w:sz w:val="21"/>
                      <w:szCs w:val="21"/>
                      <w:highlight w:val="none"/>
                      <w:lang w:val="en-US" w:eastAsia="zh-CN"/>
                    </w:rPr>
                    <w:t>建设要求执行《危险废物贮存污染控制标准》（GB18597-2023）</w:t>
                  </w:r>
                  <w:r>
                    <w:rPr>
                      <w:rFonts w:hint="default"/>
                      <w:color w:val="000000"/>
                      <w:kern w:val="0"/>
                      <w:sz w:val="21"/>
                      <w:szCs w:val="21"/>
                      <w:highlight w:val="none"/>
                    </w:rPr>
                    <w:t>，危险废物进行标识，定期交由有资质单位进行无害化处置。</w:t>
                  </w:r>
                </w:p>
              </w:tc>
              <w:tc>
                <w:tcPr>
                  <w:tcW w:w="1211" w:type="pct"/>
                  <w:shd w:val="clear" w:color="auto" w:fill="auto"/>
                  <w:noWrap w:val="0"/>
                  <w:vAlign w:val="center"/>
                </w:tcPr>
                <w:p w14:paraId="2706D60A">
                  <w:pPr>
                    <w:pStyle w:val="59"/>
                    <w:keepNext w:val="0"/>
                    <w:keepLines w:val="0"/>
                    <w:suppressLineNumbers w:val="0"/>
                    <w:adjustRightInd w:val="0"/>
                    <w:snapToGrid w:val="0"/>
                    <w:spacing w:before="0" w:beforeAutospacing="0" w:after="0" w:afterAutospacing="0"/>
                    <w:ind w:left="0" w:leftChars="0" w:right="0" w:rightChars="0" w:firstLine="0" w:firstLineChars="0"/>
                    <w:rPr>
                      <w:rFonts w:hint="eastAsia"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新建</w:t>
                  </w:r>
                </w:p>
              </w:tc>
            </w:tr>
            <w:tr w14:paraId="7F6C28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restart"/>
                  <w:noWrap w:val="0"/>
                  <w:vAlign w:val="center"/>
                </w:tcPr>
                <w:p w14:paraId="3DB1CA1A">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eastAsia"/>
                      <w:color w:val="000000"/>
                      <w:kern w:val="0"/>
                      <w:lang w:val="en-US" w:eastAsia="zh-CN"/>
                    </w:rPr>
                    <w:t>辅助工程</w:t>
                  </w:r>
                </w:p>
              </w:tc>
              <w:tc>
                <w:tcPr>
                  <w:tcW w:w="475" w:type="pct"/>
                  <w:noWrap w:val="0"/>
                  <w:vAlign w:val="center"/>
                </w:tcPr>
                <w:p w14:paraId="7FE1FB52">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eastAsia"/>
                      <w:color w:val="000000"/>
                      <w:kern w:val="0"/>
                      <w:lang w:val="en-US" w:eastAsia="zh-CN"/>
                    </w:rPr>
                    <w:t>员工宿舍</w:t>
                  </w:r>
                </w:p>
              </w:tc>
              <w:tc>
                <w:tcPr>
                  <w:tcW w:w="3092" w:type="pct"/>
                  <w:noWrap w:val="0"/>
                  <w:vAlign w:val="center"/>
                </w:tcPr>
                <w:p w14:paraId="12F400AF">
                  <w:pPr>
                    <w:pStyle w:val="59"/>
                    <w:keepNext w:val="0"/>
                    <w:keepLines w:val="0"/>
                    <w:suppressLineNumbers w:val="0"/>
                    <w:adjustRightInd w:val="0"/>
                    <w:snapToGrid w:val="0"/>
                    <w:spacing w:before="0" w:beforeAutospacing="0" w:after="0" w:afterAutospacing="0"/>
                    <w:ind w:left="0" w:right="0"/>
                    <w:rPr>
                      <w:rFonts w:hint="default"/>
                      <w:color w:val="000000"/>
                      <w:kern w:val="0"/>
                      <w:lang w:val="en-US" w:eastAsia="zh-CN"/>
                    </w:rPr>
                  </w:pPr>
                  <w:r>
                    <w:rPr>
                      <w:rFonts w:hint="eastAsia"/>
                      <w:color w:val="000000"/>
                      <w:kern w:val="0"/>
                      <w:lang w:val="en-US" w:eastAsia="zh-CN"/>
                    </w:rPr>
                    <w:t>租赁巴州皓天农业科技开发有限公司原有员工宿舍1栋。建筑面积510m</w:t>
                  </w:r>
                  <w:r>
                    <w:rPr>
                      <w:rFonts w:hint="eastAsia"/>
                      <w:color w:val="000000"/>
                      <w:kern w:val="0"/>
                      <w:vertAlign w:val="superscript"/>
                      <w:lang w:val="en-US" w:eastAsia="zh-CN"/>
                    </w:rPr>
                    <w:t>2</w:t>
                  </w:r>
                  <w:r>
                    <w:rPr>
                      <w:rFonts w:hint="eastAsia"/>
                      <w:lang w:val="en-US" w:eastAsia="zh-CN"/>
                    </w:rPr>
                    <w:t>，</w:t>
                  </w:r>
                  <w:r>
                    <w:rPr>
                      <w:rFonts w:hint="eastAsia"/>
                      <w:color w:val="000000"/>
                      <w:kern w:val="0"/>
                      <w:vertAlign w:val="baseline"/>
                      <w:lang w:val="en-US" w:eastAsia="zh-CN"/>
                    </w:rPr>
                    <w:t>1F</w:t>
                  </w:r>
                </w:p>
              </w:tc>
              <w:tc>
                <w:tcPr>
                  <w:tcW w:w="1211" w:type="pct"/>
                  <w:noWrap w:val="0"/>
                  <w:vAlign w:val="center"/>
                </w:tcPr>
                <w:p w14:paraId="405BB9DB">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s="Times New Roman"/>
                      <w:color w:val="000000"/>
                      <w:kern w:val="0"/>
                      <w:sz w:val="21"/>
                      <w:szCs w:val="21"/>
                      <w:lang w:val="en-US" w:eastAsia="zh-CN" w:bidi="ar-SA"/>
                    </w:rPr>
                    <w:t>租赁现有</w:t>
                  </w:r>
                </w:p>
              </w:tc>
            </w:tr>
            <w:tr w14:paraId="4C569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5E814D0F">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p>
              </w:tc>
              <w:tc>
                <w:tcPr>
                  <w:tcW w:w="475" w:type="pct"/>
                  <w:noWrap w:val="0"/>
                  <w:vAlign w:val="center"/>
                </w:tcPr>
                <w:p w14:paraId="41962729">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eastAsia"/>
                      <w:color w:val="000000"/>
                      <w:kern w:val="0"/>
                      <w:lang w:val="en-US" w:eastAsia="zh-CN"/>
                    </w:rPr>
                    <w:t>办公楼</w:t>
                  </w:r>
                </w:p>
              </w:tc>
              <w:tc>
                <w:tcPr>
                  <w:tcW w:w="3092" w:type="pct"/>
                  <w:noWrap w:val="0"/>
                  <w:vAlign w:val="center"/>
                </w:tcPr>
                <w:p w14:paraId="4F4FB293">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olor w:val="000000"/>
                      <w:kern w:val="0"/>
                      <w:lang w:val="en-US" w:eastAsia="zh-CN"/>
                    </w:rPr>
                    <w:t>租赁巴州皓天农业科技开发有限公司原有员工宿舍1栋。建筑面积570m</w:t>
                  </w:r>
                  <w:r>
                    <w:rPr>
                      <w:rFonts w:hint="eastAsia"/>
                      <w:color w:val="000000"/>
                      <w:kern w:val="0"/>
                      <w:vertAlign w:val="superscript"/>
                      <w:lang w:val="en-US" w:eastAsia="zh-CN"/>
                    </w:rPr>
                    <w:t>2</w:t>
                  </w:r>
                  <w:r>
                    <w:rPr>
                      <w:rFonts w:hint="eastAsia"/>
                      <w:lang w:val="en-US" w:eastAsia="zh-CN"/>
                    </w:rPr>
                    <w:t>，</w:t>
                  </w:r>
                  <w:r>
                    <w:rPr>
                      <w:rFonts w:hint="eastAsia"/>
                      <w:color w:val="000000"/>
                      <w:kern w:val="0"/>
                      <w:vertAlign w:val="baseline"/>
                      <w:lang w:val="en-US" w:eastAsia="zh-CN"/>
                    </w:rPr>
                    <w:t>2F</w:t>
                  </w:r>
                </w:p>
              </w:tc>
              <w:tc>
                <w:tcPr>
                  <w:tcW w:w="1211" w:type="pct"/>
                  <w:noWrap w:val="0"/>
                  <w:vAlign w:val="center"/>
                </w:tcPr>
                <w:p w14:paraId="349AC001">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s="Times New Roman"/>
                      <w:color w:val="000000"/>
                      <w:kern w:val="0"/>
                      <w:sz w:val="21"/>
                      <w:szCs w:val="21"/>
                      <w:lang w:val="en-US" w:eastAsia="zh-CN" w:bidi="ar-SA"/>
                    </w:rPr>
                    <w:t>租赁现有</w:t>
                  </w:r>
                </w:p>
              </w:tc>
            </w:tr>
            <w:tr w14:paraId="0BF8CE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restart"/>
                  <w:noWrap w:val="0"/>
                  <w:vAlign w:val="center"/>
                </w:tcPr>
                <w:p w14:paraId="1F949918">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r>
                    <w:rPr>
                      <w:rFonts w:hint="default"/>
                      <w:color w:val="000000"/>
                      <w:kern w:val="0"/>
                      <w:lang w:val="zh-CN"/>
                    </w:rPr>
                    <w:t>公用工程</w:t>
                  </w:r>
                </w:p>
              </w:tc>
              <w:tc>
                <w:tcPr>
                  <w:tcW w:w="475" w:type="pct"/>
                  <w:noWrap w:val="0"/>
                  <w:vAlign w:val="center"/>
                </w:tcPr>
                <w:p w14:paraId="0A194848">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供水</w:t>
                  </w:r>
                </w:p>
              </w:tc>
              <w:tc>
                <w:tcPr>
                  <w:tcW w:w="3092" w:type="pct"/>
                  <w:noWrap w:val="0"/>
                  <w:vAlign w:val="center"/>
                </w:tcPr>
                <w:p w14:paraId="10382448">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olor w:val="000000"/>
                      <w:kern w:val="0"/>
                      <w:lang w:val="en-US" w:eastAsia="zh-CN"/>
                    </w:rPr>
                    <w:t>园区供水管网</w:t>
                  </w:r>
                </w:p>
              </w:tc>
              <w:tc>
                <w:tcPr>
                  <w:tcW w:w="1211" w:type="pct"/>
                  <w:noWrap w:val="0"/>
                  <w:vAlign w:val="center"/>
                </w:tcPr>
                <w:p w14:paraId="2CCE8501">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olor w:val="000000"/>
                      <w:kern w:val="0"/>
                      <w:lang w:val="en-US" w:eastAsia="zh-CN"/>
                    </w:rPr>
                    <w:t>依托现有</w:t>
                  </w:r>
                </w:p>
              </w:tc>
            </w:tr>
            <w:tr w14:paraId="386B3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4668F01B">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p>
              </w:tc>
              <w:tc>
                <w:tcPr>
                  <w:tcW w:w="475" w:type="pct"/>
                  <w:noWrap w:val="0"/>
                  <w:vAlign w:val="center"/>
                </w:tcPr>
                <w:p w14:paraId="1CA2A1A5">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供电</w:t>
                  </w:r>
                </w:p>
              </w:tc>
              <w:tc>
                <w:tcPr>
                  <w:tcW w:w="3092" w:type="pct"/>
                  <w:noWrap w:val="0"/>
                  <w:vAlign w:val="center"/>
                </w:tcPr>
                <w:p w14:paraId="2ADD9922">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国家电网</w:t>
                  </w:r>
                </w:p>
              </w:tc>
              <w:tc>
                <w:tcPr>
                  <w:tcW w:w="1211" w:type="pct"/>
                  <w:noWrap w:val="0"/>
                  <w:vAlign w:val="center"/>
                </w:tcPr>
                <w:p w14:paraId="5BB6A4F4">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eastAsia"/>
                      <w:color w:val="000000"/>
                      <w:kern w:val="0"/>
                      <w:lang w:val="en-US" w:eastAsia="zh-CN"/>
                    </w:rPr>
                    <w:t>依托现有</w:t>
                  </w:r>
                </w:p>
              </w:tc>
            </w:tr>
            <w:tr w14:paraId="337D7C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1CC0A322">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p>
              </w:tc>
              <w:tc>
                <w:tcPr>
                  <w:tcW w:w="475" w:type="pct"/>
                  <w:noWrap w:val="0"/>
                  <w:vAlign w:val="center"/>
                </w:tcPr>
                <w:p w14:paraId="2D6FEBDD">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排水</w:t>
                  </w:r>
                </w:p>
              </w:tc>
              <w:tc>
                <w:tcPr>
                  <w:tcW w:w="3092" w:type="pct"/>
                  <w:noWrap w:val="0"/>
                  <w:vAlign w:val="center"/>
                </w:tcPr>
                <w:p w14:paraId="676A3EE3">
                  <w:pPr>
                    <w:pStyle w:val="59"/>
                    <w:keepNext w:val="0"/>
                    <w:keepLines w:val="0"/>
                    <w:suppressLineNumbers w:val="0"/>
                    <w:adjustRightInd w:val="0"/>
                    <w:snapToGrid w:val="0"/>
                    <w:spacing w:before="0" w:beforeAutospacing="0" w:after="0" w:afterAutospacing="0"/>
                    <w:ind w:left="0" w:right="0"/>
                    <w:jc w:val="center"/>
                    <w:rPr>
                      <w:rFonts w:hint="default"/>
                      <w:color w:val="000000"/>
                      <w:kern w:val="0"/>
                      <w:lang w:val="en-US" w:eastAsia="zh-CN"/>
                    </w:rPr>
                  </w:pPr>
                  <w:r>
                    <w:rPr>
                      <w:rFonts w:hint="eastAsia"/>
                      <w:color w:val="000000"/>
                      <w:kern w:val="0"/>
                      <w:highlight w:val="none"/>
                      <w:lang w:val="en-US" w:eastAsia="zh-CN"/>
                    </w:rPr>
                    <w:t>本项目无生产废水外排</w:t>
                  </w:r>
                  <w:r>
                    <w:rPr>
                      <w:rFonts w:hint="eastAsia"/>
                      <w:color w:val="000000"/>
                      <w:kern w:val="0"/>
                      <w:lang w:val="en-US" w:eastAsia="zh-CN"/>
                    </w:rPr>
                    <w:t>；生活污水依托办公生活区原有防渗化粪池（10m</w:t>
                  </w:r>
                  <w:r>
                    <w:rPr>
                      <w:rFonts w:hint="eastAsia"/>
                      <w:color w:val="000000"/>
                      <w:kern w:val="0"/>
                      <w:vertAlign w:val="superscript"/>
                      <w:lang w:val="en-US" w:eastAsia="zh-CN"/>
                    </w:rPr>
                    <w:t>3</w:t>
                  </w:r>
                  <w:r>
                    <w:rPr>
                      <w:rFonts w:hint="eastAsia"/>
                      <w:color w:val="000000"/>
                      <w:kern w:val="0"/>
                      <w:lang w:val="en-US" w:eastAsia="zh-CN"/>
                    </w:rPr>
                    <w:t>）收集后，进入园区下水管网，最终进入尉犁县污水处理厂深度处理。</w:t>
                  </w:r>
                </w:p>
              </w:tc>
              <w:tc>
                <w:tcPr>
                  <w:tcW w:w="1211" w:type="pct"/>
                  <w:noWrap w:val="0"/>
                  <w:vAlign w:val="center"/>
                </w:tcPr>
                <w:p w14:paraId="12E5A7CA">
                  <w:pPr>
                    <w:pStyle w:val="59"/>
                    <w:keepNext w:val="0"/>
                    <w:keepLines w:val="0"/>
                    <w:suppressLineNumbers w:val="0"/>
                    <w:adjustRightInd w:val="0"/>
                    <w:snapToGrid w:val="0"/>
                    <w:spacing w:before="0" w:beforeAutospacing="0" w:after="0" w:afterAutospacing="0"/>
                    <w:ind w:left="0" w:right="0"/>
                    <w:rPr>
                      <w:rFonts w:hint="eastAsia"/>
                      <w:color w:val="000000"/>
                      <w:kern w:val="0"/>
                      <w:lang w:val="en-US" w:eastAsia="zh-CN"/>
                    </w:rPr>
                  </w:pPr>
                  <w:r>
                    <w:rPr>
                      <w:rFonts w:hint="eastAsia"/>
                      <w:color w:val="000000"/>
                      <w:kern w:val="0"/>
                      <w:lang w:val="en-US" w:eastAsia="zh-CN"/>
                    </w:rPr>
                    <w:t>依托现有</w:t>
                  </w:r>
                </w:p>
              </w:tc>
            </w:tr>
            <w:tr w14:paraId="2E721F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1DE447EE">
                  <w:pPr>
                    <w:pStyle w:val="59"/>
                    <w:keepNext w:val="0"/>
                    <w:keepLines w:val="0"/>
                    <w:suppressLineNumbers w:val="0"/>
                    <w:adjustRightInd w:val="0"/>
                    <w:snapToGrid w:val="0"/>
                    <w:spacing w:before="0" w:beforeAutospacing="0" w:after="0" w:afterAutospacing="0"/>
                    <w:ind w:left="0" w:right="0"/>
                    <w:rPr>
                      <w:rFonts w:hint="default"/>
                      <w:color w:val="000000"/>
                      <w:kern w:val="0"/>
                      <w:lang w:val="zh-CN"/>
                    </w:rPr>
                  </w:pPr>
                </w:p>
              </w:tc>
              <w:tc>
                <w:tcPr>
                  <w:tcW w:w="475" w:type="pct"/>
                  <w:noWrap w:val="0"/>
                  <w:vAlign w:val="center"/>
                </w:tcPr>
                <w:p w14:paraId="34A015E4">
                  <w:pPr>
                    <w:pStyle w:val="59"/>
                    <w:keepNext w:val="0"/>
                    <w:keepLines w:val="0"/>
                    <w:suppressLineNumbers w:val="0"/>
                    <w:adjustRightInd w:val="0"/>
                    <w:snapToGrid w:val="0"/>
                    <w:spacing w:before="0" w:beforeAutospacing="0" w:after="0" w:afterAutospacing="0"/>
                    <w:ind w:left="0" w:right="0"/>
                    <w:rPr>
                      <w:rFonts w:hint="eastAsia" w:eastAsia="宋体"/>
                      <w:color w:val="000000"/>
                      <w:kern w:val="0"/>
                      <w:lang w:val="en-US" w:eastAsia="zh-CN"/>
                    </w:rPr>
                  </w:pPr>
                  <w:r>
                    <w:rPr>
                      <w:rFonts w:hint="eastAsia"/>
                      <w:color w:val="000000"/>
                      <w:kern w:val="0"/>
                      <w:lang w:val="en-US" w:eastAsia="zh-CN"/>
                    </w:rPr>
                    <w:t>供热</w:t>
                  </w:r>
                </w:p>
              </w:tc>
              <w:tc>
                <w:tcPr>
                  <w:tcW w:w="3092" w:type="pct"/>
                  <w:noWrap w:val="0"/>
                  <w:vAlign w:val="center"/>
                </w:tcPr>
                <w:p w14:paraId="58C35D0B">
                  <w:pPr>
                    <w:pStyle w:val="59"/>
                    <w:keepNext w:val="0"/>
                    <w:keepLines w:val="0"/>
                    <w:suppressLineNumbers w:val="0"/>
                    <w:adjustRightInd w:val="0"/>
                    <w:snapToGrid w:val="0"/>
                    <w:spacing w:before="0" w:beforeAutospacing="0" w:after="0" w:afterAutospacing="0"/>
                    <w:ind w:left="0" w:right="0"/>
                    <w:jc w:val="center"/>
                    <w:rPr>
                      <w:rFonts w:hint="eastAsia"/>
                      <w:color w:val="000000"/>
                      <w:kern w:val="0"/>
                      <w:lang w:val="en-US" w:eastAsia="zh-CN"/>
                    </w:rPr>
                  </w:pPr>
                  <w:r>
                    <w:rPr>
                      <w:rFonts w:hint="eastAsia"/>
                      <w:color w:val="auto"/>
                      <w:lang w:val="en-US" w:eastAsia="zh-CN"/>
                    </w:rPr>
                    <w:t>生产用热采用天然气热风炉供热，生活用热</w:t>
                  </w:r>
                  <w:r>
                    <w:rPr>
                      <w:rFonts w:hint="eastAsia"/>
                      <w:color w:val="auto"/>
                      <w:lang w:eastAsia="zh-CN"/>
                    </w:rPr>
                    <w:t>采用电暖器供暖</w:t>
                  </w:r>
                </w:p>
              </w:tc>
              <w:tc>
                <w:tcPr>
                  <w:tcW w:w="1211" w:type="pct"/>
                  <w:noWrap w:val="0"/>
                  <w:vAlign w:val="center"/>
                </w:tcPr>
                <w:p w14:paraId="6BAE8803">
                  <w:pPr>
                    <w:pStyle w:val="59"/>
                    <w:keepNext w:val="0"/>
                    <w:keepLines w:val="0"/>
                    <w:suppressLineNumbers w:val="0"/>
                    <w:adjustRightInd w:val="0"/>
                    <w:snapToGrid w:val="0"/>
                    <w:spacing w:before="0" w:beforeAutospacing="0" w:after="0" w:afterAutospacing="0"/>
                    <w:ind w:left="0" w:right="0"/>
                    <w:rPr>
                      <w:rFonts w:hint="default"/>
                      <w:color w:val="auto"/>
                      <w:lang w:val="en-US" w:eastAsia="zh-CN"/>
                    </w:rPr>
                  </w:pPr>
                  <w:r>
                    <w:rPr>
                      <w:rFonts w:hint="eastAsia"/>
                      <w:color w:val="auto"/>
                      <w:lang w:val="en-US" w:eastAsia="zh-CN"/>
                    </w:rPr>
                    <w:t>新建</w:t>
                  </w:r>
                </w:p>
              </w:tc>
            </w:tr>
            <w:tr w14:paraId="25C42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20" w:type="pct"/>
                  <w:vMerge w:val="restart"/>
                  <w:noWrap w:val="0"/>
                  <w:vAlign w:val="center"/>
                </w:tcPr>
                <w:p w14:paraId="3A18C0F2">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lang w:val="zh-CN"/>
                    </w:rPr>
                    <w:t>环保工程</w:t>
                  </w:r>
                </w:p>
              </w:tc>
              <w:tc>
                <w:tcPr>
                  <w:tcW w:w="475" w:type="pct"/>
                  <w:noWrap w:val="0"/>
                  <w:vAlign w:val="center"/>
                </w:tcPr>
                <w:p w14:paraId="6F054CBA">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废气</w:t>
                  </w:r>
                </w:p>
              </w:tc>
              <w:tc>
                <w:tcPr>
                  <w:tcW w:w="3092" w:type="pct"/>
                  <w:noWrap w:val="0"/>
                  <w:vAlign w:val="center"/>
                </w:tcPr>
                <w:p w14:paraId="78F01D03">
                  <w:pPr>
                    <w:pStyle w:val="59"/>
                    <w:keepNext w:val="0"/>
                    <w:keepLines w:val="0"/>
                    <w:suppressLineNumbers w:val="0"/>
                    <w:adjustRightInd w:val="0"/>
                    <w:snapToGrid w:val="0"/>
                    <w:spacing w:before="0" w:beforeAutospacing="0" w:after="0" w:afterAutospacing="0"/>
                    <w:ind w:left="0" w:right="0"/>
                    <w:jc w:val="center"/>
                    <w:rPr>
                      <w:rFonts w:hint="default" w:eastAsia="宋体"/>
                      <w:color w:val="000000"/>
                      <w:kern w:val="0"/>
                      <w:lang w:val="en-US" w:eastAsia="zh-CN"/>
                    </w:rPr>
                  </w:pPr>
                  <w:r>
                    <w:rPr>
                      <w:rFonts w:hint="default" w:eastAsia="宋体"/>
                      <w:color w:val="000000"/>
                      <w:kern w:val="0"/>
                      <w:highlight w:val="none"/>
                      <w:lang w:val="en-US" w:eastAsia="zh-CN"/>
                    </w:rPr>
                    <w:t>本项目建成后热风炉</w:t>
                  </w:r>
                  <w:r>
                    <w:rPr>
                      <w:rFonts w:hint="eastAsia"/>
                      <w:color w:val="000000"/>
                      <w:kern w:val="0"/>
                      <w:highlight w:val="none"/>
                      <w:lang w:val="en-US" w:eastAsia="zh-CN"/>
                    </w:rPr>
                    <w:t>采用低氮燃烧技术，分选产生的颗粒物与</w:t>
                  </w:r>
                  <w:r>
                    <w:rPr>
                      <w:rFonts w:hint="eastAsia"/>
                      <w:kern w:val="0"/>
                      <w:szCs w:val="21"/>
                      <w:highlight w:val="none"/>
                      <w:shd w:val="clear" w:color="auto" w:fill="auto"/>
                    </w:rPr>
                    <w:t>烘干产生的颗粒物</w:t>
                  </w:r>
                  <w:r>
                    <w:rPr>
                      <w:rFonts w:hint="eastAsia"/>
                      <w:kern w:val="0"/>
                      <w:szCs w:val="21"/>
                      <w:highlight w:val="none"/>
                      <w:shd w:val="clear" w:color="auto" w:fill="auto"/>
                      <w:lang w:eastAsia="zh-CN"/>
                    </w:rPr>
                    <w:t>、</w:t>
                  </w:r>
                  <w:r>
                    <w:rPr>
                      <w:rFonts w:hint="eastAsia"/>
                      <w:kern w:val="0"/>
                      <w:szCs w:val="21"/>
                      <w:highlight w:val="none"/>
                      <w:shd w:val="clear" w:color="auto" w:fill="auto"/>
                    </w:rPr>
                    <w:t>硫酸雾</w:t>
                  </w:r>
                  <w:r>
                    <w:rPr>
                      <w:rFonts w:hint="eastAsia"/>
                      <w:kern w:val="0"/>
                      <w:szCs w:val="21"/>
                      <w:highlight w:val="none"/>
                      <w:shd w:val="clear" w:color="auto" w:fill="auto"/>
                      <w:lang w:eastAsia="zh-CN"/>
                    </w:rPr>
                    <w:t>、</w:t>
                  </w:r>
                  <w:r>
                    <w:rPr>
                      <w:rFonts w:hint="eastAsia"/>
                      <w:kern w:val="0"/>
                      <w:szCs w:val="21"/>
                      <w:highlight w:val="none"/>
                      <w:shd w:val="clear" w:color="auto" w:fill="auto"/>
                      <w:lang w:val="en-US" w:eastAsia="zh-CN"/>
                    </w:rPr>
                    <w:t>二氧化硫及氮氧化物</w:t>
                  </w:r>
                  <w:r>
                    <w:rPr>
                      <w:rFonts w:hint="eastAsia"/>
                      <w:kern w:val="0"/>
                      <w:szCs w:val="21"/>
                      <w:highlight w:val="none"/>
                      <w:shd w:val="clear" w:color="auto" w:fill="auto"/>
                    </w:rPr>
                    <w:t>通过</w:t>
                  </w:r>
                  <w:r>
                    <w:rPr>
                      <w:rFonts w:hint="eastAsia"/>
                      <w:kern w:val="0"/>
                      <w:szCs w:val="21"/>
                      <w:highlight w:val="none"/>
                      <w:shd w:val="clear" w:color="auto" w:fill="auto"/>
                      <w:lang w:val="en-US" w:eastAsia="zh-CN"/>
                    </w:rPr>
                    <w:t>同一套旋风除尘器+沉降室+碱洗喷淋塔</w:t>
                  </w:r>
                  <w:r>
                    <w:rPr>
                      <w:rFonts w:hint="eastAsia"/>
                      <w:kern w:val="0"/>
                      <w:szCs w:val="21"/>
                      <w:highlight w:val="none"/>
                      <w:shd w:val="clear" w:color="auto" w:fill="auto"/>
                    </w:rPr>
                    <w:t>处理后，从15m高排气筒（DA00</w:t>
                  </w:r>
                  <w:r>
                    <w:rPr>
                      <w:rFonts w:hint="eastAsia"/>
                      <w:kern w:val="0"/>
                      <w:szCs w:val="21"/>
                      <w:highlight w:val="none"/>
                      <w:shd w:val="clear" w:color="auto" w:fill="auto"/>
                      <w:lang w:val="en-US" w:eastAsia="zh-CN"/>
                    </w:rPr>
                    <w:t>1</w:t>
                  </w:r>
                  <w:r>
                    <w:rPr>
                      <w:rFonts w:hint="eastAsia"/>
                      <w:kern w:val="0"/>
                      <w:szCs w:val="21"/>
                      <w:highlight w:val="none"/>
                      <w:shd w:val="clear" w:color="auto" w:fill="auto"/>
                    </w:rPr>
                    <w:t>）排放</w:t>
                  </w:r>
                  <w:r>
                    <w:rPr>
                      <w:rFonts w:hint="default" w:eastAsia="宋体"/>
                      <w:color w:val="000000"/>
                      <w:kern w:val="0"/>
                      <w:highlight w:val="none"/>
                      <w:lang w:val="en-US" w:eastAsia="zh-CN"/>
                    </w:rPr>
                    <w:t>。</w:t>
                  </w:r>
                </w:p>
              </w:tc>
              <w:tc>
                <w:tcPr>
                  <w:tcW w:w="1211" w:type="pct"/>
                  <w:noWrap w:val="0"/>
                  <w:vAlign w:val="center"/>
                </w:tcPr>
                <w:p w14:paraId="3788C13F">
                  <w:pPr>
                    <w:pStyle w:val="59"/>
                    <w:keepNext w:val="0"/>
                    <w:keepLines w:val="0"/>
                    <w:suppressLineNumbers w:val="0"/>
                    <w:adjustRightInd w:val="0"/>
                    <w:snapToGrid w:val="0"/>
                    <w:spacing w:before="0" w:beforeAutospacing="0" w:after="0" w:afterAutospacing="0"/>
                    <w:ind w:left="0" w:right="0"/>
                    <w:jc w:val="center"/>
                    <w:rPr>
                      <w:rFonts w:hint="eastAsia"/>
                      <w:color w:val="000000"/>
                      <w:kern w:val="0"/>
                      <w:lang w:val="en-US" w:eastAsia="zh-CN"/>
                    </w:rPr>
                  </w:pPr>
                  <w:r>
                    <w:rPr>
                      <w:rFonts w:hint="eastAsia"/>
                      <w:color w:val="000000"/>
                      <w:kern w:val="0"/>
                      <w:lang w:val="en-US" w:eastAsia="zh-CN"/>
                    </w:rPr>
                    <w:t>新建</w:t>
                  </w:r>
                </w:p>
              </w:tc>
            </w:tr>
            <w:tr w14:paraId="17190E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51A12DC0">
                  <w:pPr>
                    <w:pStyle w:val="59"/>
                    <w:keepNext w:val="0"/>
                    <w:keepLines w:val="0"/>
                    <w:suppressLineNumbers w:val="0"/>
                    <w:adjustRightInd w:val="0"/>
                    <w:snapToGrid w:val="0"/>
                    <w:spacing w:before="0" w:beforeAutospacing="0" w:after="0" w:afterAutospacing="0"/>
                    <w:ind w:left="0" w:right="0"/>
                    <w:rPr>
                      <w:rFonts w:hint="default"/>
                      <w:color w:val="000000"/>
                      <w:kern w:val="0"/>
                    </w:rPr>
                  </w:pPr>
                </w:p>
              </w:tc>
              <w:tc>
                <w:tcPr>
                  <w:tcW w:w="475" w:type="pct"/>
                  <w:noWrap w:val="0"/>
                  <w:vAlign w:val="center"/>
                </w:tcPr>
                <w:p w14:paraId="07D75AB2">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废水</w:t>
                  </w:r>
                </w:p>
              </w:tc>
              <w:tc>
                <w:tcPr>
                  <w:tcW w:w="3092" w:type="pct"/>
                  <w:noWrap w:val="0"/>
                  <w:vAlign w:val="center"/>
                </w:tcPr>
                <w:p w14:paraId="17F771E3">
                  <w:pPr>
                    <w:pStyle w:val="59"/>
                    <w:keepNext w:val="0"/>
                    <w:keepLines w:val="0"/>
                    <w:suppressLineNumbers w:val="0"/>
                    <w:adjustRightInd w:val="0"/>
                    <w:snapToGrid w:val="0"/>
                    <w:spacing w:before="0" w:beforeAutospacing="0" w:after="0" w:afterAutospacing="0"/>
                    <w:ind w:left="0" w:right="0"/>
                    <w:jc w:val="center"/>
                    <w:rPr>
                      <w:rFonts w:hint="eastAsia"/>
                      <w:color w:val="000000"/>
                      <w:kern w:val="0"/>
                      <w:lang w:val="en-US" w:eastAsia="zh-CN"/>
                    </w:rPr>
                  </w:pPr>
                  <w:r>
                    <w:rPr>
                      <w:rFonts w:hint="eastAsia"/>
                      <w:color w:val="000000"/>
                      <w:kern w:val="0"/>
                      <w:lang w:val="en-US" w:eastAsia="zh-CN"/>
                    </w:rPr>
                    <w:t>本项目不产生生产废水，硫酸稀释用水及碱洗塔喷淋用水循环使用，不外排。生活污水依托办公生活区原有防渗化粪池（10m</w:t>
                  </w:r>
                  <w:r>
                    <w:rPr>
                      <w:rFonts w:hint="eastAsia"/>
                      <w:color w:val="000000"/>
                      <w:kern w:val="0"/>
                      <w:vertAlign w:val="superscript"/>
                      <w:lang w:val="en-US" w:eastAsia="zh-CN"/>
                    </w:rPr>
                    <w:t>3</w:t>
                  </w:r>
                  <w:r>
                    <w:rPr>
                      <w:rFonts w:hint="eastAsia"/>
                      <w:color w:val="000000"/>
                      <w:kern w:val="0"/>
                      <w:lang w:val="en-US" w:eastAsia="zh-CN"/>
                    </w:rPr>
                    <w:t>）收集后，进入园区下水管网，最终进入尉犁县污水处理厂深度处理。</w:t>
                  </w:r>
                </w:p>
              </w:tc>
              <w:tc>
                <w:tcPr>
                  <w:tcW w:w="1211" w:type="pct"/>
                  <w:noWrap w:val="0"/>
                  <w:vAlign w:val="center"/>
                </w:tcPr>
                <w:p w14:paraId="0A7106C7">
                  <w:pPr>
                    <w:pStyle w:val="59"/>
                    <w:keepNext w:val="0"/>
                    <w:keepLines w:val="0"/>
                    <w:suppressLineNumbers w:val="0"/>
                    <w:adjustRightInd w:val="0"/>
                    <w:snapToGrid w:val="0"/>
                    <w:spacing w:before="0" w:beforeAutospacing="0" w:after="0" w:afterAutospacing="0"/>
                    <w:ind w:left="0" w:right="0"/>
                    <w:rPr>
                      <w:rFonts w:hint="default"/>
                      <w:color w:val="000000"/>
                      <w:kern w:val="0"/>
                      <w:lang w:val="en-US" w:eastAsia="zh-CN"/>
                    </w:rPr>
                  </w:pPr>
                  <w:r>
                    <w:rPr>
                      <w:rFonts w:hint="eastAsia"/>
                      <w:color w:val="000000"/>
                      <w:kern w:val="0"/>
                      <w:lang w:val="en-US" w:eastAsia="zh-CN"/>
                    </w:rPr>
                    <w:t>依托现有</w:t>
                  </w:r>
                </w:p>
              </w:tc>
            </w:tr>
            <w:tr w14:paraId="16743E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5F06CF75">
                  <w:pPr>
                    <w:pStyle w:val="59"/>
                    <w:keepNext w:val="0"/>
                    <w:keepLines w:val="0"/>
                    <w:suppressLineNumbers w:val="0"/>
                    <w:adjustRightInd w:val="0"/>
                    <w:snapToGrid w:val="0"/>
                    <w:spacing w:before="0" w:beforeAutospacing="0" w:after="0" w:afterAutospacing="0"/>
                    <w:ind w:left="0" w:right="0"/>
                    <w:rPr>
                      <w:rFonts w:hint="default"/>
                      <w:color w:val="000000"/>
                      <w:kern w:val="0"/>
                    </w:rPr>
                  </w:pPr>
                </w:p>
              </w:tc>
              <w:tc>
                <w:tcPr>
                  <w:tcW w:w="475" w:type="pct"/>
                  <w:noWrap w:val="0"/>
                  <w:vAlign w:val="center"/>
                </w:tcPr>
                <w:p w14:paraId="6C682D73">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噪声</w:t>
                  </w:r>
                </w:p>
              </w:tc>
              <w:tc>
                <w:tcPr>
                  <w:tcW w:w="3092" w:type="pct"/>
                  <w:noWrap w:val="0"/>
                  <w:vAlign w:val="center"/>
                </w:tcPr>
                <w:p w14:paraId="7BAA213A">
                  <w:pPr>
                    <w:pStyle w:val="59"/>
                    <w:keepNext w:val="0"/>
                    <w:keepLines w:val="0"/>
                    <w:suppressLineNumbers w:val="0"/>
                    <w:adjustRightInd w:val="0"/>
                    <w:snapToGrid w:val="0"/>
                    <w:spacing w:before="0" w:beforeAutospacing="0" w:after="0" w:afterAutospacing="0"/>
                    <w:ind w:left="0" w:right="0"/>
                    <w:jc w:val="center"/>
                    <w:rPr>
                      <w:rFonts w:hint="default"/>
                      <w:color w:val="000000"/>
                      <w:kern w:val="0"/>
                    </w:rPr>
                  </w:pPr>
                  <w:r>
                    <w:rPr>
                      <w:rFonts w:hint="default"/>
                      <w:color w:val="000000"/>
                      <w:kern w:val="0"/>
                    </w:rPr>
                    <w:t>本项目产生的噪声主要为生产过程中各类机械设备，设备噪声主要采用基础</w:t>
                  </w:r>
                  <w:r>
                    <w:rPr>
                      <w:rFonts w:hint="eastAsia"/>
                      <w:color w:val="000000"/>
                      <w:kern w:val="0"/>
                      <w:lang w:val="en-US" w:eastAsia="zh-CN"/>
                    </w:rPr>
                    <w:t>减振</w:t>
                  </w:r>
                  <w:r>
                    <w:rPr>
                      <w:rFonts w:hint="default"/>
                      <w:color w:val="000000"/>
                      <w:kern w:val="0"/>
                    </w:rPr>
                    <w:t>、厂房隔声、设备维护等减</w:t>
                  </w:r>
                  <w:r>
                    <w:rPr>
                      <w:rFonts w:hint="eastAsia"/>
                      <w:color w:val="000000"/>
                      <w:kern w:val="0"/>
                      <w:lang w:val="en-US" w:eastAsia="zh-CN"/>
                    </w:rPr>
                    <w:t>振</w:t>
                  </w:r>
                  <w:r>
                    <w:rPr>
                      <w:rFonts w:hint="default"/>
                      <w:color w:val="000000"/>
                      <w:kern w:val="0"/>
                    </w:rPr>
                    <w:t>、降噪措施。</w:t>
                  </w:r>
                </w:p>
              </w:tc>
              <w:tc>
                <w:tcPr>
                  <w:tcW w:w="1211" w:type="pct"/>
                  <w:noWrap w:val="0"/>
                  <w:vAlign w:val="center"/>
                </w:tcPr>
                <w:p w14:paraId="1FE5C5E9">
                  <w:pPr>
                    <w:pStyle w:val="59"/>
                    <w:keepNext w:val="0"/>
                    <w:keepLines w:val="0"/>
                    <w:suppressLineNumbers w:val="0"/>
                    <w:adjustRightInd w:val="0"/>
                    <w:snapToGrid w:val="0"/>
                    <w:spacing w:before="0" w:beforeAutospacing="0" w:after="0" w:afterAutospacing="0"/>
                    <w:ind w:left="0" w:right="0"/>
                    <w:rPr>
                      <w:rFonts w:hint="default"/>
                      <w:color w:val="000000"/>
                      <w:kern w:val="0"/>
                      <w:lang w:val="en-US"/>
                    </w:rPr>
                  </w:pPr>
                  <w:r>
                    <w:rPr>
                      <w:rFonts w:hint="eastAsia"/>
                      <w:color w:val="000000"/>
                      <w:kern w:val="0"/>
                      <w:lang w:val="en-US" w:eastAsia="zh-CN"/>
                    </w:rPr>
                    <w:t>新建</w:t>
                  </w:r>
                </w:p>
              </w:tc>
            </w:tr>
            <w:tr w14:paraId="538341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20" w:type="pct"/>
                  <w:vMerge w:val="continue"/>
                  <w:noWrap w:val="0"/>
                  <w:vAlign w:val="center"/>
                </w:tcPr>
                <w:p w14:paraId="765A3F09">
                  <w:pPr>
                    <w:pStyle w:val="59"/>
                    <w:keepNext w:val="0"/>
                    <w:keepLines w:val="0"/>
                    <w:suppressLineNumbers w:val="0"/>
                    <w:adjustRightInd w:val="0"/>
                    <w:snapToGrid w:val="0"/>
                    <w:spacing w:before="0" w:beforeAutospacing="0" w:after="0" w:afterAutospacing="0"/>
                    <w:ind w:left="0" w:right="0"/>
                    <w:rPr>
                      <w:rFonts w:hint="default"/>
                      <w:color w:val="000000"/>
                      <w:kern w:val="0"/>
                    </w:rPr>
                  </w:pPr>
                </w:p>
              </w:tc>
              <w:tc>
                <w:tcPr>
                  <w:tcW w:w="475" w:type="pct"/>
                  <w:noWrap w:val="0"/>
                  <w:vAlign w:val="center"/>
                </w:tcPr>
                <w:p w14:paraId="39786836">
                  <w:pPr>
                    <w:pStyle w:val="59"/>
                    <w:keepNext w:val="0"/>
                    <w:keepLines w:val="0"/>
                    <w:suppressLineNumbers w:val="0"/>
                    <w:adjustRightInd w:val="0"/>
                    <w:snapToGrid w:val="0"/>
                    <w:spacing w:before="0" w:beforeAutospacing="0" w:after="0" w:afterAutospacing="0"/>
                    <w:ind w:left="0" w:right="0"/>
                    <w:rPr>
                      <w:rFonts w:hint="default"/>
                      <w:color w:val="000000"/>
                      <w:kern w:val="0"/>
                    </w:rPr>
                  </w:pPr>
                  <w:r>
                    <w:rPr>
                      <w:rFonts w:hint="default"/>
                      <w:color w:val="000000"/>
                      <w:kern w:val="0"/>
                    </w:rPr>
                    <w:t>固废</w:t>
                  </w:r>
                </w:p>
              </w:tc>
              <w:tc>
                <w:tcPr>
                  <w:tcW w:w="3092" w:type="pct"/>
                  <w:noWrap w:val="0"/>
                  <w:vAlign w:val="center"/>
                </w:tcPr>
                <w:p w14:paraId="25576739">
                  <w:pPr>
                    <w:pStyle w:val="59"/>
                    <w:keepNext w:val="0"/>
                    <w:keepLines w:val="0"/>
                    <w:suppressLineNumbers w:val="0"/>
                    <w:adjustRightInd w:val="0"/>
                    <w:snapToGrid w:val="0"/>
                    <w:spacing w:before="0" w:beforeAutospacing="0" w:after="0" w:afterAutospacing="0"/>
                    <w:ind w:left="0" w:right="0"/>
                    <w:jc w:val="center"/>
                    <w:rPr>
                      <w:rFonts w:hint="default"/>
                      <w:color w:val="000000"/>
                      <w:kern w:val="0"/>
                    </w:rPr>
                  </w:pPr>
                  <w:r>
                    <w:rPr>
                      <w:rFonts w:hint="eastAsia"/>
                      <w:sz w:val="21"/>
                      <w:szCs w:val="21"/>
                      <w:highlight w:val="none"/>
                      <w:lang w:val="en-US" w:eastAsia="zh-CN"/>
                    </w:rPr>
                    <w:t>废棉尘、铁磁性杂质、异常籽、瘪籽及轻杂物集中收集后外售；氢氧化钠包装袋、</w:t>
                  </w:r>
                  <w:r>
                    <w:rPr>
                      <w:rFonts w:hint="eastAsia"/>
                      <w:sz w:val="21"/>
                      <w:szCs w:val="21"/>
                      <w:highlight w:val="none"/>
                    </w:rPr>
                    <w:t>废润滑油</w:t>
                  </w:r>
                  <w:r>
                    <w:rPr>
                      <w:rFonts w:hint="eastAsia"/>
                      <w:sz w:val="21"/>
                      <w:szCs w:val="21"/>
                      <w:highlight w:val="none"/>
                      <w:lang w:eastAsia="zh-CN"/>
                    </w:rPr>
                    <w:t>、</w:t>
                  </w:r>
                  <w:r>
                    <w:rPr>
                      <w:rFonts w:hint="eastAsia"/>
                      <w:sz w:val="21"/>
                      <w:szCs w:val="21"/>
                      <w:highlight w:val="none"/>
                      <w:lang w:val="en-US" w:eastAsia="zh-CN"/>
                    </w:rPr>
                    <w:t>废油桶及沾染含油污泥的废手套、废抹布</w:t>
                  </w:r>
                  <w:r>
                    <w:rPr>
                      <w:rFonts w:hint="eastAsia"/>
                      <w:sz w:val="21"/>
                      <w:szCs w:val="21"/>
                      <w:highlight w:val="none"/>
                    </w:rPr>
                    <w:t>等危险固废收集暂存于</w:t>
                  </w:r>
                  <w:r>
                    <w:rPr>
                      <w:rFonts w:hint="eastAsia"/>
                      <w:sz w:val="21"/>
                      <w:szCs w:val="21"/>
                      <w:highlight w:val="none"/>
                      <w:lang w:eastAsia="zh-CN"/>
                    </w:rPr>
                    <w:t>危险废物贮存库</w:t>
                  </w:r>
                  <w:r>
                    <w:rPr>
                      <w:rFonts w:hint="eastAsia"/>
                      <w:sz w:val="21"/>
                      <w:szCs w:val="21"/>
                      <w:highlight w:val="none"/>
                    </w:rPr>
                    <w:t>，定期交由有资质的单位处理。</w:t>
                  </w:r>
                </w:p>
              </w:tc>
              <w:tc>
                <w:tcPr>
                  <w:tcW w:w="1211" w:type="pct"/>
                  <w:noWrap w:val="0"/>
                  <w:vAlign w:val="center"/>
                </w:tcPr>
                <w:p w14:paraId="69E615B6">
                  <w:pPr>
                    <w:pStyle w:val="59"/>
                    <w:keepNext w:val="0"/>
                    <w:keepLines w:val="0"/>
                    <w:suppressLineNumbers w:val="0"/>
                    <w:adjustRightInd w:val="0"/>
                    <w:snapToGrid w:val="0"/>
                    <w:spacing w:before="0" w:beforeAutospacing="0" w:after="0" w:afterAutospacing="0"/>
                    <w:ind w:left="0" w:right="0"/>
                    <w:jc w:val="center"/>
                    <w:rPr>
                      <w:rFonts w:hint="default"/>
                      <w:color w:val="000000"/>
                      <w:kern w:val="0"/>
                      <w:lang w:val="en-US"/>
                    </w:rPr>
                  </w:pPr>
                  <w:r>
                    <w:rPr>
                      <w:rFonts w:hint="eastAsia"/>
                      <w:color w:val="000000"/>
                      <w:kern w:val="0"/>
                      <w:lang w:val="en-US" w:eastAsia="zh-CN"/>
                    </w:rPr>
                    <w:t>新建</w:t>
                  </w:r>
                </w:p>
              </w:tc>
            </w:tr>
          </w:tbl>
          <w:p w14:paraId="3BE7EE62">
            <w:pPr>
              <w:keepNext w:val="0"/>
              <w:keepLines w:val="0"/>
              <w:suppressLineNumbers w:val="0"/>
              <w:spacing w:before="0" w:beforeAutospacing="0" w:after="0" w:afterAutospacing="0"/>
              <w:ind w:left="0" w:right="0"/>
              <w:rPr>
                <w:rFonts w:hint="default" w:ascii="Times New Roman" w:hAnsi="Times New Roman" w:eastAsia="宋体" w:cs="Times New Roman"/>
                <w:b/>
                <w:bCs/>
                <w:color w:val="000000"/>
                <w:kern w:val="0"/>
                <w:sz w:val="24"/>
                <w:szCs w:val="24"/>
              </w:rPr>
            </w:pPr>
            <w:r>
              <w:rPr>
                <w:rFonts w:hint="eastAsia"/>
                <w:b/>
                <w:bCs/>
                <w:color w:val="000000"/>
                <w:kern w:val="0"/>
                <w:sz w:val="24"/>
                <w:szCs w:val="24"/>
                <w:lang w:val="en-US" w:eastAsia="zh-CN"/>
              </w:rPr>
              <w:t>3、</w:t>
            </w:r>
            <w:r>
              <w:rPr>
                <w:rFonts w:hint="default" w:ascii="Times New Roman" w:hAnsi="Times New Roman" w:eastAsia="宋体" w:cs="Times New Roman"/>
                <w:b/>
                <w:bCs/>
                <w:color w:val="000000"/>
                <w:kern w:val="0"/>
                <w:sz w:val="24"/>
                <w:szCs w:val="24"/>
              </w:rPr>
              <w:t>主要产品产能</w:t>
            </w:r>
          </w:p>
          <w:p w14:paraId="50A15A27">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color w:val="000000"/>
                <w:kern w:val="0"/>
                <w:sz w:val="24"/>
                <w:szCs w:val="24"/>
              </w:rPr>
              <w:t>厂区主要生产产品见表</w:t>
            </w:r>
            <w:r>
              <w:rPr>
                <w:rFonts w:hint="default" w:ascii="Times New Roman" w:hAnsi="Times New Roman" w:eastAsia="宋体" w:cs="Times New Roman"/>
                <w:color w:val="000000"/>
                <w:kern w:val="0"/>
                <w:sz w:val="24"/>
                <w:szCs w:val="24"/>
                <w:lang w:val="en-US" w:eastAsia="zh-CN"/>
              </w:rPr>
              <w:t>2-2</w:t>
            </w:r>
            <w:r>
              <w:rPr>
                <w:rFonts w:hint="default" w:ascii="Times New Roman" w:hAnsi="Times New Roman" w:eastAsia="宋体" w:cs="Times New Roman"/>
                <w:color w:val="000000"/>
                <w:kern w:val="0"/>
                <w:sz w:val="24"/>
                <w:szCs w:val="24"/>
              </w:rPr>
              <w:t>。</w:t>
            </w:r>
          </w:p>
          <w:p w14:paraId="16FF4DD5">
            <w:pPr>
              <w:keepNext w:val="0"/>
              <w:keepLines w:val="0"/>
              <w:suppressLineNumbers w:val="0"/>
              <w:adjustRightInd w:val="0"/>
              <w:snapToGrid w:val="0"/>
              <w:spacing w:before="0" w:beforeAutospacing="0" w:after="0" w:afterAutospacing="0" w:line="240" w:lineRule="auto"/>
              <w:ind w:left="0" w:right="0" w:firstLine="422" w:firstLineChars="200"/>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表</w:t>
            </w:r>
            <w:r>
              <w:rPr>
                <w:rFonts w:hint="eastAsia" w:ascii="Times New Roman" w:hAnsi="Times New Roman" w:eastAsia="宋体" w:cs="Times New Roman"/>
                <w:b/>
                <w:bCs/>
                <w:color w:val="000000"/>
                <w:kern w:val="0"/>
                <w:sz w:val="21"/>
                <w:szCs w:val="21"/>
                <w:lang w:val="en-US" w:eastAsia="zh-CN"/>
              </w:rPr>
              <w:t>2-2</w:t>
            </w:r>
            <w:r>
              <w:rPr>
                <w:rFonts w:hint="default" w:ascii="Times New Roman" w:hAnsi="Times New Roman" w:eastAsia="宋体" w:cs="Times New Roman"/>
                <w:b/>
                <w:bCs/>
                <w:color w:val="000000"/>
                <w:kern w:val="0"/>
                <w:sz w:val="21"/>
                <w:szCs w:val="21"/>
              </w:rPr>
              <w:t xml:space="preserve">                    主要产品产能表</w:t>
            </w:r>
          </w:p>
          <w:tbl>
            <w:tblPr>
              <w:tblStyle w:val="35"/>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532"/>
              <w:gridCol w:w="660"/>
              <w:gridCol w:w="1131"/>
              <w:gridCol w:w="1363"/>
              <w:gridCol w:w="882"/>
              <w:gridCol w:w="1847"/>
            </w:tblGrid>
            <w:tr w14:paraId="63547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14:paraId="794A444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1532" w:type="dxa"/>
                  <w:noWrap w:val="0"/>
                  <w:vAlign w:val="center"/>
                </w:tcPr>
                <w:p w14:paraId="18BD3AE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660" w:type="dxa"/>
                  <w:noWrap w:val="0"/>
                  <w:vAlign w:val="center"/>
                </w:tcPr>
                <w:p w14:paraId="748437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设计产量</w:t>
                  </w:r>
                </w:p>
              </w:tc>
              <w:tc>
                <w:tcPr>
                  <w:tcW w:w="1131" w:type="dxa"/>
                  <w:noWrap w:val="0"/>
                  <w:vAlign w:val="center"/>
                </w:tcPr>
                <w:p w14:paraId="437BE70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1363" w:type="dxa"/>
                  <w:noWrap w:val="0"/>
                  <w:vAlign w:val="center"/>
                </w:tcPr>
                <w:p w14:paraId="68844D1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包装形式</w:t>
                  </w:r>
                </w:p>
              </w:tc>
              <w:tc>
                <w:tcPr>
                  <w:tcW w:w="882" w:type="dxa"/>
                  <w:noWrap w:val="0"/>
                  <w:vAlign w:val="center"/>
                </w:tcPr>
                <w:p w14:paraId="6A04EC1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含水率</w:t>
                  </w:r>
                </w:p>
              </w:tc>
              <w:tc>
                <w:tcPr>
                  <w:tcW w:w="1847" w:type="dxa"/>
                  <w:noWrap w:val="0"/>
                  <w:vAlign w:val="center"/>
                </w:tcPr>
                <w:p w14:paraId="434B5848">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产品标准要求</w:t>
                  </w:r>
                </w:p>
              </w:tc>
            </w:tr>
            <w:tr w14:paraId="3879C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14:paraId="56245C57">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c>
                <w:tcPr>
                  <w:tcW w:w="1532" w:type="dxa"/>
                  <w:noWrap w:val="0"/>
                  <w:vAlign w:val="center"/>
                </w:tcPr>
                <w:p w14:paraId="60A2B0A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棉花种子</w:t>
                  </w:r>
                </w:p>
              </w:tc>
              <w:tc>
                <w:tcPr>
                  <w:tcW w:w="660" w:type="dxa"/>
                  <w:noWrap w:val="0"/>
                  <w:vAlign w:val="center"/>
                </w:tcPr>
                <w:p w14:paraId="0AFAC80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6422.317</w:t>
                  </w:r>
                </w:p>
              </w:tc>
              <w:tc>
                <w:tcPr>
                  <w:tcW w:w="1131" w:type="dxa"/>
                  <w:noWrap w:val="0"/>
                  <w:vAlign w:val="center"/>
                </w:tcPr>
                <w:p w14:paraId="3A5E148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t/a</w:t>
                  </w:r>
                </w:p>
              </w:tc>
              <w:tc>
                <w:tcPr>
                  <w:tcW w:w="1363" w:type="dxa"/>
                  <w:noWrap w:val="0"/>
                  <w:vAlign w:val="center"/>
                </w:tcPr>
                <w:p w14:paraId="7D33DEC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c>
                <w:tcPr>
                  <w:tcW w:w="882" w:type="dxa"/>
                  <w:noWrap w:val="0"/>
                  <w:vAlign w:val="center"/>
                </w:tcPr>
                <w:p w14:paraId="4F92956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rPr>
                  </w:pPr>
                  <w:r>
                    <w:rPr>
                      <w:rFonts w:hint="default" w:ascii="Arial" w:hAnsi="Arial" w:cs="Arial"/>
                      <w:color w:val="000000"/>
                      <w:kern w:val="0"/>
                      <w:sz w:val="21"/>
                      <w:szCs w:val="21"/>
                      <w:lang w:val="en-US" w:eastAsia="zh-CN"/>
                    </w:rPr>
                    <w:t>≤</w:t>
                  </w:r>
                  <w:r>
                    <w:rPr>
                      <w:rFonts w:hint="eastAsia" w:cs="Times New Roman"/>
                      <w:color w:val="000000"/>
                      <w:kern w:val="0"/>
                      <w:sz w:val="21"/>
                      <w:szCs w:val="21"/>
                      <w:lang w:val="en-US" w:eastAsia="zh-CN"/>
                    </w:rPr>
                    <w:t>12%</w:t>
                  </w:r>
                </w:p>
              </w:tc>
              <w:tc>
                <w:tcPr>
                  <w:tcW w:w="1847" w:type="dxa"/>
                  <w:noWrap w:val="0"/>
                  <w:vAlign w:val="center"/>
                </w:tcPr>
                <w:p w14:paraId="2F2634DF">
                  <w:pPr>
                    <w:keepNext w:val="0"/>
                    <w:keepLines w:val="0"/>
                    <w:suppressLineNumbers w:val="0"/>
                    <w:adjustRightInd w:val="0"/>
                    <w:snapToGrid w:val="0"/>
                    <w:spacing w:before="0" w:beforeAutospacing="0" w:after="0" w:afterAutospacing="0" w:line="240" w:lineRule="auto"/>
                    <w:ind w:left="0" w:right="0"/>
                    <w:jc w:val="center"/>
                    <w:rPr>
                      <w:rFonts w:hint="eastAsia"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《经济作物种子第1部分：纤维类》（GB</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val="en-US" w:eastAsia="zh-CN"/>
                    </w:rPr>
                    <w:t>4407.1-2008）</w:t>
                  </w:r>
                </w:p>
              </w:tc>
            </w:tr>
          </w:tbl>
          <w:p w14:paraId="5C07FF8B">
            <w:pPr>
              <w:keepNext w:val="0"/>
              <w:keepLines w:val="0"/>
              <w:suppressLineNumbers w:val="0"/>
              <w:spacing w:before="0" w:beforeAutospacing="0" w:after="0" w:afterAutospacing="0"/>
              <w:ind w:left="0" w:right="0"/>
              <w:rPr>
                <w:rFonts w:hint="default"/>
                <w:b/>
                <w:bCs/>
                <w:color w:val="000000"/>
                <w:kern w:val="0"/>
                <w:sz w:val="24"/>
                <w:szCs w:val="24"/>
                <w:highlight w:val="none"/>
              </w:rPr>
            </w:pPr>
            <w:r>
              <w:rPr>
                <w:rFonts w:hint="eastAsia"/>
                <w:b/>
                <w:bCs/>
                <w:color w:val="000000"/>
                <w:kern w:val="0"/>
                <w:sz w:val="24"/>
                <w:szCs w:val="24"/>
                <w:lang w:val="en-US" w:eastAsia="zh-CN"/>
              </w:rPr>
              <w:t>4、</w:t>
            </w:r>
            <w:r>
              <w:rPr>
                <w:rFonts w:hint="default"/>
                <w:b/>
                <w:bCs/>
                <w:color w:val="000000"/>
                <w:kern w:val="0"/>
                <w:sz w:val="24"/>
                <w:szCs w:val="24"/>
                <w:highlight w:val="none"/>
              </w:rPr>
              <w:t>主要生产设施及参数</w:t>
            </w:r>
          </w:p>
          <w:p w14:paraId="4FB56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eastAsia"/>
                <w:b/>
                <w:bCs/>
                <w:color w:val="000000"/>
                <w:kern w:val="0"/>
                <w:sz w:val="21"/>
                <w:szCs w:val="21"/>
                <w:lang w:val="en-US" w:eastAsia="zh-CN"/>
              </w:rPr>
            </w:pPr>
            <w:r>
              <w:rPr>
                <w:rFonts w:hint="default"/>
                <w:b/>
                <w:bCs/>
                <w:color w:val="000000"/>
                <w:kern w:val="0"/>
                <w:sz w:val="21"/>
                <w:szCs w:val="21"/>
              </w:rPr>
              <w:t>表</w:t>
            </w:r>
            <w:r>
              <w:rPr>
                <w:rFonts w:hint="eastAsia"/>
                <w:b/>
                <w:bCs/>
                <w:color w:val="000000"/>
                <w:kern w:val="0"/>
                <w:sz w:val="21"/>
                <w:szCs w:val="21"/>
                <w:lang w:val="en-US" w:eastAsia="zh-CN"/>
              </w:rPr>
              <w:t>2-3</w:t>
            </w:r>
            <w:r>
              <w:rPr>
                <w:rFonts w:hint="default"/>
                <w:b/>
                <w:bCs/>
                <w:color w:val="000000"/>
                <w:kern w:val="0"/>
                <w:sz w:val="21"/>
                <w:szCs w:val="21"/>
              </w:rPr>
              <w:t xml:space="preserve">          </w:t>
            </w:r>
            <w:r>
              <w:rPr>
                <w:rFonts w:hint="eastAsia"/>
                <w:b/>
                <w:bCs/>
                <w:color w:val="000000"/>
                <w:kern w:val="0"/>
                <w:sz w:val="21"/>
                <w:szCs w:val="21"/>
                <w:lang w:val="en-US" w:eastAsia="zh-CN"/>
              </w:rPr>
              <w:t xml:space="preserve">           供热设备及参数</w:t>
            </w:r>
          </w:p>
          <w:tbl>
            <w:tblPr>
              <w:tblStyle w:val="35"/>
              <w:tblpPr w:leftFromText="181" w:rightFromText="181" w:vertAnchor="text" w:horzAnchor="page" w:tblpXSpec="center" w:tblpY="1"/>
              <w:tblOverlap w:val="never"/>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2190"/>
              <w:gridCol w:w="655"/>
              <w:gridCol w:w="655"/>
              <w:gridCol w:w="3709"/>
            </w:tblGrid>
            <w:tr w14:paraId="6787EC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4D688D32">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b w:val="0"/>
                      <w:bCs w:val="0"/>
                      <w:sz w:val="21"/>
                      <w:szCs w:val="21"/>
                      <w:shd w:val="clear" w:color="auto" w:fill="auto"/>
                    </w:rPr>
                  </w:pPr>
                  <w:r>
                    <w:rPr>
                      <w:rFonts w:hint="default" w:ascii="Times New Roman" w:hAnsi="Times New Roman" w:eastAsia="宋体" w:cs="Times New Roman"/>
                      <w:b w:val="0"/>
                      <w:bCs w:val="0"/>
                      <w:sz w:val="21"/>
                      <w:szCs w:val="21"/>
                      <w:shd w:val="clear" w:color="auto" w:fill="auto"/>
                    </w:rPr>
                    <w:t>序号</w:t>
                  </w:r>
                </w:p>
              </w:tc>
              <w:tc>
                <w:tcPr>
                  <w:tcW w:w="1395" w:type="pct"/>
                  <w:tcBorders>
                    <w:tl2br w:val="nil"/>
                    <w:tr2bl w:val="nil"/>
                  </w:tcBorders>
                  <w:vAlign w:val="center"/>
                </w:tcPr>
                <w:p w14:paraId="64CDF25A">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b w:val="0"/>
                      <w:bCs w:val="0"/>
                      <w:sz w:val="21"/>
                      <w:szCs w:val="21"/>
                      <w:shd w:val="clear" w:color="auto" w:fill="auto"/>
                    </w:rPr>
                  </w:pPr>
                  <w:r>
                    <w:rPr>
                      <w:rFonts w:hint="default" w:ascii="Times New Roman" w:hAnsi="Times New Roman" w:eastAsia="宋体" w:cs="Times New Roman"/>
                      <w:b w:val="0"/>
                      <w:bCs w:val="0"/>
                      <w:sz w:val="21"/>
                      <w:szCs w:val="21"/>
                      <w:shd w:val="clear" w:color="auto" w:fill="auto"/>
                    </w:rPr>
                    <w:t>设备名称</w:t>
                  </w:r>
                </w:p>
              </w:tc>
              <w:tc>
                <w:tcPr>
                  <w:tcW w:w="417" w:type="pct"/>
                  <w:tcBorders>
                    <w:tl2br w:val="nil"/>
                    <w:tr2bl w:val="nil"/>
                  </w:tcBorders>
                  <w:vAlign w:val="center"/>
                </w:tcPr>
                <w:p w14:paraId="702E353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b w:val="0"/>
                      <w:bCs w:val="0"/>
                      <w:sz w:val="21"/>
                      <w:szCs w:val="21"/>
                      <w:shd w:val="clear" w:color="auto" w:fill="auto"/>
                    </w:rPr>
                  </w:pPr>
                  <w:r>
                    <w:rPr>
                      <w:rFonts w:hint="default" w:ascii="Times New Roman" w:hAnsi="Times New Roman" w:eastAsia="宋体" w:cs="Times New Roman"/>
                      <w:b w:val="0"/>
                      <w:bCs w:val="0"/>
                      <w:sz w:val="21"/>
                      <w:szCs w:val="21"/>
                      <w:shd w:val="clear" w:color="auto" w:fill="auto"/>
                    </w:rPr>
                    <w:t>单位</w:t>
                  </w:r>
                </w:p>
              </w:tc>
              <w:tc>
                <w:tcPr>
                  <w:tcW w:w="417" w:type="pct"/>
                  <w:tcBorders>
                    <w:tl2br w:val="nil"/>
                    <w:tr2bl w:val="nil"/>
                  </w:tcBorders>
                  <w:vAlign w:val="center"/>
                </w:tcPr>
                <w:p w14:paraId="78C11E28">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b w:val="0"/>
                      <w:bCs w:val="0"/>
                      <w:sz w:val="21"/>
                      <w:szCs w:val="21"/>
                      <w:shd w:val="clear" w:color="auto" w:fill="auto"/>
                    </w:rPr>
                  </w:pPr>
                  <w:r>
                    <w:rPr>
                      <w:rFonts w:hint="default" w:ascii="Times New Roman" w:hAnsi="Times New Roman" w:eastAsia="宋体" w:cs="Times New Roman"/>
                      <w:b w:val="0"/>
                      <w:bCs w:val="0"/>
                      <w:sz w:val="21"/>
                      <w:szCs w:val="21"/>
                      <w:shd w:val="clear" w:color="auto" w:fill="auto"/>
                    </w:rPr>
                    <w:t>数量</w:t>
                  </w:r>
                </w:p>
              </w:tc>
              <w:tc>
                <w:tcPr>
                  <w:tcW w:w="2362" w:type="pct"/>
                  <w:tcBorders>
                    <w:tl2br w:val="nil"/>
                    <w:tr2bl w:val="nil"/>
                  </w:tcBorders>
                  <w:vAlign w:val="center"/>
                </w:tcPr>
                <w:p w14:paraId="66506350">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b w:val="0"/>
                      <w:bCs w:val="0"/>
                      <w:sz w:val="21"/>
                      <w:szCs w:val="21"/>
                      <w:shd w:val="clear" w:color="auto" w:fill="auto"/>
                    </w:rPr>
                  </w:pPr>
                  <w:r>
                    <w:rPr>
                      <w:rFonts w:hint="default" w:ascii="Times New Roman" w:hAnsi="Times New Roman" w:eastAsia="宋体" w:cs="Times New Roman"/>
                      <w:b w:val="0"/>
                      <w:bCs w:val="0"/>
                      <w:sz w:val="21"/>
                      <w:szCs w:val="21"/>
                      <w:shd w:val="clear" w:color="auto" w:fill="auto"/>
                    </w:rPr>
                    <w:t>备注</w:t>
                  </w:r>
                </w:p>
              </w:tc>
            </w:tr>
            <w:tr w14:paraId="71C9E1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59A7A0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一、供料部分</w:t>
                  </w:r>
                </w:p>
              </w:tc>
            </w:tr>
            <w:tr w14:paraId="1A562A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4EB43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080636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吸籽风机</w:t>
                  </w:r>
                </w:p>
              </w:tc>
              <w:tc>
                <w:tcPr>
                  <w:tcW w:w="417" w:type="pct"/>
                  <w:tcBorders>
                    <w:tl2br w:val="nil"/>
                    <w:tr2bl w:val="nil"/>
                  </w:tcBorders>
                  <w:vAlign w:val="center"/>
                </w:tcPr>
                <w:p w14:paraId="4CF356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294A354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5D2D930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eastAsia" w:ascii="Times New Roman" w:hAnsi="Times New Roman" w:eastAsia="宋体" w:cs="Times New Roman"/>
                      <w:color w:val="000000"/>
                      <w:kern w:val="0"/>
                      <w:sz w:val="21"/>
                      <w:szCs w:val="21"/>
                      <w:shd w:val="clear" w:color="auto" w:fill="auto"/>
                      <w:lang w:val="en-US" w:eastAsia="zh-CN" w:bidi="ar"/>
                    </w:rPr>
                    <w:t>22</w:t>
                  </w:r>
                  <w:r>
                    <w:rPr>
                      <w:rFonts w:hint="eastAsia" w:cs="Times New Roman"/>
                      <w:color w:val="000000"/>
                      <w:kern w:val="0"/>
                      <w:sz w:val="21"/>
                      <w:szCs w:val="21"/>
                      <w:shd w:val="clear" w:color="auto" w:fill="auto"/>
                      <w:lang w:val="en-US" w:eastAsia="zh-CN" w:bidi="ar"/>
                    </w:rPr>
                    <w:t>kW</w:t>
                  </w:r>
                </w:p>
              </w:tc>
            </w:tr>
            <w:tr w14:paraId="4B16A1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586B8F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1395" w:type="pct"/>
                  <w:tcBorders>
                    <w:tl2br w:val="nil"/>
                    <w:tr2bl w:val="nil"/>
                  </w:tcBorders>
                  <w:vAlign w:val="center"/>
                </w:tcPr>
                <w:p w14:paraId="2F1489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卸料器</w:t>
                  </w:r>
                </w:p>
              </w:tc>
              <w:tc>
                <w:tcPr>
                  <w:tcW w:w="417" w:type="pct"/>
                  <w:tcBorders>
                    <w:tl2br w:val="nil"/>
                    <w:tr2bl w:val="nil"/>
                  </w:tcBorders>
                  <w:vAlign w:val="center"/>
                </w:tcPr>
                <w:p w14:paraId="1AFEC3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0A8C86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46E56A4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1.5</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bidi="ar"/>
                    </w:rPr>
                    <w:t>防破损</w:t>
                  </w:r>
                </w:p>
              </w:tc>
            </w:tr>
            <w:tr w14:paraId="73B1CD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4F7920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3</w:t>
                  </w:r>
                </w:p>
              </w:tc>
              <w:tc>
                <w:tcPr>
                  <w:tcW w:w="1395" w:type="pct"/>
                  <w:tcBorders>
                    <w:tl2br w:val="nil"/>
                    <w:tr2bl w:val="nil"/>
                  </w:tcBorders>
                  <w:vAlign w:val="center"/>
                </w:tcPr>
                <w:p w14:paraId="192E9C8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通风管道</w:t>
                  </w:r>
                </w:p>
              </w:tc>
              <w:tc>
                <w:tcPr>
                  <w:tcW w:w="417" w:type="pct"/>
                  <w:tcBorders>
                    <w:tl2br w:val="nil"/>
                    <w:tr2bl w:val="nil"/>
                  </w:tcBorders>
                  <w:vAlign w:val="center"/>
                </w:tcPr>
                <w:p w14:paraId="7141E1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21B44B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041889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0.75镀锌板</w:t>
                  </w:r>
                </w:p>
              </w:tc>
            </w:tr>
            <w:tr w14:paraId="088E2B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46738E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4</w:t>
                  </w:r>
                </w:p>
              </w:tc>
              <w:tc>
                <w:tcPr>
                  <w:tcW w:w="1395" w:type="pct"/>
                  <w:tcBorders>
                    <w:tl2br w:val="nil"/>
                    <w:tr2bl w:val="nil"/>
                  </w:tcBorders>
                  <w:vAlign w:val="center"/>
                </w:tcPr>
                <w:p w14:paraId="6559DBC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计量仓斗支架平台</w:t>
                  </w:r>
                </w:p>
              </w:tc>
              <w:tc>
                <w:tcPr>
                  <w:tcW w:w="417" w:type="pct"/>
                  <w:tcBorders>
                    <w:tl2br w:val="nil"/>
                    <w:tr2bl w:val="nil"/>
                  </w:tcBorders>
                  <w:vAlign w:val="center"/>
                </w:tcPr>
                <w:p w14:paraId="4C365D1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件</w:t>
                  </w:r>
                </w:p>
              </w:tc>
              <w:tc>
                <w:tcPr>
                  <w:tcW w:w="417" w:type="pct"/>
                  <w:tcBorders>
                    <w:tl2br w:val="nil"/>
                    <w:tr2bl w:val="nil"/>
                  </w:tcBorders>
                  <w:vAlign w:val="center"/>
                </w:tcPr>
                <w:p w14:paraId="4E8382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0EDF5A1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国标型材</w:t>
                  </w:r>
                </w:p>
              </w:tc>
            </w:tr>
            <w:tr w14:paraId="41D787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7573EB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5</w:t>
                  </w:r>
                </w:p>
              </w:tc>
              <w:tc>
                <w:tcPr>
                  <w:tcW w:w="1395" w:type="pct"/>
                  <w:tcBorders>
                    <w:tl2br w:val="nil"/>
                    <w:tr2bl w:val="nil"/>
                  </w:tcBorders>
                  <w:vAlign w:val="center"/>
                </w:tcPr>
                <w:p w14:paraId="0C2CFF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定量喂料装置</w:t>
                  </w:r>
                </w:p>
              </w:tc>
              <w:tc>
                <w:tcPr>
                  <w:tcW w:w="417" w:type="pct"/>
                  <w:tcBorders>
                    <w:tl2br w:val="nil"/>
                    <w:tr2bl w:val="nil"/>
                  </w:tcBorders>
                  <w:vAlign w:val="center"/>
                </w:tcPr>
                <w:p w14:paraId="30CED2C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件</w:t>
                  </w:r>
                </w:p>
              </w:tc>
              <w:tc>
                <w:tcPr>
                  <w:tcW w:w="417" w:type="pct"/>
                  <w:tcBorders>
                    <w:tl2br w:val="nil"/>
                    <w:tr2bl w:val="nil"/>
                  </w:tcBorders>
                  <w:vAlign w:val="center"/>
                </w:tcPr>
                <w:p w14:paraId="11B174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187922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可调控</w:t>
                  </w:r>
                  <w:r>
                    <w:rPr>
                      <w:rFonts w:hint="eastAsia" w:ascii="Times New Roman" w:hAnsi="Times New Roman" w:eastAsia="宋体" w:cs="Times New Roman"/>
                      <w:color w:val="000000"/>
                      <w:kern w:val="0"/>
                      <w:sz w:val="21"/>
                      <w:szCs w:val="21"/>
                      <w:shd w:val="clear" w:color="auto" w:fill="auto"/>
                      <w:lang w:val="en-US" w:eastAsia="zh-CN" w:bidi="ar"/>
                    </w:rPr>
                    <w:t>3</w:t>
                  </w:r>
                  <w:r>
                    <w:rPr>
                      <w:rFonts w:hint="eastAsia" w:cs="Times New Roman"/>
                      <w:color w:val="000000"/>
                      <w:kern w:val="0"/>
                      <w:sz w:val="21"/>
                      <w:szCs w:val="21"/>
                      <w:shd w:val="clear" w:color="auto" w:fill="auto"/>
                      <w:lang w:val="en-US" w:eastAsia="zh-CN" w:bidi="ar"/>
                    </w:rPr>
                    <w:t>kW</w:t>
                  </w:r>
                </w:p>
              </w:tc>
            </w:tr>
            <w:tr w14:paraId="6C30C3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16D70F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6</w:t>
                  </w:r>
                </w:p>
              </w:tc>
              <w:tc>
                <w:tcPr>
                  <w:tcW w:w="1395" w:type="pct"/>
                  <w:tcBorders>
                    <w:tl2br w:val="nil"/>
                    <w:tr2bl w:val="nil"/>
                  </w:tcBorders>
                  <w:vAlign w:val="center"/>
                </w:tcPr>
                <w:p w14:paraId="5B8802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Times New Roman" w:hAnsi="Times New Roman" w:eastAsia="宋体" w:cs="Times New Roman"/>
                      <w:kern w:val="21"/>
                      <w:sz w:val="21"/>
                      <w:szCs w:val="21"/>
                      <w:shd w:val="clear" w:color="auto" w:fill="auto"/>
                      <w:lang w:eastAsia="zh-CN"/>
                    </w:rPr>
                  </w:pPr>
                  <w:r>
                    <w:rPr>
                      <w:rFonts w:hint="eastAsia" w:ascii="Times New Roman" w:hAnsi="Times New Roman" w:eastAsia="宋体" w:cs="Times New Roman"/>
                      <w:color w:val="000000"/>
                      <w:kern w:val="0"/>
                      <w:sz w:val="21"/>
                      <w:szCs w:val="21"/>
                      <w:shd w:val="clear" w:color="auto" w:fill="auto"/>
                      <w:lang w:val="en-US" w:eastAsia="zh-CN" w:bidi="ar"/>
                    </w:rPr>
                    <w:t>吸籽管及沉杂器</w:t>
                  </w:r>
                </w:p>
              </w:tc>
              <w:tc>
                <w:tcPr>
                  <w:tcW w:w="417" w:type="pct"/>
                  <w:tcBorders>
                    <w:tl2br w:val="nil"/>
                    <w:tr2bl w:val="nil"/>
                  </w:tcBorders>
                  <w:vAlign w:val="center"/>
                </w:tcPr>
                <w:p w14:paraId="4D08D0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2427B5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554DBD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val="en-US"/>
                    </w:rPr>
                  </w:pPr>
                  <w:r>
                    <w:rPr>
                      <w:rFonts w:hint="eastAsia" w:ascii="Times New Roman" w:hAnsi="Times New Roman" w:eastAsia="宋体" w:cs="Times New Roman"/>
                      <w:color w:val="000000"/>
                      <w:kern w:val="0"/>
                      <w:sz w:val="21"/>
                      <w:szCs w:val="21"/>
                      <w:shd w:val="clear" w:color="auto" w:fill="auto"/>
                      <w:lang w:val="en-US" w:eastAsia="zh-CN" w:bidi="ar"/>
                    </w:rPr>
                    <w:t>吸籽管8米</w:t>
                  </w:r>
                </w:p>
              </w:tc>
            </w:tr>
            <w:tr w14:paraId="190C7B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165581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二、酸系统部分</w:t>
                  </w:r>
                </w:p>
              </w:tc>
            </w:tr>
            <w:tr w14:paraId="7058EF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144ACB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7AFF412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酸搅拌器</w:t>
                  </w:r>
                </w:p>
              </w:tc>
              <w:tc>
                <w:tcPr>
                  <w:tcW w:w="417" w:type="pct"/>
                  <w:tcBorders>
                    <w:tl2br w:val="nil"/>
                    <w:tr2bl w:val="nil"/>
                  </w:tcBorders>
                  <w:vAlign w:val="center"/>
                </w:tcPr>
                <w:p w14:paraId="7AED9E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31F229D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3319785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槽用PVC板材芯用316L不锈钢4W</w:t>
                  </w:r>
                </w:p>
              </w:tc>
            </w:tr>
            <w:tr w14:paraId="380360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022F6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1395" w:type="pct"/>
                  <w:tcBorders>
                    <w:tl2br w:val="nil"/>
                    <w:tr2bl w:val="nil"/>
                  </w:tcBorders>
                  <w:vAlign w:val="center"/>
                </w:tcPr>
                <w:p w14:paraId="72AE97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酸平台扶手</w:t>
                  </w:r>
                </w:p>
              </w:tc>
              <w:tc>
                <w:tcPr>
                  <w:tcW w:w="417" w:type="pct"/>
                  <w:tcBorders>
                    <w:tl2br w:val="nil"/>
                    <w:tr2bl w:val="nil"/>
                  </w:tcBorders>
                  <w:vAlign w:val="center"/>
                </w:tcPr>
                <w:p w14:paraId="4E6C07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6FD975C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4CA674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国标型材</w:t>
                  </w:r>
                </w:p>
              </w:tc>
            </w:tr>
            <w:tr w14:paraId="7D4A87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13A976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3</w:t>
                  </w:r>
                </w:p>
              </w:tc>
              <w:tc>
                <w:tcPr>
                  <w:tcW w:w="1395" w:type="pct"/>
                  <w:tcBorders>
                    <w:tl2br w:val="nil"/>
                    <w:tr2bl w:val="nil"/>
                  </w:tcBorders>
                  <w:vAlign w:val="center"/>
                </w:tcPr>
                <w:p w14:paraId="35731D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酸缸</w:t>
                  </w:r>
                </w:p>
              </w:tc>
              <w:tc>
                <w:tcPr>
                  <w:tcW w:w="417" w:type="pct"/>
                  <w:tcBorders>
                    <w:tl2br w:val="nil"/>
                    <w:tr2bl w:val="nil"/>
                  </w:tcBorders>
                  <w:vAlign w:val="center"/>
                </w:tcPr>
                <w:p w14:paraId="3DFA522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件</w:t>
                  </w:r>
                </w:p>
              </w:tc>
              <w:tc>
                <w:tcPr>
                  <w:tcW w:w="417" w:type="pct"/>
                  <w:tcBorders>
                    <w:tl2br w:val="nil"/>
                    <w:tr2bl w:val="nil"/>
                  </w:tcBorders>
                  <w:vAlign w:val="center"/>
                </w:tcPr>
                <w:p w14:paraId="71178E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2</w:t>
                  </w:r>
                </w:p>
              </w:tc>
              <w:tc>
                <w:tcPr>
                  <w:tcW w:w="2362" w:type="pct"/>
                  <w:tcBorders>
                    <w:tl2br w:val="nil"/>
                    <w:tr2bl w:val="nil"/>
                  </w:tcBorders>
                  <w:vAlign w:val="center"/>
                </w:tcPr>
                <w:p w14:paraId="14627B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PVC板材焊接</w:t>
                  </w:r>
                </w:p>
              </w:tc>
            </w:tr>
            <w:tr w14:paraId="757129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160A2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4</w:t>
                  </w:r>
                </w:p>
              </w:tc>
              <w:tc>
                <w:tcPr>
                  <w:tcW w:w="1395" w:type="pct"/>
                  <w:tcBorders>
                    <w:tl2br w:val="nil"/>
                    <w:tr2bl w:val="nil"/>
                  </w:tcBorders>
                  <w:vAlign w:val="center"/>
                </w:tcPr>
                <w:p w14:paraId="3D3874C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酸泵</w:t>
                  </w:r>
                </w:p>
              </w:tc>
              <w:tc>
                <w:tcPr>
                  <w:tcW w:w="417" w:type="pct"/>
                  <w:tcBorders>
                    <w:tl2br w:val="nil"/>
                    <w:tr2bl w:val="nil"/>
                  </w:tcBorders>
                  <w:vAlign w:val="center"/>
                </w:tcPr>
                <w:p w14:paraId="026249A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4954F71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2</w:t>
                  </w:r>
                </w:p>
              </w:tc>
              <w:tc>
                <w:tcPr>
                  <w:tcW w:w="2362" w:type="pct"/>
                  <w:tcBorders>
                    <w:tl2br w:val="nil"/>
                    <w:tr2bl w:val="nil"/>
                  </w:tcBorders>
                  <w:vAlign w:val="center"/>
                </w:tcPr>
                <w:p w14:paraId="1CA783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UPVC耐腐蚀，1.1</w:t>
                  </w:r>
                  <w:r>
                    <w:rPr>
                      <w:rFonts w:hint="eastAsia" w:cs="Times New Roman"/>
                      <w:color w:val="000000"/>
                      <w:kern w:val="0"/>
                      <w:sz w:val="21"/>
                      <w:szCs w:val="21"/>
                      <w:shd w:val="clear" w:color="auto" w:fill="auto"/>
                      <w:lang w:eastAsia="zh-CN" w:bidi="ar"/>
                    </w:rPr>
                    <w:t>kW</w:t>
                  </w:r>
                </w:p>
              </w:tc>
            </w:tr>
            <w:tr w14:paraId="248A75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354BF0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5</w:t>
                  </w:r>
                </w:p>
              </w:tc>
              <w:tc>
                <w:tcPr>
                  <w:tcW w:w="1395" w:type="pct"/>
                  <w:tcBorders>
                    <w:tl2br w:val="nil"/>
                    <w:tr2bl w:val="nil"/>
                  </w:tcBorders>
                  <w:vAlign w:val="center"/>
                </w:tcPr>
                <w:p w14:paraId="595FA8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酸管道阀门</w:t>
                  </w:r>
                </w:p>
              </w:tc>
              <w:tc>
                <w:tcPr>
                  <w:tcW w:w="417" w:type="pct"/>
                  <w:tcBorders>
                    <w:tl2br w:val="nil"/>
                    <w:tr2bl w:val="nil"/>
                  </w:tcBorders>
                  <w:vAlign w:val="center"/>
                </w:tcPr>
                <w:p w14:paraId="6A78300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3CC594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I</w:t>
                  </w:r>
                </w:p>
              </w:tc>
              <w:tc>
                <w:tcPr>
                  <w:tcW w:w="2362" w:type="pct"/>
                  <w:tcBorders>
                    <w:tl2br w:val="nil"/>
                    <w:tr2bl w:val="nil"/>
                  </w:tcBorders>
                  <w:vAlign w:val="center"/>
                </w:tcPr>
                <w:p w14:paraId="3A61F7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排酸、排气、酸PVC管</w:t>
                  </w:r>
                </w:p>
              </w:tc>
            </w:tr>
            <w:tr w14:paraId="19FAB5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6EF13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6</w:t>
                  </w:r>
                </w:p>
              </w:tc>
              <w:tc>
                <w:tcPr>
                  <w:tcW w:w="1395" w:type="pct"/>
                  <w:tcBorders>
                    <w:tl2br w:val="nil"/>
                    <w:tr2bl w:val="nil"/>
                  </w:tcBorders>
                  <w:vAlign w:val="center"/>
                </w:tcPr>
                <w:p w14:paraId="014544D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不锈钢中心绞龙</w:t>
                  </w:r>
                </w:p>
              </w:tc>
              <w:tc>
                <w:tcPr>
                  <w:tcW w:w="417" w:type="pct"/>
                  <w:tcBorders>
                    <w:tl2br w:val="nil"/>
                    <w:tr2bl w:val="nil"/>
                  </w:tcBorders>
                  <w:vAlign w:val="center"/>
                </w:tcPr>
                <w:p w14:paraId="3FDC0B2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00DDDA8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3BE5C0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316L不锈钢1.5</w:t>
                  </w:r>
                  <w:r>
                    <w:rPr>
                      <w:rFonts w:hint="eastAsia" w:cs="Times New Roman"/>
                      <w:color w:val="000000"/>
                      <w:kern w:val="0"/>
                      <w:sz w:val="21"/>
                      <w:szCs w:val="21"/>
                      <w:shd w:val="clear" w:color="auto" w:fill="auto"/>
                      <w:lang w:eastAsia="zh-CN" w:bidi="ar"/>
                    </w:rPr>
                    <w:t>kW</w:t>
                  </w:r>
                </w:p>
              </w:tc>
            </w:tr>
            <w:tr w14:paraId="4B65B5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48E05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7</w:t>
                  </w:r>
                </w:p>
              </w:tc>
              <w:tc>
                <w:tcPr>
                  <w:tcW w:w="1395" w:type="pct"/>
                  <w:tcBorders>
                    <w:tl2br w:val="nil"/>
                    <w:tr2bl w:val="nil"/>
                  </w:tcBorders>
                  <w:vAlign w:val="center"/>
                </w:tcPr>
                <w:p w14:paraId="736E07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离心机</w:t>
                  </w:r>
                </w:p>
              </w:tc>
              <w:tc>
                <w:tcPr>
                  <w:tcW w:w="417" w:type="pct"/>
                  <w:tcBorders>
                    <w:tl2br w:val="nil"/>
                    <w:tr2bl w:val="nil"/>
                  </w:tcBorders>
                  <w:vAlign w:val="center"/>
                </w:tcPr>
                <w:p w14:paraId="57F1C9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678AF42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07E12B9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18.5</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eastAsia="zh-CN" w:bidi="ar"/>
                    </w:rPr>
                    <w:t>湘潭</w:t>
                  </w:r>
                  <w:r>
                    <w:rPr>
                      <w:rFonts w:hint="default" w:ascii="Times New Roman" w:hAnsi="Times New Roman" w:eastAsia="宋体" w:cs="Times New Roman"/>
                      <w:color w:val="000000"/>
                      <w:kern w:val="0"/>
                      <w:sz w:val="21"/>
                      <w:szCs w:val="21"/>
                      <w:shd w:val="clear" w:color="auto" w:fill="auto"/>
                      <w:lang w:bidi="ar"/>
                    </w:rPr>
                    <w:t>产</w:t>
                  </w:r>
                </w:p>
              </w:tc>
            </w:tr>
            <w:tr w14:paraId="285057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2B2C3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8</w:t>
                  </w:r>
                </w:p>
              </w:tc>
              <w:tc>
                <w:tcPr>
                  <w:tcW w:w="1395" w:type="pct"/>
                  <w:tcBorders>
                    <w:tl2br w:val="nil"/>
                    <w:tr2bl w:val="nil"/>
                  </w:tcBorders>
                  <w:vAlign w:val="center"/>
                </w:tcPr>
                <w:p w14:paraId="1174490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离心机基础处理</w:t>
                  </w:r>
                </w:p>
              </w:tc>
              <w:tc>
                <w:tcPr>
                  <w:tcW w:w="417" w:type="pct"/>
                  <w:tcBorders>
                    <w:tl2br w:val="nil"/>
                    <w:tr2bl w:val="nil"/>
                  </w:tcBorders>
                  <w:vAlign w:val="center"/>
                </w:tcPr>
                <w:p w14:paraId="08C1BB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件</w:t>
                  </w:r>
                </w:p>
              </w:tc>
              <w:tc>
                <w:tcPr>
                  <w:tcW w:w="417" w:type="pct"/>
                  <w:tcBorders>
                    <w:tl2br w:val="nil"/>
                    <w:tr2bl w:val="nil"/>
                  </w:tcBorders>
                  <w:vAlign w:val="center"/>
                </w:tcPr>
                <w:p w14:paraId="29A30B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1B5E24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含预埋件离心机安装</w:t>
                  </w:r>
                </w:p>
              </w:tc>
            </w:tr>
            <w:tr w14:paraId="069B35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4E6DD5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kern w:val="21"/>
                      <w:sz w:val="21"/>
                      <w:szCs w:val="21"/>
                      <w:shd w:val="clear" w:color="auto" w:fill="auto"/>
                      <w:lang w:val="en-US" w:eastAsia="zh-CN"/>
                    </w:rPr>
                  </w:pPr>
                  <w:r>
                    <w:rPr>
                      <w:rFonts w:hint="eastAsia" w:ascii="Times New Roman" w:hAnsi="Times New Roman" w:eastAsia="宋体" w:cs="Times New Roman"/>
                      <w:kern w:val="21"/>
                      <w:sz w:val="21"/>
                      <w:szCs w:val="21"/>
                      <w:shd w:val="clear" w:color="auto" w:fill="auto"/>
                      <w:lang w:val="en-US" w:eastAsia="zh-CN"/>
                    </w:rPr>
                    <w:t>9</w:t>
                  </w:r>
                </w:p>
              </w:tc>
              <w:tc>
                <w:tcPr>
                  <w:tcW w:w="1395" w:type="pct"/>
                  <w:tcBorders>
                    <w:tl2br w:val="nil"/>
                    <w:tr2bl w:val="nil"/>
                  </w:tcBorders>
                  <w:vAlign w:val="center"/>
                </w:tcPr>
                <w:p w14:paraId="69E6419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配酸自动化</w:t>
                  </w:r>
                </w:p>
              </w:tc>
              <w:tc>
                <w:tcPr>
                  <w:tcW w:w="417" w:type="pct"/>
                  <w:tcBorders>
                    <w:tl2br w:val="nil"/>
                    <w:tr2bl w:val="nil"/>
                  </w:tcBorders>
                  <w:vAlign w:val="center"/>
                </w:tcPr>
                <w:p w14:paraId="50097FE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shd w:val="clear" w:color="auto" w:fill="auto"/>
                      <w:lang w:bidi="ar"/>
                    </w:rPr>
                  </w:pPr>
                </w:p>
              </w:tc>
              <w:tc>
                <w:tcPr>
                  <w:tcW w:w="417" w:type="pct"/>
                  <w:tcBorders>
                    <w:tl2br w:val="nil"/>
                    <w:tr2bl w:val="nil"/>
                  </w:tcBorders>
                  <w:vAlign w:val="center"/>
                </w:tcPr>
                <w:p w14:paraId="6388B0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shd w:val="clear" w:color="auto" w:fill="auto"/>
                      <w:lang w:bidi="ar"/>
                    </w:rPr>
                  </w:pPr>
                </w:p>
              </w:tc>
              <w:tc>
                <w:tcPr>
                  <w:tcW w:w="2362" w:type="pct"/>
                  <w:tcBorders>
                    <w:tl2br w:val="nil"/>
                    <w:tr2bl w:val="nil"/>
                  </w:tcBorders>
                  <w:vAlign w:val="center"/>
                </w:tcPr>
                <w:p w14:paraId="6F64EB4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val="en-US" w:eastAsia="zh-CN"/>
                    </w:rPr>
                  </w:pPr>
                  <w:r>
                    <w:rPr>
                      <w:rFonts w:hint="eastAsia" w:ascii="Times New Roman" w:hAnsi="Times New Roman" w:eastAsia="宋体" w:cs="Times New Roman"/>
                      <w:kern w:val="21"/>
                      <w:sz w:val="21"/>
                      <w:szCs w:val="21"/>
                      <w:shd w:val="clear" w:color="auto" w:fill="auto"/>
                      <w:lang w:val="en-US" w:eastAsia="zh-CN"/>
                    </w:rPr>
                    <w:t>自动配酸数字显示</w:t>
                  </w:r>
                </w:p>
              </w:tc>
            </w:tr>
            <w:tr w14:paraId="0985F1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F25E7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lang w:val="en-US" w:eastAsia="zh-CN"/>
                    </w:rPr>
                  </w:pPr>
                  <w:r>
                    <w:rPr>
                      <w:rFonts w:hint="eastAsia" w:ascii="Times New Roman" w:hAnsi="Times New Roman" w:eastAsia="宋体" w:cs="Times New Roman"/>
                      <w:kern w:val="21"/>
                      <w:sz w:val="21"/>
                      <w:szCs w:val="21"/>
                      <w:shd w:val="clear" w:color="auto" w:fill="auto"/>
                      <w:lang w:val="en-US" w:eastAsia="zh-CN"/>
                    </w:rPr>
                    <w:t>10</w:t>
                  </w:r>
                </w:p>
              </w:tc>
              <w:tc>
                <w:tcPr>
                  <w:tcW w:w="1395" w:type="pct"/>
                  <w:tcBorders>
                    <w:tl2br w:val="nil"/>
                    <w:tr2bl w:val="nil"/>
                  </w:tcBorders>
                  <w:vAlign w:val="center"/>
                </w:tcPr>
                <w:p w14:paraId="003D318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bidi="ar"/>
                    </w:rPr>
                    <w:t>浓酸罐</w:t>
                  </w:r>
                </w:p>
              </w:tc>
              <w:tc>
                <w:tcPr>
                  <w:tcW w:w="417" w:type="pct"/>
                  <w:tcBorders>
                    <w:tl2br w:val="nil"/>
                    <w:tr2bl w:val="nil"/>
                  </w:tcBorders>
                  <w:vAlign w:val="center"/>
                </w:tcPr>
                <w:p w14:paraId="646095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Times New Roman" w:hAnsi="Times New Roman" w:eastAsia="宋体" w:cs="Times New Roman"/>
                      <w:kern w:val="21"/>
                      <w:sz w:val="21"/>
                      <w:szCs w:val="21"/>
                      <w:shd w:val="clear" w:color="auto" w:fill="auto"/>
                      <w:lang w:eastAsia="zh-CN"/>
                    </w:rPr>
                  </w:pPr>
                  <w:r>
                    <w:rPr>
                      <w:rFonts w:hint="eastAsia" w:ascii="Times New Roman" w:hAnsi="Times New Roman" w:eastAsia="宋体" w:cs="Times New Roman"/>
                      <w:color w:val="000000"/>
                      <w:kern w:val="0"/>
                      <w:sz w:val="21"/>
                      <w:szCs w:val="21"/>
                      <w:shd w:val="clear" w:color="auto" w:fill="auto"/>
                      <w:lang w:val="en-US" w:eastAsia="zh-CN" w:bidi="ar"/>
                    </w:rPr>
                    <w:t>件</w:t>
                  </w:r>
                </w:p>
              </w:tc>
              <w:tc>
                <w:tcPr>
                  <w:tcW w:w="417" w:type="pct"/>
                  <w:tcBorders>
                    <w:tl2br w:val="nil"/>
                    <w:tr2bl w:val="nil"/>
                  </w:tcBorders>
                  <w:vAlign w:val="center"/>
                </w:tcPr>
                <w:p w14:paraId="686F75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w:t>
                  </w:r>
                </w:p>
              </w:tc>
              <w:tc>
                <w:tcPr>
                  <w:tcW w:w="2362" w:type="pct"/>
                  <w:tcBorders>
                    <w:tl2br w:val="nil"/>
                    <w:tr2bl w:val="nil"/>
                  </w:tcBorders>
                  <w:vAlign w:val="center"/>
                </w:tcPr>
                <w:p w14:paraId="38136D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val="en-US" w:eastAsia="zh-CN"/>
                    </w:rPr>
                  </w:pPr>
                  <w:r>
                    <w:rPr>
                      <w:rFonts w:hint="eastAsia" w:ascii="Times New Roman" w:hAnsi="Times New Roman" w:eastAsia="宋体" w:cs="Times New Roman"/>
                      <w:kern w:val="21"/>
                      <w:sz w:val="21"/>
                      <w:szCs w:val="21"/>
                      <w:shd w:val="clear" w:color="auto" w:fill="auto"/>
                      <w:lang w:val="en-US" w:eastAsia="zh-CN"/>
                    </w:rPr>
                    <w:t>22m</w:t>
                  </w:r>
                  <w:r>
                    <w:rPr>
                      <w:rFonts w:hint="eastAsia" w:ascii="Times New Roman" w:hAnsi="Times New Roman" w:eastAsia="宋体" w:cs="Times New Roman"/>
                      <w:kern w:val="21"/>
                      <w:sz w:val="21"/>
                      <w:szCs w:val="21"/>
                      <w:shd w:val="clear" w:color="auto" w:fill="auto"/>
                      <w:vertAlign w:val="superscript"/>
                      <w:lang w:val="en-US" w:eastAsia="zh-CN"/>
                    </w:rPr>
                    <w:t>3</w:t>
                  </w:r>
                </w:p>
              </w:tc>
            </w:tr>
            <w:tr w14:paraId="7959DB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47AE29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三、供热部分</w:t>
                  </w:r>
                </w:p>
              </w:tc>
            </w:tr>
            <w:tr w14:paraId="7235C3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50113F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561807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0"/>
                      <w:sz w:val="21"/>
                      <w:szCs w:val="21"/>
                      <w:shd w:val="clear" w:color="auto" w:fill="auto"/>
                      <w:lang w:bidi="ar"/>
                    </w:rPr>
                    <w:t>热风炉</w:t>
                  </w:r>
                </w:p>
              </w:tc>
              <w:tc>
                <w:tcPr>
                  <w:tcW w:w="417" w:type="pct"/>
                  <w:tcBorders>
                    <w:tl2br w:val="nil"/>
                    <w:tr2bl w:val="nil"/>
                  </w:tcBorders>
                  <w:vAlign w:val="center"/>
                </w:tcPr>
                <w:p w14:paraId="72C2979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0"/>
                      <w:sz w:val="21"/>
                      <w:szCs w:val="21"/>
                      <w:shd w:val="clear" w:color="auto" w:fill="auto"/>
                      <w:lang w:bidi="ar"/>
                    </w:rPr>
                    <w:t>座</w:t>
                  </w:r>
                </w:p>
              </w:tc>
              <w:tc>
                <w:tcPr>
                  <w:tcW w:w="417" w:type="pct"/>
                  <w:tcBorders>
                    <w:tl2br w:val="nil"/>
                    <w:tr2bl w:val="nil"/>
                  </w:tcBorders>
                  <w:vAlign w:val="center"/>
                </w:tcPr>
                <w:p w14:paraId="08FCF1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2362" w:type="pct"/>
                  <w:tcBorders>
                    <w:tl2br w:val="nil"/>
                    <w:tr2bl w:val="nil"/>
                  </w:tcBorders>
                  <w:vAlign w:val="center"/>
                </w:tcPr>
                <w:p w14:paraId="70F4D91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sz w:val="21"/>
                      <w:szCs w:val="21"/>
                      <w:shd w:val="clear" w:color="auto" w:fill="auto"/>
                    </w:rPr>
                    <w:t>RS-50燃气热风炉一座、RS-130燃气热风炉一座</w:t>
                  </w:r>
                </w:p>
              </w:tc>
            </w:tr>
            <w:tr w14:paraId="4ABC30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45D817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1395" w:type="pct"/>
                  <w:tcBorders>
                    <w:tl2br w:val="nil"/>
                    <w:tr2bl w:val="nil"/>
                  </w:tcBorders>
                  <w:vAlign w:val="center"/>
                </w:tcPr>
                <w:p w14:paraId="4C76CD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热风控制器</w:t>
                  </w:r>
                </w:p>
              </w:tc>
              <w:tc>
                <w:tcPr>
                  <w:tcW w:w="417" w:type="pct"/>
                  <w:tcBorders>
                    <w:tl2br w:val="nil"/>
                    <w:tr2bl w:val="nil"/>
                  </w:tcBorders>
                  <w:vAlign w:val="center"/>
                </w:tcPr>
                <w:p w14:paraId="5885C7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063683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151F989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集中控制方便操作</w:t>
                  </w:r>
                </w:p>
              </w:tc>
            </w:tr>
            <w:tr w14:paraId="3298F3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658B13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3</w:t>
                  </w:r>
                </w:p>
              </w:tc>
              <w:tc>
                <w:tcPr>
                  <w:tcW w:w="1395" w:type="pct"/>
                  <w:tcBorders>
                    <w:tl2br w:val="nil"/>
                    <w:tr2bl w:val="nil"/>
                  </w:tcBorders>
                  <w:vAlign w:val="center"/>
                </w:tcPr>
                <w:p w14:paraId="691840D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温控仪表</w:t>
                  </w:r>
                </w:p>
              </w:tc>
              <w:tc>
                <w:tcPr>
                  <w:tcW w:w="417" w:type="pct"/>
                  <w:tcBorders>
                    <w:tl2br w:val="nil"/>
                    <w:tr2bl w:val="nil"/>
                  </w:tcBorders>
                  <w:vAlign w:val="center"/>
                </w:tcPr>
                <w:p w14:paraId="5B8B67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04DE21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28A407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进口仪表传感器传输导线</w:t>
                  </w:r>
                </w:p>
              </w:tc>
            </w:tr>
            <w:tr w14:paraId="0147A6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5CF720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四、烘干部分</w:t>
                  </w:r>
                </w:p>
              </w:tc>
            </w:tr>
            <w:tr w14:paraId="5E78F7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4F1F5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325936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烘干机</w:t>
                  </w:r>
                </w:p>
              </w:tc>
              <w:tc>
                <w:tcPr>
                  <w:tcW w:w="417" w:type="pct"/>
                  <w:tcBorders>
                    <w:tl2br w:val="nil"/>
                    <w:tr2bl w:val="nil"/>
                  </w:tcBorders>
                  <w:vAlign w:val="center"/>
                </w:tcPr>
                <w:p w14:paraId="31540EE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3E4AB0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1B6ED1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中心传动11</w:t>
                  </w:r>
                  <w:r>
                    <w:rPr>
                      <w:rFonts w:hint="eastAsia" w:cs="Times New Roman"/>
                      <w:color w:val="000000"/>
                      <w:kern w:val="0"/>
                      <w:sz w:val="21"/>
                      <w:szCs w:val="21"/>
                      <w:shd w:val="clear" w:color="auto" w:fill="auto"/>
                      <w:lang w:eastAsia="zh-CN" w:bidi="ar"/>
                    </w:rPr>
                    <w:t>kW</w:t>
                  </w:r>
                </w:p>
              </w:tc>
            </w:tr>
            <w:tr w14:paraId="703ECE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A4E3B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1395" w:type="pct"/>
                  <w:tcBorders>
                    <w:tl2br w:val="nil"/>
                    <w:tr2bl w:val="nil"/>
                  </w:tcBorders>
                  <w:vAlign w:val="center"/>
                </w:tcPr>
                <w:p w14:paraId="78168DE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摩擦机</w:t>
                  </w:r>
                </w:p>
              </w:tc>
              <w:tc>
                <w:tcPr>
                  <w:tcW w:w="417" w:type="pct"/>
                  <w:tcBorders>
                    <w:tl2br w:val="nil"/>
                    <w:tr2bl w:val="nil"/>
                  </w:tcBorders>
                  <w:vAlign w:val="center"/>
                </w:tcPr>
                <w:p w14:paraId="47393B5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3FCA48B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2B754D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中心传动内部处理11</w:t>
                  </w:r>
                  <w:r>
                    <w:rPr>
                      <w:rFonts w:hint="eastAsia" w:cs="Times New Roman"/>
                      <w:color w:val="000000"/>
                      <w:kern w:val="0"/>
                      <w:sz w:val="21"/>
                      <w:szCs w:val="21"/>
                      <w:shd w:val="clear" w:color="auto" w:fill="auto"/>
                      <w:lang w:eastAsia="zh-CN" w:bidi="ar"/>
                    </w:rPr>
                    <w:t>kW</w:t>
                  </w:r>
                </w:p>
              </w:tc>
            </w:tr>
            <w:tr w14:paraId="356876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3A5253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3</w:t>
                  </w:r>
                </w:p>
              </w:tc>
              <w:tc>
                <w:tcPr>
                  <w:tcW w:w="1395" w:type="pct"/>
                  <w:tcBorders>
                    <w:tl2br w:val="nil"/>
                    <w:tr2bl w:val="nil"/>
                  </w:tcBorders>
                  <w:vAlign w:val="center"/>
                </w:tcPr>
                <w:p w14:paraId="309297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烘干风机</w:t>
                  </w:r>
                </w:p>
              </w:tc>
              <w:tc>
                <w:tcPr>
                  <w:tcW w:w="417" w:type="pct"/>
                  <w:tcBorders>
                    <w:tl2br w:val="nil"/>
                    <w:tr2bl w:val="nil"/>
                  </w:tcBorders>
                  <w:vAlign w:val="center"/>
                </w:tcPr>
                <w:p w14:paraId="56EA33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7700CC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6EE0A8E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种子加工专用风机11</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bidi="ar"/>
                    </w:rPr>
                    <w:t xml:space="preserve"> </w:t>
                  </w:r>
                </w:p>
              </w:tc>
            </w:tr>
            <w:tr w14:paraId="27F7A0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6DE518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4</w:t>
                  </w:r>
                </w:p>
              </w:tc>
              <w:tc>
                <w:tcPr>
                  <w:tcW w:w="1395" w:type="pct"/>
                  <w:tcBorders>
                    <w:tl2br w:val="nil"/>
                    <w:tr2bl w:val="nil"/>
                  </w:tcBorders>
                  <w:vAlign w:val="center"/>
                </w:tcPr>
                <w:p w14:paraId="7FCA6B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摩擦风机</w:t>
                  </w:r>
                </w:p>
              </w:tc>
              <w:tc>
                <w:tcPr>
                  <w:tcW w:w="417" w:type="pct"/>
                  <w:tcBorders>
                    <w:tl2br w:val="nil"/>
                    <w:tr2bl w:val="nil"/>
                  </w:tcBorders>
                  <w:vAlign w:val="center"/>
                </w:tcPr>
                <w:p w14:paraId="2CBA57F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17C8FC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7803311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种子加工专用风机11</w:t>
                  </w:r>
                  <w:r>
                    <w:rPr>
                      <w:rFonts w:hint="eastAsia" w:cs="Times New Roman"/>
                      <w:color w:val="000000"/>
                      <w:kern w:val="0"/>
                      <w:sz w:val="21"/>
                      <w:szCs w:val="21"/>
                      <w:shd w:val="clear" w:color="auto" w:fill="auto"/>
                      <w:lang w:eastAsia="zh-CN" w:bidi="ar"/>
                    </w:rPr>
                    <w:t>kW</w:t>
                  </w:r>
                </w:p>
              </w:tc>
            </w:tr>
            <w:tr w14:paraId="1372C20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43A0A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5</w:t>
                  </w:r>
                </w:p>
              </w:tc>
              <w:tc>
                <w:tcPr>
                  <w:tcW w:w="1395" w:type="pct"/>
                  <w:tcBorders>
                    <w:tl2br w:val="nil"/>
                    <w:tr2bl w:val="nil"/>
                  </w:tcBorders>
                  <w:vAlign w:val="center"/>
                </w:tcPr>
                <w:p w14:paraId="79767C8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液压升降装置</w:t>
                  </w:r>
                </w:p>
              </w:tc>
              <w:tc>
                <w:tcPr>
                  <w:tcW w:w="417" w:type="pct"/>
                  <w:tcBorders>
                    <w:tl2br w:val="nil"/>
                    <w:tr2bl w:val="nil"/>
                  </w:tcBorders>
                  <w:vAlign w:val="center"/>
                </w:tcPr>
                <w:p w14:paraId="0D3FC87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474307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2</w:t>
                  </w:r>
                </w:p>
              </w:tc>
              <w:tc>
                <w:tcPr>
                  <w:tcW w:w="2362" w:type="pct"/>
                  <w:tcBorders>
                    <w:tl2br w:val="nil"/>
                    <w:tr2bl w:val="nil"/>
                  </w:tcBorders>
                  <w:vAlign w:val="center"/>
                </w:tcPr>
                <w:p w14:paraId="4D7E281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1.5</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bidi="ar"/>
                    </w:rPr>
                    <w:t>×2台</w:t>
                  </w:r>
                </w:p>
              </w:tc>
            </w:tr>
            <w:tr w14:paraId="14B4E3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3787DF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五、精选部分</w:t>
                  </w:r>
                </w:p>
              </w:tc>
            </w:tr>
            <w:tr w14:paraId="4D635F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56A305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6C56C8B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抛光机</w:t>
                  </w:r>
                </w:p>
              </w:tc>
              <w:tc>
                <w:tcPr>
                  <w:tcW w:w="417" w:type="pct"/>
                  <w:tcBorders>
                    <w:tl2br w:val="nil"/>
                    <w:tr2bl w:val="nil"/>
                  </w:tcBorders>
                  <w:vAlign w:val="center"/>
                </w:tcPr>
                <w:p w14:paraId="10787C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7F52D0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42F0F0C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含控制柜</w:t>
                  </w:r>
                </w:p>
              </w:tc>
            </w:tr>
            <w:tr w14:paraId="6AE7A1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396D1C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2</w:t>
                  </w:r>
                </w:p>
              </w:tc>
              <w:tc>
                <w:tcPr>
                  <w:tcW w:w="1395" w:type="pct"/>
                  <w:tcBorders>
                    <w:tl2br w:val="nil"/>
                    <w:tr2bl w:val="nil"/>
                  </w:tcBorders>
                  <w:vAlign w:val="center"/>
                </w:tcPr>
                <w:p w14:paraId="221F27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抛光机风机管道</w:t>
                  </w:r>
                </w:p>
              </w:tc>
              <w:tc>
                <w:tcPr>
                  <w:tcW w:w="417" w:type="pct"/>
                  <w:tcBorders>
                    <w:tl2br w:val="nil"/>
                    <w:tr2bl w:val="nil"/>
                  </w:tcBorders>
                  <w:vAlign w:val="center"/>
                </w:tcPr>
                <w:p w14:paraId="0F4B84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套</w:t>
                  </w:r>
                </w:p>
              </w:tc>
              <w:tc>
                <w:tcPr>
                  <w:tcW w:w="417" w:type="pct"/>
                  <w:tcBorders>
                    <w:tl2br w:val="nil"/>
                    <w:tr2bl w:val="nil"/>
                  </w:tcBorders>
                  <w:vAlign w:val="center"/>
                </w:tcPr>
                <w:p w14:paraId="65505F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7641DD0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含风机除尘管道</w:t>
                  </w:r>
                </w:p>
              </w:tc>
            </w:tr>
            <w:tr w14:paraId="623DFF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52190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3</w:t>
                  </w:r>
                </w:p>
              </w:tc>
              <w:tc>
                <w:tcPr>
                  <w:tcW w:w="1395" w:type="pct"/>
                  <w:tcBorders>
                    <w:tl2br w:val="nil"/>
                    <w:tr2bl w:val="nil"/>
                  </w:tcBorders>
                  <w:vAlign w:val="center"/>
                </w:tcPr>
                <w:p w14:paraId="73B57F5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风筛选</w:t>
                  </w:r>
                </w:p>
              </w:tc>
              <w:tc>
                <w:tcPr>
                  <w:tcW w:w="417" w:type="pct"/>
                  <w:tcBorders>
                    <w:tl2br w:val="nil"/>
                    <w:tr2bl w:val="nil"/>
                  </w:tcBorders>
                  <w:vAlign w:val="center"/>
                </w:tcPr>
                <w:p w14:paraId="1D811AA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53D838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1E3E0BF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eastAsia="zh-CN"/>
                    </w:rPr>
                  </w:pPr>
                  <w:r>
                    <w:rPr>
                      <w:rFonts w:hint="default" w:ascii="Times New Roman" w:hAnsi="Times New Roman" w:eastAsia="宋体" w:cs="Times New Roman"/>
                      <w:color w:val="000000"/>
                      <w:kern w:val="0"/>
                      <w:sz w:val="21"/>
                      <w:szCs w:val="21"/>
                      <w:shd w:val="clear" w:color="auto" w:fill="auto"/>
                      <w:lang w:bidi="ar"/>
                    </w:rPr>
                    <w:t>仿丹麦机型</w:t>
                  </w:r>
                  <w:r>
                    <w:rPr>
                      <w:rFonts w:hint="default" w:ascii="Times New Roman" w:hAnsi="Times New Roman" w:eastAsia="宋体" w:cs="Times New Roman"/>
                      <w:color w:val="000000"/>
                      <w:kern w:val="0"/>
                      <w:sz w:val="21"/>
                      <w:szCs w:val="21"/>
                      <w:shd w:val="clear" w:color="auto" w:fill="auto"/>
                      <w:lang w:eastAsia="zh-CN" w:bidi="ar"/>
                    </w:rPr>
                    <w:t>（</w:t>
                  </w:r>
                  <w:r>
                    <w:rPr>
                      <w:rFonts w:hint="default" w:ascii="Times New Roman" w:hAnsi="Times New Roman" w:eastAsia="宋体" w:cs="Times New Roman"/>
                      <w:color w:val="000000"/>
                      <w:kern w:val="0"/>
                      <w:sz w:val="21"/>
                      <w:szCs w:val="21"/>
                      <w:shd w:val="clear" w:color="auto" w:fill="auto"/>
                      <w:lang w:bidi="ar"/>
                    </w:rPr>
                    <w:t>含通风除尘管道</w:t>
                  </w:r>
                  <w:r>
                    <w:rPr>
                      <w:rFonts w:hint="default" w:ascii="Times New Roman" w:hAnsi="Times New Roman" w:eastAsia="宋体" w:cs="Times New Roman"/>
                      <w:color w:val="000000"/>
                      <w:kern w:val="0"/>
                      <w:sz w:val="21"/>
                      <w:szCs w:val="21"/>
                      <w:shd w:val="clear" w:color="auto" w:fill="auto"/>
                      <w:lang w:eastAsia="zh-CN" w:bidi="ar"/>
                    </w:rPr>
                    <w:t>）</w:t>
                  </w:r>
                </w:p>
              </w:tc>
            </w:tr>
            <w:tr w14:paraId="64C84A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0401C4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4</w:t>
                  </w:r>
                </w:p>
              </w:tc>
              <w:tc>
                <w:tcPr>
                  <w:tcW w:w="1395" w:type="pct"/>
                  <w:tcBorders>
                    <w:tl2br w:val="nil"/>
                    <w:tr2bl w:val="nil"/>
                  </w:tcBorders>
                  <w:vAlign w:val="center"/>
                </w:tcPr>
                <w:p w14:paraId="21C5D25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比重选</w:t>
                  </w:r>
                </w:p>
              </w:tc>
              <w:tc>
                <w:tcPr>
                  <w:tcW w:w="417" w:type="pct"/>
                  <w:tcBorders>
                    <w:tl2br w:val="nil"/>
                    <w:tr2bl w:val="nil"/>
                  </w:tcBorders>
                  <w:vAlign w:val="center"/>
                </w:tcPr>
                <w:p w14:paraId="4E178DA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0A9CC7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6F3524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eastAsia="zh-CN"/>
                    </w:rPr>
                  </w:pPr>
                  <w:r>
                    <w:rPr>
                      <w:rFonts w:hint="default" w:ascii="Times New Roman" w:hAnsi="Times New Roman" w:eastAsia="宋体" w:cs="Times New Roman"/>
                      <w:color w:val="000000"/>
                      <w:kern w:val="0"/>
                      <w:sz w:val="21"/>
                      <w:szCs w:val="21"/>
                      <w:shd w:val="clear" w:color="auto" w:fill="auto"/>
                      <w:lang w:bidi="ar"/>
                    </w:rPr>
                    <w:t>仿美国机犁</w:t>
                  </w:r>
                  <w:r>
                    <w:rPr>
                      <w:rFonts w:hint="default" w:ascii="Times New Roman" w:hAnsi="Times New Roman" w:eastAsia="宋体" w:cs="Times New Roman"/>
                      <w:color w:val="000000"/>
                      <w:kern w:val="0"/>
                      <w:sz w:val="21"/>
                      <w:szCs w:val="21"/>
                      <w:shd w:val="clear" w:color="auto" w:fill="auto"/>
                      <w:lang w:eastAsia="zh-CN" w:bidi="ar"/>
                    </w:rPr>
                    <w:t>（</w:t>
                  </w:r>
                  <w:r>
                    <w:rPr>
                      <w:rFonts w:hint="default" w:ascii="Times New Roman" w:hAnsi="Times New Roman" w:eastAsia="宋体" w:cs="Times New Roman"/>
                      <w:color w:val="000000"/>
                      <w:kern w:val="0"/>
                      <w:sz w:val="21"/>
                      <w:szCs w:val="21"/>
                      <w:shd w:val="clear" w:color="auto" w:fill="auto"/>
                      <w:lang w:bidi="ar"/>
                    </w:rPr>
                    <w:t>含通风除尘管道</w:t>
                  </w:r>
                  <w:r>
                    <w:rPr>
                      <w:rFonts w:hint="default" w:ascii="Times New Roman" w:hAnsi="Times New Roman" w:eastAsia="宋体" w:cs="Times New Roman"/>
                      <w:color w:val="000000"/>
                      <w:kern w:val="0"/>
                      <w:sz w:val="21"/>
                      <w:szCs w:val="21"/>
                      <w:shd w:val="clear" w:color="auto" w:fill="auto"/>
                      <w:lang w:eastAsia="zh-CN" w:bidi="ar"/>
                    </w:rPr>
                    <w:t>）</w:t>
                  </w:r>
                </w:p>
              </w:tc>
            </w:tr>
            <w:tr w14:paraId="5676A5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7E27BE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kern w:val="21"/>
                      <w:sz w:val="21"/>
                      <w:szCs w:val="21"/>
                      <w:shd w:val="clear" w:color="auto" w:fill="auto"/>
                      <w:lang w:val="en-US" w:eastAsia="zh-CN"/>
                    </w:rPr>
                  </w:pPr>
                  <w:r>
                    <w:rPr>
                      <w:rFonts w:hint="eastAsia" w:cs="Times New Roman"/>
                      <w:kern w:val="21"/>
                      <w:sz w:val="21"/>
                      <w:szCs w:val="21"/>
                      <w:shd w:val="clear" w:color="auto" w:fill="auto"/>
                      <w:lang w:val="en-US" w:eastAsia="zh-CN"/>
                    </w:rPr>
                    <w:t>5</w:t>
                  </w:r>
                </w:p>
              </w:tc>
              <w:tc>
                <w:tcPr>
                  <w:tcW w:w="1395" w:type="pct"/>
                  <w:tcBorders>
                    <w:tl2br w:val="nil"/>
                    <w:tr2bl w:val="nil"/>
                  </w:tcBorders>
                  <w:vAlign w:val="center"/>
                </w:tcPr>
                <w:p w14:paraId="1548EB3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色选机</w:t>
                  </w:r>
                </w:p>
              </w:tc>
              <w:tc>
                <w:tcPr>
                  <w:tcW w:w="655" w:type="dxa"/>
                  <w:tcBorders>
                    <w:tl2br w:val="nil"/>
                    <w:tr2bl w:val="nil"/>
                  </w:tcBorders>
                  <w:vAlign w:val="center"/>
                </w:tcPr>
                <w:p w14:paraId="1D8E6E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台</w:t>
                  </w:r>
                </w:p>
              </w:tc>
              <w:tc>
                <w:tcPr>
                  <w:tcW w:w="655" w:type="dxa"/>
                  <w:tcBorders>
                    <w:tl2br w:val="nil"/>
                    <w:tr2bl w:val="nil"/>
                  </w:tcBorders>
                  <w:vAlign w:val="center"/>
                </w:tcPr>
                <w:p w14:paraId="29C8AF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74CDA1A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含空压机、储气罐平台料仓等</w:t>
                  </w:r>
                </w:p>
              </w:tc>
            </w:tr>
            <w:tr w14:paraId="4E9D0C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2B84CA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kern w:val="21"/>
                      <w:sz w:val="21"/>
                      <w:szCs w:val="21"/>
                      <w:shd w:val="clear" w:color="auto" w:fill="auto"/>
                      <w:lang w:val="en-US" w:eastAsia="zh-CN"/>
                    </w:rPr>
                  </w:pPr>
                  <w:r>
                    <w:rPr>
                      <w:rFonts w:hint="eastAsia" w:cs="Times New Roman"/>
                      <w:kern w:val="21"/>
                      <w:sz w:val="21"/>
                      <w:szCs w:val="21"/>
                      <w:shd w:val="clear" w:color="auto" w:fill="auto"/>
                      <w:lang w:val="en-US" w:eastAsia="zh-CN"/>
                    </w:rPr>
                    <w:t>6</w:t>
                  </w:r>
                </w:p>
              </w:tc>
              <w:tc>
                <w:tcPr>
                  <w:tcW w:w="1395" w:type="pct"/>
                  <w:tcBorders>
                    <w:tl2br w:val="nil"/>
                    <w:tr2bl w:val="nil"/>
                  </w:tcBorders>
                  <w:vAlign w:val="center"/>
                </w:tcPr>
                <w:p w14:paraId="5BD4675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磁选机</w:t>
                  </w:r>
                </w:p>
              </w:tc>
              <w:tc>
                <w:tcPr>
                  <w:tcW w:w="655" w:type="dxa"/>
                  <w:tcBorders>
                    <w:tl2br w:val="nil"/>
                    <w:tr2bl w:val="nil"/>
                  </w:tcBorders>
                  <w:vAlign w:val="center"/>
                </w:tcPr>
                <w:p w14:paraId="179D32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台</w:t>
                  </w:r>
                </w:p>
              </w:tc>
              <w:tc>
                <w:tcPr>
                  <w:tcW w:w="655" w:type="dxa"/>
                  <w:tcBorders>
                    <w:tl2br w:val="nil"/>
                    <w:tr2bl w:val="nil"/>
                  </w:tcBorders>
                  <w:vAlign w:val="center"/>
                </w:tcPr>
                <w:p w14:paraId="1C64DD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059C3E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含1.5</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bidi="ar"/>
                    </w:rPr>
                    <w:t>风机除尘管道</w:t>
                  </w:r>
                </w:p>
              </w:tc>
            </w:tr>
            <w:tr w14:paraId="42F6E5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3A3E22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kern w:val="21"/>
                      <w:sz w:val="21"/>
                      <w:szCs w:val="21"/>
                      <w:shd w:val="clear" w:color="auto" w:fill="auto"/>
                      <w:lang w:eastAsia="zh-CN"/>
                    </w:rPr>
                  </w:pPr>
                  <w:r>
                    <w:rPr>
                      <w:rFonts w:hint="eastAsia" w:cs="Times New Roman"/>
                      <w:kern w:val="21"/>
                      <w:sz w:val="21"/>
                      <w:szCs w:val="21"/>
                      <w:shd w:val="clear" w:color="auto" w:fill="auto"/>
                      <w:lang w:val="en-US" w:eastAsia="zh-CN"/>
                    </w:rPr>
                    <w:t>7</w:t>
                  </w:r>
                </w:p>
              </w:tc>
              <w:tc>
                <w:tcPr>
                  <w:tcW w:w="1395" w:type="pct"/>
                  <w:tcBorders>
                    <w:tl2br w:val="nil"/>
                    <w:tr2bl w:val="nil"/>
                  </w:tcBorders>
                  <w:vAlign w:val="center"/>
                </w:tcPr>
                <w:p w14:paraId="017006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包衣机</w:t>
                  </w:r>
                </w:p>
              </w:tc>
              <w:tc>
                <w:tcPr>
                  <w:tcW w:w="417" w:type="pct"/>
                  <w:tcBorders>
                    <w:tl2br w:val="nil"/>
                    <w:tr2bl w:val="nil"/>
                  </w:tcBorders>
                  <w:vAlign w:val="center"/>
                </w:tcPr>
                <w:p w14:paraId="6A02FD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5AC15A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1E21B6E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北京峰途</w:t>
                  </w:r>
                </w:p>
              </w:tc>
            </w:tr>
            <w:tr w14:paraId="56A7DC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5C2FBF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六、包装部分</w:t>
                  </w:r>
                </w:p>
              </w:tc>
            </w:tr>
            <w:tr w14:paraId="2F2612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407" w:type="pct"/>
                  <w:tcBorders>
                    <w:tl2br w:val="nil"/>
                    <w:tr2bl w:val="nil"/>
                  </w:tcBorders>
                  <w:vAlign w:val="center"/>
                </w:tcPr>
                <w:p w14:paraId="000223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1395" w:type="pct"/>
                  <w:tcBorders>
                    <w:tl2br w:val="nil"/>
                    <w:tr2bl w:val="nil"/>
                  </w:tcBorders>
                  <w:vAlign w:val="center"/>
                </w:tcPr>
                <w:p w14:paraId="63BF5A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eastAsia="zh-CN"/>
                    </w:rPr>
                  </w:pPr>
                  <w:r>
                    <w:rPr>
                      <w:rFonts w:hint="default" w:ascii="Times New Roman" w:hAnsi="Times New Roman" w:eastAsia="宋体" w:cs="Times New Roman"/>
                      <w:color w:val="000000"/>
                      <w:kern w:val="0"/>
                      <w:sz w:val="21"/>
                      <w:szCs w:val="21"/>
                      <w:shd w:val="clear" w:color="auto" w:fill="auto"/>
                      <w:lang w:eastAsia="zh-CN" w:bidi="ar"/>
                    </w:rPr>
                    <w:t>电子秤</w:t>
                  </w:r>
                </w:p>
              </w:tc>
              <w:tc>
                <w:tcPr>
                  <w:tcW w:w="417" w:type="pct"/>
                  <w:tcBorders>
                    <w:tl2br w:val="nil"/>
                    <w:tr2bl w:val="nil"/>
                  </w:tcBorders>
                  <w:vAlign w:val="center"/>
                </w:tcPr>
                <w:p w14:paraId="356808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792948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1"/>
                      <w:sz w:val="21"/>
                      <w:szCs w:val="21"/>
                      <w:shd w:val="clear" w:color="auto" w:fill="auto"/>
                    </w:rPr>
                  </w:pPr>
                  <w:r>
                    <w:rPr>
                      <w:rFonts w:hint="default" w:ascii="Times New Roman" w:hAnsi="Times New Roman" w:eastAsia="宋体" w:cs="Times New Roman"/>
                      <w:kern w:val="21"/>
                      <w:sz w:val="21"/>
                      <w:szCs w:val="21"/>
                      <w:shd w:val="clear" w:color="auto" w:fill="auto"/>
                    </w:rPr>
                    <w:t>1</w:t>
                  </w:r>
                </w:p>
              </w:tc>
              <w:tc>
                <w:tcPr>
                  <w:tcW w:w="2362" w:type="pct"/>
                  <w:tcBorders>
                    <w:tl2br w:val="nil"/>
                    <w:tr2bl w:val="nil"/>
                  </w:tcBorders>
                  <w:vAlign w:val="center"/>
                </w:tcPr>
                <w:p w14:paraId="3502A9B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1"/>
                      <w:sz w:val="21"/>
                      <w:szCs w:val="21"/>
                      <w:shd w:val="clear" w:color="auto" w:fill="auto"/>
                      <w:lang w:eastAsia="zh-CN"/>
                    </w:rPr>
                  </w:pPr>
                  <w:r>
                    <w:rPr>
                      <w:rFonts w:hint="default" w:ascii="Times New Roman" w:hAnsi="Times New Roman" w:eastAsia="宋体" w:cs="Times New Roman"/>
                      <w:color w:val="000000"/>
                      <w:kern w:val="0"/>
                      <w:sz w:val="21"/>
                      <w:szCs w:val="21"/>
                      <w:shd w:val="clear" w:color="auto" w:fill="auto"/>
                      <w:lang w:bidi="ar"/>
                    </w:rPr>
                    <w:t>科虹</w:t>
                  </w:r>
                  <w:r>
                    <w:rPr>
                      <w:rFonts w:hint="default" w:ascii="Times New Roman" w:hAnsi="Times New Roman" w:eastAsia="宋体" w:cs="Times New Roman"/>
                      <w:color w:val="000000"/>
                      <w:kern w:val="0"/>
                      <w:sz w:val="21"/>
                      <w:szCs w:val="21"/>
                      <w:shd w:val="clear" w:color="auto" w:fill="auto"/>
                      <w:lang w:eastAsia="zh-CN" w:bidi="ar"/>
                    </w:rPr>
                    <w:t>电子秤</w:t>
                  </w:r>
                </w:p>
              </w:tc>
            </w:tr>
            <w:tr w14:paraId="7E4D6A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6ED8DB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bottom"/>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2</w:t>
                  </w:r>
                </w:p>
              </w:tc>
              <w:tc>
                <w:tcPr>
                  <w:tcW w:w="1395" w:type="pct"/>
                  <w:tcBorders>
                    <w:tl2br w:val="nil"/>
                    <w:tr2bl w:val="nil"/>
                  </w:tcBorders>
                  <w:vAlign w:val="center"/>
                </w:tcPr>
                <w:p w14:paraId="5E36AE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自动</w:t>
                  </w:r>
                  <w:r>
                    <w:rPr>
                      <w:rFonts w:hint="default" w:ascii="Times New Roman" w:hAnsi="Times New Roman" w:eastAsia="宋体" w:cs="Times New Roman"/>
                      <w:color w:val="000000"/>
                      <w:kern w:val="0"/>
                      <w:sz w:val="21"/>
                      <w:szCs w:val="21"/>
                      <w:shd w:val="clear" w:color="auto" w:fill="auto"/>
                      <w:lang w:eastAsia="zh-CN" w:bidi="ar"/>
                    </w:rPr>
                    <w:t>封</w:t>
                  </w:r>
                  <w:r>
                    <w:rPr>
                      <w:rFonts w:hint="default" w:ascii="Times New Roman" w:hAnsi="Times New Roman" w:eastAsia="宋体" w:cs="Times New Roman"/>
                      <w:color w:val="000000"/>
                      <w:kern w:val="0"/>
                      <w:sz w:val="21"/>
                      <w:szCs w:val="21"/>
                      <w:shd w:val="clear" w:color="auto" w:fill="auto"/>
                      <w:lang w:bidi="ar"/>
                    </w:rPr>
                    <w:t>包输送机</w:t>
                  </w:r>
                </w:p>
              </w:tc>
              <w:tc>
                <w:tcPr>
                  <w:tcW w:w="417" w:type="pct"/>
                  <w:tcBorders>
                    <w:tl2br w:val="nil"/>
                    <w:tr2bl w:val="nil"/>
                  </w:tcBorders>
                  <w:vAlign w:val="center"/>
                </w:tcPr>
                <w:p w14:paraId="6BE218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09A8CDC2">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1</w:t>
                  </w:r>
                </w:p>
              </w:tc>
              <w:tc>
                <w:tcPr>
                  <w:tcW w:w="2362" w:type="pct"/>
                  <w:tcBorders>
                    <w:tl2br w:val="nil"/>
                    <w:tr2bl w:val="nil"/>
                  </w:tcBorders>
                  <w:vAlign w:val="center"/>
                </w:tcPr>
                <w:p w14:paraId="451DAA7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1.5</w:t>
                  </w:r>
                  <w:r>
                    <w:rPr>
                      <w:rFonts w:hint="eastAsia" w:cs="Times New Roman"/>
                      <w:color w:val="000000"/>
                      <w:kern w:val="0"/>
                      <w:sz w:val="21"/>
                      <w:szCs w:val="21"/>
                      <w:shd w:val="clear" w:color="auto" w:fill="auto"/>
                      <w:lang w:eastAsia="zh-CN" w:bidi="ar"/>
                    </w:rPr>
                    <w:t>kW</w:t>
                  </w:r>
                </w:p>
              </w:tc>
            </w:tr>
            <w:tr w14:paraId="3EC24E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67BC43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bottom"/>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3</w:t>
                  </w:r>
                </w:p>
              </w:tc>
              <w:tc>
                <w:tcPr>
                  <w:tcW w:w="1395" w:type="pct"/>
                  <w:tcBorders>
                    <w:tl2br w:val="nil"/>
                    <w:tr2bl w:val="nil"/>
                  </w:tcBorders>
                  <w:vAlign w:val="center"/>
                </w:tcPr>
                <w:p w14:paraId="2A43DC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成品料仓</w:t>
                  </w:r>
                </w:p>
              </w:tc>
              <w:tc>
                <w:tcPr>
                  <w:tcW w:w="417" w:type="pct"/>
                  <w:tcBorders>
                    <w:tl2br w:val="nil"/>
                    <w:tr2bl w:val="nil"/>
                  </w:tcBorders>
                  <w:vAlign w:val="center"/>
                </w:tcPr>
                <w:p w14:paraId="1631EB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件</w:t>
                  </w:r>
                </w:p>
              </w:tc>
              <w:tc>
                <w:tcPr>
                  <w:tcW w:w="417" w:type="pct"/>
                  <w:tcBorders>
                    <w:tl2br w:val="nil"/>
                    <w:tr2bl w:val="nil"/>
                  </w:tcBorders>
                  <w:vAlign w:val="center"/>
                </w:tcPr>
                <w:p w14:paraId="0CC3708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1</w:t>
                  </w:r>
                </w:p>
              </w:tc>
              <w:tc>
                <w:tcPr>
                  <w:tcW w:w="2362" w:type="pct"/>
                  <w:tcBorders>
                    <w:tl2br w:val="nil"/>
                    <w:tr2bl w:val="nil"/>
                  </w:tcBorders>
                  <w:vAlign w:val="center"/>
                </w:tcPr>
                <w:p w14:paraId="2D34DB4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w:t>
                  </w:r>
                </w:p>
              </w:tc>
            </w:tr>
            <w:tr w14:paraId="085EEE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1591C11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七、输送部分</w:t>
                  </w:r>
                </w:p>
              </w:tc>
            </w:tr>
            <w:tr w14:paraId="420E47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33EAB1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bottom"/>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1</w:t>
                  </w:r>
                </w:p>
              </w:tc>
              <w:tc>
                <w:tcPr>
                  <w:tcW w:w="1395" w:type="pct"/>
                  <w:tcBorders>
                    <w:tl2br w:val="nil"/>
                    <w:tr2bl w:val="nil"/>
                  </w:tcBorders>
                  <w:vAlign w:val="center"/>
                </w:tcPr>
                <w:p w14:paraId="07D80C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皮带输送机</w:t>
                  </w:r>
                </w:p>
              </w:tc>
              <w:tc>
                <w:tcPr>
                  <w:tcW w:w="417" w:type="pct"/>
                  <w:tcBorders>
                    <w:tl2br w:val="nil"/>
                    <w:tr2bl w:val="nil"/>
                  </w:tcBorders>
                  <w:vAlign w:val="center"/>
                </w:tcPr>
                <w:p w14:paraId="0A5ADD1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7AB08D89">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1</w:t>
                  </w:r>
                </w:p>
              </w:tc>
              <w:tc>
                <w:tcPr>
                  <w:tcW w:w="2362" w:type="pct"/>
                  <w:tcBorders>
                    <w:tl2br w:val="nil"/>
                    <w:tr2bl w:val="nil"/>
                  </w:tcBorders>
                  <w:vAlign w:val="center"/>
                </w:tcPr>
                <w:p w14:paraId="525D1AC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离心机至烘干机1.5</w:t>
                  </w:r>
                  <w:r>
                    <w:rPr>
                      <w:rFonts w:hint="eastAsia" w:cs="Times New Roman"/>
                      <w:color w:val="000000"/>
                      <w:kern w:val="0"/>
                      <w:sz w:val="21"/>
                      <w:szCs w:val="21"/>
                      <w:shd w:val="clear" w:color="auto" w:fill="auto"/>
                      <w:lang w:eastAsia="zh-CN" w:bidi="ar"/>
                    </w:rPr>
                    <w:t>kW</w:t>
                  </w:r>
                </w:p>
              </w:tc>
            </w:tr>
            <w:tr w14:paraId="3D606C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532D03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bottom"/>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2</w:t>
                  </w:r>
                </w:p>
              </w:tc>
              <w:tc>
                <w:tcPr>
                  <w:tcW w:w="1395" w:type="pct"/>
                  <w:tcBorders>
                    <w:tl2br w:val="nil"/>
                    <w:tr2bl w:val="nil"/>
                  </w:tcBorders>
                  <w:vAlign w:val="center"/>
                </w:tcPr>
                <w:p w14:paraId="7460EF1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斗式提升机</w:t>
                  </w:r>
                </w:p>
              </w:tc>
              <w:tc>
                <w:tcPr>
                  <w:tcW w:w="417" w:type="pct"/>
                  <w:tcBorders>
                    <w:tl2br w:val="nil"/>
                    <w:tr2bl w:val="nil"/>
                  </w:tcBorders>
                  <w:vAlign w:val="center"/>
                </w:tcPr>
                <w:p w14:paraId="3F7C08B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台</w:t>
                  </w:r>
                </w:p>
              </w:tc>
              <w:tc>
                <w:tcPr>
                  <w:tcW w:w="417" w:type="pct"/>
                  <w:tcBorders>
                    <w:tl2br w:val="nil"/>
                    <w:tr2bl w:val="nil"/>
                  </w:tcBorders>
                  <w:vAlign w:val="center"/>
                </w:tcPr>
                <w:p w14:paraId="5A0E485E">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10</w:t>
                  </w:r>
                </w:p>
              </w:tc>
              <w:tc>
                <w:tcPr>
                  <w:tcW w:w="2362" w:type="pct"/>
                  <w:tcBorders>
                    <w:tl2br w:val="nil"/>
                    <w:tr2bl w:val="nil"/>
                  </w:tcBorders>
                  <w:vAlign w:val="center"/>
                </w:tcPr>
                <w:p w14:paraId="7B860B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低速无破损1.5</w:t>
                  </w:r>
                  <w:r>
                    <w:rPr>
                      <w:rFonts w:hint="eastAsia" w:cs="Times New Roman"/>
                      <w:color w:val="000000"/>
                      <w:kern w:val="0"/>
                      <w:sz w:val="21"/>
                      <w:szCs w:val="21"/>
                      <w:shd w:val="clear" w:color="auto" w:fill="auto"/>
                      <w:lang w:eastAsia="zh-CN" w:bidi="ar"/>
                    </w:rPr>
                    <w:t>kW</w:t>
                  </w:r>
                  <w:r>
                    <w:rPr>
                      <w:rFonts w:hint="default" w:ascii="Times New Roman" w:hAnsi="Times New Roman" w:eastAsia="宋体" w:cs="Times New Roman"/>
                      <w:color w:val="000000"/>
                      <w:kern w:val="0"/>
                      <w:sz w:val="21"/>
                      <w:szCs w:val="21"/>
                      <w:shd w:val="clear" w:color="auto" w:fill="auto"/>
                      <w:lang w:bidi="ar"/>
                    </w:rPr>
                    <w:t>*7台</w:t>
                  </w:r>
                </w:p>
              </w:tc>
            </w:tr>
            <w:tr w14:paraId="5B18DD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7" w:type="pct"/>
                  <w:tcBorders>
                    <w:tl2br w:val="nil"/>
                    <w:tr2bl w:val="nil"/>
                  </w:tcBorders>
                  <w:vAlign w:val="center"/>
                </w:tcPr>
                <w:p w14:paraId="6C83052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bottom"/>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sz w:val="21"/>
                      <w:szCs w:val="21"/>
                      <w:shd w:val="clear" w:color="auto" w:fill="auto"/>
                    </w:rPr>
                    <w:t>3</w:t>
                  </w:r>
                </w:p>
              </w:tc>
              <w:tc>
                <w:tcPr>
                  <w:tcW w:w="1395" w:type="pct"/>
                  <w:tcBorders>
                    <w:tl2br w:val="nil"/>
                    <w:tr2bl w:val="nil"/>
                  </w:tcBorders>
                  <w:vAlign w:val="center"/>
                </w:tcPr>
                <w:p w14:paraId="12A982C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提升机溜管</w:t>
                  </w:r>
                </w:p>
              </w:tc>
              <w:tc>
                <w:tcPr>
                  <w:tcW w:w="417" w:type="pct"/>
                  <w:tcBorders>
                    <w:tl2br w:val="nil"/>
                    <w:tr2bl w:val="nil"/>
                  </w:tcBorders>
                  <w:vAlign w:val="center"/>
                </w:tcPr>
                <w:p w14:paraId="6652734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米</w:t>
                  </w:r>
                </w:p>
              </w:tc>
              <w:tc>
                <w:tcPr>
                  <w:tcW w:w="417" w:type="pct"/>
                  <w:tcBorders>
                    <w:tl2br w:val="nil"/>
                    <w:tr2bl w:val="nil"/>
                  </w:tcBorders>
                  <w:vAlign w:val="center"/>
                </w:tcPr>
                <w:p w14:paraId="400C41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90</w:t>
                  </w:r>
                </w:p>
              </w:tc>
              <w:tc>
                <w:tcPr>
                  <w:tcW w:w="2362" w:type="pct"/>
                  <w:tcBorders>
                    <w:tl2br w:val="nil"/>
                    <w:tr2bl w:val="nil"/>
                  </w:tcBorders>
                  <w:vAlign w:val="center"/>
                </w:tcPr>
                <w:p w14:paraId="30EB4D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shd w:val="clear" w:color="auto" w:fill="auto"/>
                    </w:rPr>
                  </w:pPr>
                  <w:r>
                    <w:rPr>
                      <w:rFonts w:hint="default" w:ascii="Times New Roman" w:hAnsi="Times New Roman" w:eastAsia="宋体" w:cs="Times New Roman"/>
                      <w:color w:val="000000"/>
                      <w:kern w:val="0"/>
                      <w:sz w:val="21"/>
                      <w:szCs w:val="21"/>
                      <w:shd w:val="clear" w:color="auto" w:fill="auto"/>
                      <w:lang w:bidi="ar"/>
                    </w:rPr>
                    <w:t>0.75镀锌板</w:t>
                  </w:r>
                </w:p>
              </w:tc>
            </w:tr>
            <w:tr w14:paraId="495453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vAlign w:val="center"/>
                </w:tcPr>
                <w:p w14:paraId="0AEF48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b/>
                      <w:bCs/>
                      <w:color w:val="000000"/>
                      <w:kern w:val="0"/>
                      <w:sz w:val="21"/>
                      <w:szCs w:val="21"/>
                      <w:shd w:val="clear" w:color="auto" w:fill="auto"/>
                      <w:lang w:bidi="ar"/>
                    </w:rPr>
                  </w:pPr>
                  <w:r>
                    <w:rPr>
                      <w:rFonts w:hint="eastAsia" w:ascii="Times New Roman" w:hAnsi="Times New Roman" w:eastAsia="宋体" w:cs="Times New Roman"/>
                      <w:sz w:val="21"/>
                      <w:szCs w:val="21"/>
                      <w:shd w:val="clear" w:color="auto" w:fill="auto"/>
                      <w:lang w:val="en-US" w:eastAsia="zh-CN"/>
                    </w:rPr>
                    <w:t>八</w:t>
                  </w:r>
                  <w:r>
                    <w:rPr>
                      <w:rFonts w:hint="default" w:ascii="Times New Roman" w:hAnsi="Times New Roman" w:eastAsia="宋体" w:cs="Times New Roman"/>
                      <w:sz w:val="21"/>
                      <w:szCs w:val="21"/>
                      <w:shd w:val="clear" w:color="auto" w:fill="auto"/>
                    </w:rPr>
                    <w:t>、</w:t>
                  </w:r>
                  <w:r>
                    <w:rPr>
                      <w:rFonts w:hint="eastAsia" w:ascii="Times New Roman" w:hAnsi="Times New Roman" w:eastAsia="宋体" w:cs="Times New Roman"/>
                      <w:sz w:val="21"/>
                      <w:szCs w:val="21"/>
                      <w:shd w:val="clear" w:color="auto" w:fill="auto"/>
                      <w:lang w:val="en-US" w:eastAsia="zh-CN"/>
                    </w:rPr>
                    <w:t>除尘</w:t>
                  </w:r>
                  <w:r>
                    <w:rPr>
                      <w:rFonts w:hint="default" w:ascii="Times New Roman" w:hAnsi="Times New Roman" w:eastAsia="宋体" w:cs="Times New Roman"/>
                      <w:sz w:val="21"/>
                      <w:szCs w:val="21"/>
                      <w:shd w:val="clear" w:color="auto" w:fill="auto"/>
                    </w:rPr>
                    <w:t>部分</w:t>
                  </w:r>
                </w:p>
              </w:tc>
            </w:tr>
            <w:tr w14:paraId="23D96E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0" w:type="dxa"/>
                  <w:tcBorders>
                    <w:tl2br w:val="nil"/>
                    <w:tr2bl w:val="nil"/>
                  </w:tcBorders>
                  <w:vAlign w:val="center"/>
                </w:tcPr>
                <w:p w14:paraId="4974BB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bottom"/>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1</w:t>
                  </w:r>
                </w:p>
              </w:tc>
              <w:tc>
                <w:tcPr>
                  <w:tcW w:w="2190" w:type="dxa"/>
                  <w:tcBorders>
                    <w:tl2br w:val="nil"/>
                    <w:tr2bl w:val="nil"/>
                  </w:tcBorders>
                  <w:vAlign w:val="center"/>
                </w:tcPr>
                <w:p w14:paraId="6A2CE9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热风管道</w:t>
                  </w:r>
                </w:p>
              </w:tc>
              <w:tc>
                <w:tcPr>
                  <w:tcW w:w="655" w:type="dxa"/>
                  <w:tcBorders>
                    <w:tl2br w:val="nil"/>
                    <w:tr2bl w:val="nil"/>
                  </w:tcBorders>
                  <w:vAlign w:val="center"/>
                </w:tcPr>
                <w:p w14:paraId="2352A0D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套</w:t>
                  </w:r>
                </w:p>
              </w:tc>
              <w:tc>
                <w:tcPr>
                  <w:tcW w:w="655" w:type="dxa"/>
                  <w:tcBorders>
                    <w:tl2br w:val="nil"/>
                    <w:tr2bl w:val="nil"/>
                  </w:tcBorders>
                  <w:vAlign w:val="center"/>
                </w:tcPr>
                <w:p w14:paraId="6C85AB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2</w:t>
                  </w:r>
                </w:p>
              </w:tc>
              <w:tc>
                <w:tcPr>
                  <w:tcW w:w="3709" w:type="dxa"/>
                  <w:tcBorders>
                    <w:tl2br w:val="nil"/>
                    <w:tr2bl w:val="nil"/>
                  </w:tcBorders>
                  <w:vAlign w:val="center"/>
                </w:tcPr>
                <w:p w14:paraId="674975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通风风机进出管</w:t>
                  </w:r>
                </w:p>
              </w:tc>
            </w:tr>
            <w:tr w14:paraId="7D0A7E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0" w:type="dxa"/>
                  <w:tcBorders>
                    <w:tl2br w:val="nil"/>
                    <w:tr2bl w:val="nil"/>
                  </w:tcBorders>
                  <w:vAlign w:val="center"/>
                </w:tcPr>
                <w:p w14:paraId="6FE040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bottom"/>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2</w:t>
                  </w:r>
                </w:p>
              </w:tc>
              <w:tc>
                <w:tcPr>
                  <w:tcW w:w="2190" w:type="dxa"/>
                  <w:tcBorders>
                    <w:tl2br w:val="nil"/>
                    <w:tr2bl w:val="nil"/>
                  </w:tcBorders>
                  <w:vAlign w:val="center"/>
                </w:tcPr>
                <w:p w14:paraId="14F505B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eastAsia" w:cs="Times New Roman"/>
                      <w:color w:val="000000"/>
                      <w:kern w:val="0"/>
                      <w:sz w:val="21"/>
                      <w:szCs w:val="21"/>
                      <w:shd w:val="clear" w:color="auto" w:fill="auto"/>
                      <w:lang w:val="en-US" w:eastAsia="zh-CN" w:bidi="ar"/>
                    </w:rPr>
                    <w:t>低氮燃烧器</w:t>
                  </w:r>
                </w:p>
              </w:tc>
              <w:tc>
                <w:tcPr>
                  <w:tcW w:w="655" w:type="dxa"/>
                  <w:tcBorders>
                    <w:tl2br w:val="nil"/>
                    <w:tr2bl w:val="nil"/>
                  </w:tcBorders>
                  <w:vAlign w:val="center"/>
                </w:tcPr>
                <w:p w14:paraId="0378C7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件</w:t>
                  </w:r>
                </w:p>
              </w:tc>
              <w:tc>
                <w:tcPr>
                  <w:tcW w:w="655" w:type="dxa"/>
                  <w:tcBorders>
                    <w:tl2br w:val="nil"/>
                    <w:tr2bl w:val="nil"/>
                  </w:tcBorders>
                  <w:vAlign w:val="center"/>
                </w:tcPr>
                <w:p w14:paraId="3215BCD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2</w:t>
                  </w:r>
                </w:p>
              </w:tc>
              <w:tc>
                <w:tcPr>
                  <w:tcW w:w="3709" w:type="dxa"/>
                  <w:tcBorders>
                    <w:tl2br w:val="nil"/>
                    <w:tr2bl w:val="nil"/>
                  </w:tcBorders>
                  <w:vAlign w:val="center"/>
                </w:tcPr>
                <w:p w14:paraId="2768FC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国标型材做支架</w:t>
                  </w:r>
                </w:p>
              </w:tc>
            </w:tr>
            <w:tr w14:paraId="525FF5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0" w:type="dxa"/>
                  <w:tcBorders>
                    <w:tl2br w:val="nil"/>
                    <w:tr2bl w:val="nil"/>
                  </w:tcBorders>
                  <w:vAlign w:val="center"/>
                </w:tcPr>
                <w:p w14:paraId="2C610D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bottom"/>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3</w:t>
                  </w:r>
                </w:p>
              </w:tc>
              <w:tc>
                <w:tcPr>
                  <w:tcW w:w="2190" w:type="dxa"/>
                  <w:tcBorders>
                    <w:tl2br w:val="nil"/>
                    <w:tr2bl w:val="nil"/>
                  </w:tcBorders>
                  <w:vAlign w:val="center"/>
                </w:tcPr>
                <w:p w14:paraId="138D329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旋风除尘器及支架</w:t>
                  </w:r>
                </w:p>
              </w:tc>
              <w:tc>
                <w:tcPr>
                  <w:tcW w:w="655" w:type="dxa"/>
                  <w:tcBorders>
                    <w:tl2br w:val="nil"/>
                    <w:tr2bl w:val="nil"/>
                  </w:tcBorders>
                  <w:vAlign w:val="center"/>
                </w:tcPr>
                <w:p w14:paraId="2EA4E8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件</w:t>
                  </w:r>
                </w:p>
              </w:tc>
              <w:tc>
                <w:tcPr>
                  <w:tcW w:w="655" w:type="dxa"/>
                  <w:tcBorders>
                    <w:tl2br w:val="nil"/>
                    <w:tr2bl w:val="nil"/>
                  </w:tcBorders>
                  <w:vAlign w:val="center"/>
                </w:tcPr>
                <w:p w14:paraId="66B522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sz w:val="21"/>
                      <w:szCs w:val="21"/>
                      <w:shd w:val="clear" w:color="auto" w:fill="auto"/>
                      <w:lang w:val="en-US" w:eastAsia="zh-CN"/>
                    </w:rPr>
                  </w:pPr>
                  <w:r>
                    <w:rPr>
                      <w:rFonts w:hint="eastAsia" w:ascii="Times New Roman" w:hAnsi="Times New Roman" w:eastAsia="宋体" w:cs="Times New Roman"/>
                      <w:sz w:val="21"/>
                      <w:szCs w:val="21"/>
                      <w:shd w:val="clear" w:color="auto" w:fill="auto"/>
                      <w:lang w:val="en-US" w:eastAsia="zh-CN"/>
                    </w:rPr>
                    <w:t>1</w:t>
                  </w:r>
                </w:p>
              </w:tc>
              <w:tc>
                <w:tcPr>
                  <w:tcW w:w="3709" w:type="dxa"/>
                  <w:tcBorders>
                    <w:tl2br w:val="nil"/>
                    <w:tr2bl w:val="nil"/>
                  </w:tcBorders>
                  <w:vAlign w:val="center"/>
                </w:tcPr>
                <w:p w14:paraId="51CCA3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国标型材做支架</w:t>
                  </w:r>
                </w:p>
              </w:tc>
            </w:tr>
            <w:tr w14:paraId="125075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0" w:type="dxa"/>
                  <w:tcBorders>
                    <w:tl2br w:val="nil"/>
                    <w:tr2bl w:val="nil"/>
                  </w:tcBorders>
                  <w:vAlign w:val="center"/>
                </w:tcPr>
                <w:p w14:paraId="356A9B0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bottom"/>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4</w:t>
                  </w:r>
                </w:p>
              </w:tc>
              <w:tc>
                <w:tcPr>
                  <w:tcW w:w="2190" w:type="dxa"/>
                  <w:tcBorders>
                    <w:tl2br w:val="nil"/>
                    <w:tr2bl w:val="nil"/>
                  </w:tcBorders>
                  <w:vAlign w:val="center"/>
                </w:tcPr>
                <w:p w14:paraId="3272472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eastAsia" w:cs="Times New Roman"/>
                      <w:color w:val="000000"/>
                      <w:kern w:val="0"/>
                      <w:sz w:val="21"/>
                      <w:szCs w:val="21"/>
                      <w:shd w:val="clear" w:color="auto" w:fill="auto"/>
                      <w:lang w:val="en-US" w:eastAsia="zh-CN" w:bidi="ar"/>
                    </w:rPr>
                    <w:t>沉降室</w:t>
                  </w:r>
                </w:p>
              </w:tc>
              <w:tc>
                <w:tcPr>
                  <w:tcW w:w="655" w:type="dxa"/>
                  <w:tcBorders>
                    <w:tl2br w:val="nil"/>
                    <w:tr2bl w:val="nil"/>
                  </w:tcBorders>
                  <w:vAlign w:val="center"/>
                </w:tcPr>
                <w:p w14:paraId="5B485EA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件</w:t>
                  </w:r>
                </w:p>
              </w:tc>
              <w:tc>
                <w:tcPr>
                  <w:tcW w:w="655" w:type="dxa"/>
                  <w:tcBorders>
                    <w:tl2br w:val="nil"/>
                    <w:tr2bl w:val="nil"/>
                  </w:tcBorders>
                  <w:vAlign w:val="center"/>
                </w:tcPr>
                <w:p w14:paraId="6AB4BB4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1</w:t>
                  </w:r>
                </w:p>
              </w:tc>
              <w:tc>
                <w:tcPr>
                  <w:tcW w:w="3709" w:type="dxa"/>
                  <w:tcBorders>
                    <w:tl2br w:val="nil"/>
                    <w:tr2bl w:val="nil"/>
                  </w:tcBorders>
                  <w:vAlign w:val="center"/>
                </w:tcPr>
                <w:p w14:paraId="32CF5A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eastAsia" w:cs="Times New Roman"/>
                      <w:color w:val="000000"/>
                      <w:kern w:val="0"/>
                      <w:sz w:val="21"/>
                      <w:szCs w:val="21"/>
                      <w:shd w:val="clear" w:color="auto" w:fill="auto"/>
                      <w:lang w:val="en-US" w:eastAsia="zh-CN" w:bidi="ar"/>
                    </w:rPr>
                    <w:t>/</w:t>
                  </w:r>
                </w:p>
              </w:tc>
            </w:tr>
            <w:tr w14:paraId="09289F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0" w:type="dxa"/>
                  <w:tcBorders>
                    <w:tl2br w:val="nil"/>
                    <w:tr2bl w:val="nil"/>
                  </w:tcBorders>
                  <w:vAlign w:val="center"/>
                </w:tcPr>
                <w:p w14:paraId="154E302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bottom"/>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5</w:t>
                  </w:r>
                </w:p>
              </w:tc>
              <w:tc>
                <w:tcPr>
                  <w:tcW w:w="2190" w:type="dxa"/>
                  <w:tcBorders>
                    <w:tl2br w:val="nil"/>
                    <w:tr2bl w:val="nil"/>
                  </w:tcBorders>
                  <w:vAlign w:val="center"/>
                </w:tcPr>
                <w:p w14:paraId="1D4163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val="en-US" w:eastAsia="zh-CN" w:bidi="ar"/>
                    </w:rPr>
                    <w:t>碱洗喷淋塔</w:t>
                  </w:r>
                </w:p>
              </w:tc>
              <w:tc>
                <w:tcPr>
                  <w:tcW w:w="655" w:type="dxa"/>
                  <w:tcBorders>
                    <w:tl2br w:val="nil"/>
                    <w:tr2bl w:val="nil"/>
                  </w:tcBorders>
                  <w:vAlign w:val="center"/>
                </w:tcPr>
                <w:p w14:paraId="0458821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ascii="Times New Roman" w:hAnsi="Times New Roman" w:eastAsia="宋体" w:cs="Times New Roman"/>
                      <w:color w:val="000000"/>
                      <w:kern w:val="0"/>
                      <w:sz w:val="21"/>
                      <w:szCs w:val="21"/>
                      <w:shd w:val="clear" w:color="auto" w:fill="auto"/>
                      <w:lang w:val="en-US" w:eastAsia="zh-CN" w:bidi="ar"/>
                    </w:rPr>
                    <w:t>件</w:t>
                  </w:r>
                </w:p>
              </w:tc>
              <w:tc>
                <w:tcPr>
                  <w:tcW w:w="655" w:type="dxa"/>
                  <w:tcBorders>
                    <w:tl2br w:val="nil"/>
                    <w:tr2bl w:val="nil"/>
                  </w:tcBorders>
                  <w:vAlign w:val="center"/>
                </w:tcPr>
                <w:p w14:paraId="2B089A8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sz w:val="21"/>
                      <w:szCs w:val="21"/>
                      <w:shd w:val="clear" w:color="auto" w:fill="auto"/>
                      <w:lang w:val="en-US" w:eastAsia="zh-CN"/>
                    </w:rPr>
                  </w:pPr>
                  <w:r>
                    <w:rPr>
                      <w:rFonts w:hint="eastAsia" w:cs="Times New Roman"/>
                      <w:sz w:val="21"/>
                      <w:szCs w:val="21"/>
                      <w:shd w:val="clear" w:color="auto" w:fill="auto"/>
                      <w:lang w:val="en-US" w:eastAsia="zh-CN"/>
                    </w:rPr>
                    <w:t>1</w:t>
                  </w:r>
                </w:p>
              </w:tc>
              <w:tc>
                <w:tcPr>
                  <w:tcW w:w="3709" w:type="dxa"/>
                  <w:tcBorders>
                    <w:tl2br w:val="nil"/>
                    <w:tr2bl w:val="nil"/>
                  </w:tcBorders>
                  <w:vAlign w:val="center"/>
                </w:tcPr>
                <w:p w14:paraId="48D56C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0"/>
                      <w:sz w:val="21"/>
                      <w:szCs w:val="21"/>
                      <w:shd w:val="clear" w:color="auto" w:fill="auto"/>
                      <w:lang w:bidi="ar"/>
                    </w:rPr>
                  </w:pPr>
                  <w:r>
                    <w:rPr>
                      <w:rFonts w:hint="eastAsia" w:cs="Times New Roman"/>
                      <w:color w:val="000000"/>
                      <w:kern w:val="0"/>
                      <w:sz w:val="21"/>
                      <w:szCs w:val="21"/>
                      <w:shd w:val="clear" w:color="auto" w:fill="auto"/>
                      <w:lang w:val="en-US" w:eastAsia="zh-CN" w:bidi="ar"/>
                    </w:rPr>
                    <w:t>/</w:t>
                  </w:r>
                </w:p>
              </w:tc>
            </w:tr>
          </w:tbl>
          <w:p w14:paraId="63345D15">
            <w:pPr>
              <w:keepNext w:val="0"/>
              <w:keepLines w:val="0"/>
              <w:suppressLineNumbers w:val="0"/>
              <w:spacing w:before="0" w:beforeAutospacing="0" w:after="0" w:afterAutospacing="0"/>
              <w:ind w:left="0" w:right="0"/>
              <w:rPr>
                <w:rFonts w:hint="default"/>
                <w:b/>
                <w:bCs/>
                <w:color w:val="000000"/>
                <w:kern w:val="0"/>
                <w:sz w:val="24"/>
                <w:szCs w:val="24"/>
                <w:highlight w:val="yellow"/>
              </w:rPr>
            </w:pPr>
            <w:r>
              <w:rPr>
                <w:rFonts w:hint="eastAsia"/>
                <w:b/>
                <w:bCs/>
                <w:color w:val="000000"/>
                <w:kern w:val="0"/>
                <w:sz w:val="24"/>
                <w:szCs w:val="24"/>
                <w:lang w:val="en-US" w:eastAsia="zh-CN"/>
              </w:rPr>
              <w:t>5、</w:t>
            </w:r>
            <w:r>
              <w:rPr>
                <w:rFonts w:hint="default"/>
                <w:b/>
                <w:bCs/>
                <w:color w:val="000000"/>
                <w:kern w:val="0"/>
                <w:sz w:val="24"/>
                <w:szCs w:val="24"/>
                <w:highlight w:val="none"/>
              </w:rPr>
              <w:t>主要原辅材料及种类</w:t>
            </w:r>
          </w:p>
          <w:p w14:paraId="5D400B5B">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项目主要原辅料种类见表</w:t>
            </w:r>
            <w:r>
              <w:rPr>
                <w:rFonts w:hint="eastAsia"/>
                <w:color w:val="000000"/>
                <w:kern w:val="0"/>
                <w:lang w:val="en-US" w:eastAsia="zh-CN"/>
              </w:rPr>
              <w:t>2-4</w:t>
            </w:r>
            <w:r>
              <w:rPr>
                <w:rFonts w:hint="default"/>
                <w:color w:val="000000"/>
                <w:kern w:val="0"/>
              </w:rPr>
              <w:t>。</w:t>
            </w:r>
          </w:p>
          <w:p w14:paraId="5DA8F0E7">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kern w:val="0"/>
                <w:sz w:val="21"/>
                <w:szCs w:val="21"/>
                <w:highlight w:val="none"/>
              </w:rPr>
            </w:pPr>
            <w:r>
              <w:rPr>
                <w:rFonts w:hint="default"/>
                <w:b/>
                <w:bCs/>
                <w:color w:val="000000"/>
                <w:kern w:val="0"/>
                <w:sz w:val="21"/>
                <w:szCs w:val="21"/>
                <w:highlight w:val="none"/>
              </w:rPr>
              <w:t>表</w:t>
            </w:r>
            <w:r>
              <w:rPr>
                <w:rFonts w:hint="eastAsia"/>
                <w:b/>
                <w:bCs/>
                <w:color w:val="000000"/>
                <w:kern w:val="0"/>
                <w:sz w:val="21"/>
                <w:szCs w:val="21"/>
                <w:highlight w:val="none"/>
                <w:lang w:val="en-US" w:eastAsia="zh-CN"/>
              </w:rPr>
              <w:t>2-4</w:t>
            </w:r>
            <w:r>
              <w:rPr>
                <w:rFonts w:hint="default"/>
                <w:b/>
                <w:bCs/>
                <w:color w:val="000000"/>
                <w:kern w:val="0"/>
                <w:sz w:val="21"/>
                <w:szCs w:val="21"/>
                <w:highlight w:val="none"/>
              </w:rPr>
              <w:t xml:space="preserve">                 主要原辅料种类表</w:t>
            </w:r>
          </w:p>
          <w:tbl>
            <w:tblPr>
              <w:tblStyle w:val="35"/>
              <w:tblpPr w:leftFromText="181" w:rightFromText="181" w:vertAnchor="text" w:horzAnchor="page" w:tblpXSpec="center" w:tblpY="1"/>
              <w:tblOverlap w:val="never"/>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70"/>
              <w:gridCol w:w="1151"/>
              <w:gridCol w:w="1109"/>
              <w:gridCol w:w="923"/>
              <w:gridCol w:w="1442"/>
              <w:gridCol w:w="1444"/>
              <w:gridCol w:w="1110"/>
            </w:tblGrid>
            <w:tr w14:paraId="1E289B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60276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序号</w:t>
                  </w:r>
                </w:p>
              </w:tc>
              <w:tc>
                <w:tcPr>
                  <w:tcW w:w="733" w:type="pct"/>
                  <w:tcBorders>
                    <w:tl2br w:val="nil"/>
                    <w:tr2bl w:val="nil"/>
                  </w:tcBorders>
                  <w:vAlign w:val="center"/>
                </w:tcPr>
                <w:p w14:paraId="7740F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原辅料名称</w:t>
                  </w:r>
                </w:p>
              </w:tc>
              <w:tc>
                <w:tcPr>
                  <w:tcW w:w="706" w:type="pct"/>
                  <w:tcBorders>
                    <w:tl2br w:val="nil"/>
                    <w:tr2bl w:val="nil"/>
                  </w:tcBorders>
                  <w:vAlign w:val="center"/>
                </w:tcPr>
                <w:p w14:paraId="676DA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单位</w:t>
                  </w:r>
                </w:p>
              </w:tc>
              <w:tc>
                <w:tcPr>
                  <w:tcW w:w="587" w:type="pct"/>
                  <w:tcBorders>
                    <w:tl2br w:val="nil"/>
                    <w:tr2bl w:val="nil"/>
                  </w:tcBorders>
                  <w:vAlign w:val="center"/>
                </w:tcPr>
                <w:p w14:paraId="17AAA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年用量</w:t>
                  </w:r>
                </w:p>
              </w:tc>
              <w:tc>
                <w:tcPr>
                  <w:tcW w:w="918" w:type="pct"/>
                  <w:tcBorders>
                    <w:tl2br w:val="nil"/>
                    <w:tr2bl w:val="nil"/>
                  </w:tcBorders>
                  <w:vAlign w:val="center"/>
                </w:tcPr>
                <w:p w14:paraId="42196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b w:val="0"/>
                      <w:bCs/>
                      <w:color w:val="000000"/>
                      <w:kern w:val="0"/>
                      <w:sz w:val="21"/>
                      <w:szCs w:val="21"/>
                      <w:shd w:val="clear" w:color="auto" w:fill="auto"/>
                      <w:lang w:eastAsia="zh-CN"/>
                    </w:rPr>
                  </w:pPr>
                  <w:r>
                    <w:rPr>
                      <w:rFonts w:hint="eastAsia" w:ascii="Times New Roman" w:hAnsi="Times New Roman" w:eastAsia="宋体" w:cs="Times New Roman"/>
                      <w:b w:val="0"/>
                      <w:bCs/>
                      <w:color w:val="000000"/>
                      <w:kern w:val="0"/>
                      <w:sz w:val="21"/>
                      <w:szCs w:val="21"/>
                      <w:shd w:val="clear" w:color="auto" w:fill="auto"/>
                      <w:lang w:val="en-US" w:eastAsia="zh-CN"/>
                    </w:rPr>
                    <w:t>最大储量</w:t>
                  </w:r>
                </w:p>
              </w:tc>
              <w:tc>
                <w:tcPr>
                  <w:tcW w:w="919" w:type="pct"/>
                  <w:tcBorders>
                    <w:tl2br w:val="nil"/>
                    <w:tr2bl w:val="nil"/>
                  </w:tcBorders>
                  <w:vAlign w:val="center"/>
                </w:tcPr>
                <w:p w14:paraId="33ED8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存储方式</w:t>
                  </w:r>
                </w:p>
              </w:tc>
              <w:tc>
                <w:tcPr>
                  <w:tcW w:w="707" w:type="pct"/>
                  <w:tcBorders>
                    <w:tl2br w:val="nil"/>
                    <w:tr2bl w:val="nil"/>
                  </w:tcBorders>
                  <w:vAlign w:val="center"/>
                </w:tcPr>
                <w:p w14:paraId="79E0B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备注</w:t>
                  </w:r>
                </w:p>
              </w:tc>
            </w:tr>
            <w:tr w14:paraId="6436EA1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000" w:type="pct"/>
                  <w:gridSpan w:val="7"/>
                  <w:tcBorders>
                    <w:tl2br w:val="nil"/>
                    <w:tr2bl w:val="nil"/>
                  </w:tcBorders>
                  <w:vAlign w:val="center"/>
                </w:tcPr>
                <w:p w14:paraId="0E39D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一、原材料</w:t>
                  </w:r>
                </w:p>
              </w:tc>
            </w:tr>
            <w:tr w14:paraId="25729C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7E143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1</w:t>
                  </w:r>
                </w:p>
              </w:tc>
              <w:tc>
                <w:tcPr>
                  <w:tcW w:w="733" w:type="pct"/>
                  <w:tcBorders>
                    <w:tl2br w:val="nil"/>
                    <w:tr2bl w:val="nil"/>
                  </w:tcBorders>
                  <w:vAlign w:val="center"/>
                </w:tcPr>
                <w:p w14:paraId="01260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毛籽</w:t>
                  </w:r>
                </w:p>
              </w:tc>
              <w:tc>
                <w:tcPr>
                  <w:tcW w:w="706" w:type="pct"/>
                  <w:tcBorders>
                    <w:tl2br w:val="nil"/>
                    <w:tr2bl w:val="nil"/>
                  </w:tcBorders>
                  <w:vAlign w:val="center"/>
                </w:tcPr>
                <w:p w14:paraId="42A07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吨</w:t>
                  </w:r>
                </w:p>
              </w:tc>
              <w:tc>
                <w:tcPr>
                  <w:tcW w:w="587" w:type="pct"/>
                  <w:tcBorders>
                    <w:tl2br w:val="nil"/>
                    <w:tr2bl w:val="nil"/>
                  </w:tcBorders>
                  <w:vAlign w:val="center"/>
                </w:tcPr>
                <w:p w14:paraId="18BC1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rPr>
                    <w:t>8000</w:t>
                  </w:r>
                </w:p>
              </w:tc>
              <w:tc>
                <w:tcPr>
                  <w:tcW w:w="918" w:type="pct"/>
                  <w:tcBorders>
                    <w:tl2br w:val="nil"/>
                    <w:tr2bl w:val="nil"/>
                  </w:tcBorders>
                  <w:vAlign w:val="center"/>
                </w:tcPr>
                <w:p w14:paraId="6F010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rPr>
                    <w:t>3000</w:t>
                  </w:r>
                </w:p>
              </w:tc>
              <w:tc>
                <w:tcPr>
                  <w:tcW w:w="919" w:type="pct"/>
                  <w:tcBorders>
                    <w:tl2br w:val="nil"/>
                    <w:tr2bl w:val="nil"/>
                  </w:tcBorders>
                  <w:vAlign w:val="center"/>
                </w:tcPr>
                <w:p w14:paraId="5D99D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厂区内空地露天堆放，防雨篷布苫盖</w:t>
                  </w:r>
                </w:p>
              </w:tc>
              <w:tc>
                <w:tcPr>
                  <w:tcW w:w="707" w:type="pct"/>
                  <w:tcBorders>
                    <w:tl2br w:val="nil"/>
                    <w:tr2bl w:val="nil"/>
                  </w:tcBorders>
                  <w:vAlign w:val="center"/>
                </w:tcPr>
                <w:p w14:paraId="2535F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eastAsia" w:cs="Times New Roman"/>
                      <w:color w:val="000000"/>
                      <w:kern w:val="0"/>
                      <w:sz w:val="21"/>
                      <w:szCs w:val="21"/>
                      <w:shd w:val="clear" w:color="auto" w:fill="auto"/>
                      <w:lang w:val="en-US" w:eastAsia="zh-CN"/>
                    </w:rPr>
                    <w:t>含水量为25%</w:t>
                  </w:r>
                </w:p>
              </w:tc>
            </w:tr>
            <w:tr w14:paraId="5897B54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55853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2</w:t>
                  </w:r>
                </w:p>
              </w:tc>
              <w:tc>
                <w:tcPr>
                  <w:tcW w:w="733" w:type="pct"/>
                  <w:tcBorders>
                    <w:tl2br w:val="nil"/>
                    <w:tr2bl w:val="nil"/>
                  </w:tcBorders>
                  <w:vAlign w:val="center"/>
                </w:tcPr>
                <w:p w14:paraId="40E5E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lang w:bidi="ar"/>
                    </w:rPr>
                    <w:t>硫酸</w:t>
                  </w:r>
                </w:p>
              </w:tc>
              <w:tc>
                <w:tcPr>
                  <w:tcW w:w="706" w:type="pct"/>
                  <w:tcBorders>
                    <w:tl2br w:val="nil"/>
                    <w:tr2bl w:val="nil"/>
                  </w:tcBorders>
                  <w:vAlign w:val="center"/>
                </w:tcPr>
                <w:p w14:paraId="1A0D0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bidi="ar"/>
                    </w:rPr>
                  </w:pPr>
                  <w:r>
                    <w:rPr>
                      <w:rFonts w:hint="default" w:ascii="Times New Roman" w:hAnsi="Times New Roman" w:eastAsia="宋体" w:cs="Times New Roman"/>
                      <w:color w:val="000000"/>
                      <w:kern w:val="0"/>
                      <w:sz w:val="21"/>
                      <w:szCs w:val="21"/>
                      <w:shd w:val="clear" w:color="auto" w:fill="auto"/>
                    </w:rPr>
                    <w:t>吨</w:t>
                  </w:r>
                </w:p>
              </w:tc>
              <w:tc>
                <w:tcPr>
                  <w:tcW w:w="587" w:type="pct"/>
                  <w:tcBorders>
                    <w:tl2br w:val="nil"/>
                    <w:tr2bl w:val="nil"/>
                  </w:tcBorders>
                  <w:vAlign w:val="center"/>
                </w:tcPr>
                <w:p w14:paraId="75683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val="en-US" w:eastAsia="zh-CN" w:bidi="ar"/>
                    </w:rPr>
                  </w:pPr>
                  <w:r>
                    <w:rPr>
                      <w:rFonts w:hint="eastAsia" w:cs="Times New Roman"/>
                      <w:color w:val="000000"/>
                      <w:kern w:val="0"/>
                      <w:sz w:val="21"/>
                      <w:szCs w:val="21"/>
                      <w:shd w:val="clear" w:color="auto" w:fill="auto"/>
                      <w:lang w:val="en-US" w:eastAsia="zh-CN" w:bidi="ar"/>
                    </w:rPr>
                    <w:t>150</w:t>
                  </w:r>
                </w:p>
              </w:tc>
              <w:tc>
                <w:tcPr>
                  <w:tcW w:w="918" w:type="pct"/>
                  <w:tcBorders>
                    <w:tl2br w:val="nil"/>
                    <w:tr2bl w:val="nil"/>
                  </w:tcBorders>
                  <w:vAlign w:val="center"/>
                </w:tcPr>
                <w:p w14:paraId="3D93D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eastAsia" w:cs="Times New Roman"/>
                      <w:color w:val="000000"/>
                      <w:kern w:val="0"/>
                      <w:sz w:val="21"/>
                      <w:szCs w:val="21"/>
                      <w:shd w:val="clear" w:color="auto" w:fill="auto"/>
                      <w:lang w:val="en-US" w:eastAsia="zh-CN"/>
                    </w:rPr>
                    <w:t>40</w:t>
                  </w:r>
                </w:p>
              </w:tc>
              <w:tc>
                <w:tcPr>
                  <w:tcW w:w="919" w:type="pct"/>
                  <w:tcBorders>
                    <w:tl2br w:val="nil"/>
                    <w:tr2bl w:val="nil"/>
                  </w:tcBorders>
                  <w:vAlign w:val="center"/>
                </w:tcPr>
                <w:p w14:paraId="6326F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专用硫酸储罐</w:t>
                  </w:r>
                </w:p>
              </w:tc>
              <w:tc>
                <w:tcPr>
                  <w:tcW w:w="707" w:type="pct"/>
                  <w:tcBorders>
                    <w:tl2br w:val="nil"/>
                    <w:tr2bl w:val="nil"/>
                  </w:tcBorders>
                  <w:vAlign w:val="center"/>
                </w:tcPr>
                <w:p w14:paraId="2E945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rPr>
                  </w:pPr>
                  <w:r>
                    <w:rPr>
                      <w:rFonts w:hint="eastAsia" w:cs="Times New Roman"/>
                      <w:color w:val="000000"/>
                      <w:kern w:val="0"/>
                      <w:sz w:val="21"/>
                      <w:szCs w:val="21"/>
                      <w:shd w:val="clear" w:color="auto" w:fill="auto"/>
                      <w:lang w:val="en-US" w:eastAsia="zh-CN"/>
                    </w:rPr>
                    <w:t>/</w:t>
                  </w:r>
                </w:p>
              </w:tc>
            </w:tr>
            <w:tr w14:paraId="75EAECE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545B9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3</w:t>
                  </w:r>
                </w:p>
              </w:tc>
              <w:tc>
                <w:tcPr>
                  <w:tcW w:w="733" w:type="pct"/>
                  <w:tcBorders>
                    <w:tl2br w:val="nil"/>
                    <w:tr2bl w:val="nil"/>
                  </w:tcBorders>
                  <w:vAlign w:val="center"/>
                </w:tcPr>
                <w:p w14:paraId="276F2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氢氧化钠</w:t>
                  </w:r>
                </w:p>
              </w:tc>
              <w:tc>
                <w:tcPr>
                  <w:tcW w:w="706" w:type="pct"/>
                  <w:tcBorders>
                    <w:tl2br w:val="nil"/>
                    <w:tr2bl w:val="nil"/>
                  </w:tcBorders>
                  <w:vAlign w:val="bottom"/>
                </w:tcPr>
                <w:p w14:paraId="0A377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吨</w:t>
                  </w:r>
                </w:p>
              </w:tc>
              <w:tc>
                <w:tcPr>
                  <w:tcW w:w="587" w:type="pct"/>
                  <w:tcBorders>
                    <w:tl2br w:val="nil"/>
                    <w:tr2bl w:val="nil"/>
                  </w:tcBorders>
                  <w:vAlign w:val="bottom"/>
                </w:tcPr>
                <w:p w14:paraId="564D0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val="en-US" w:eastAsia="zh-CN"/>
                    </w:rPr>
                  </w:pPr>
                  <w:r>
                    <w:rPr>
                      <w:rFonts w:hint="eastAsia" w:cs="Times New Roman"/>
                      <w:color w:val="000000"/>
                      <w:kern w:val="0"/>
                      <w:sz w:val="21"/>
                      <w:szCs w:val="21"/>
                      <w:shd w:val="clear" w:color="auto" w:fill="auto"/>
                      <w:lang w:val="en-US" w:eastAsia="zh-CN"/>
                    </w:rPr>
                    <w:t>1</w:t>
                  </w:r>
                </w:p>
              </w:tc>
              <w:tc>
                <w:tcPr>
                  <w:tcW w:w="918" w:type="pct"/>
                  <w:tcBorders>
                    <w:tl2br w:val="nil"/>
                    <w:tr2bl w:val="nil"/>
                  </w:tcBorders>
                  <w:vAlign w:val="center"/>
                </w:tcPr>
                <w:p w14:paraId="56BF0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eastAsia" w:cs="Times New Roman"/>
                      <w:color w:val="000000"/>
                      <w:kern w:val="0"/>
                      <w:sz w:val="21"/>
                      <w:szCs w:val="21"/>
                      <w:shd w:val="clear" w:color="auto" w:fill="auto"/>
                      <w:lang w:val="en-US" w:eastAsia="zh-CN"/>
                    </w:rPr>
                    <w:t>0.5</w:t>
                  </w:r>
                </w:p>
              </w:tc>
              <w:tc>
                <w:tcPr>
                  <w:tcW w:w="919" w:type="pct"/>
                  <w:tcBorders>
                    <w:tl2br w:val="nil"/>
                    <w:tr2bl w:val="nil"/>
                  </w:tcBorders>
                  <w:vAlign w:val="center"/>
                </w:tcPr>
                <w:p w14:paraId="3CC7D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袋装，片碱</w:t>
                  </w:r>
                </w:p>
              </w:tc>
              <w:tc>
                <w:tcPr>
                  <w:tcW w:w="707" w:type="pct"/>
                  <w:tcBorders>
                    <w:tl2br w:val="nil"/>
                    <w:tr2bl w:val="nil"/>
                  </w:tcBorders>
                  <w:vAlign w:val="center"/>
                </w:tcPr>
                <w:p w14:paraId="0A154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r w14:paraId="50AAAE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4C189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4</w:t>
                  </w:r>
                </w:p>
              </w:tc>
              <w:tc>
                <w:tcPr>
                  <w:tcW w:w="733" w:type="pct"/>
                  <w:tcBorders>
                    <w:tl2br w:val="nil"/>
                    <w:tr2bl w:val="nil"/>
                  </w:tcBorders>
                  <w:vAlign w:val="center"/>
                </w:tcPr>
                <w:p w14:paraId="61873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渗透剂</w:t>
                  </w:r>
                </w:p>
              </w:tc>
              <w:tc>
                <w:tcPr>
                  <w:tcW w:w="706" w:type="pct"/>
                  <w:tcBorders>
                    <w:tl2br w:val="nil"/>
                    <w:tr2bl w:val="nil"/>
                  </w:tcBorders>
                  <w:vAlign w:val="bottom"/>
                </w:tcPr>
                <w:p w14:paraId="7F608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吨</w:t>
                  </w:r>
                </w:p>
              </w:tc>
              <w:tc>
                <w:tcPr>
                  <w:tcW w:w="587" w:type="pct"/>
                  <w:tcBorders>
                    <w:tl2br w:val="nil"/>
                    <w:tr2bl w:val="nil"/>
                  </w:tcBorders>
                  <w:vAlign w:val="bottom"/>
                </w:tcPr>
                <w:p w14:paraId="791C5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Times New Roman" w:hAnsi="Times New Roman" w:eastAsia="宋体" w:cs="Times New Roman"/>
                      <w:color w:val="000000"/>
                      <w:kern w:val="0"/>
                      <w:sz w:val="21"/>
                      <w:szCs w:val="21"/>
                      <w:shd w:val="clear" w:color="auto" w:fill="auto"/>
                      <w:lang w:eastAsia="zh-CN"/>
                    </w:rPr>
                  </w:pPr>
                  <w:r>
                    <w:rPr>
                      <w:rFonts w:hint="eastAsia" w:ascii="Times New Roman" w:hAnsi="Times New Roman" w:eastAsia="宋体" w:cs="Times New Roman"/>
                      <w:color w:val="000000"/>
                      <w:kern w:val="0"/>
                      <w:sz w:val="21"/>
                      <w:szCs w:val="21"/>
                      <w:shd w:val="clear" w:color="auto" w:fill="auto"/>
                      <w:lang w:val="en-US" w:eastAsia="zh-CN"/>
                    </w:rPr>
                    <w:t>8</w:t>
                  </w:r>
                </w:p>
              </w:tc>
              <w:tc>
                <w:tcPr>
                  <w:tcW w:w="918" w:type="pct"/>
                  <w:tcBorders>
                    <w:tl2br w:val="nil"/>
                    <w:tr2bl w:val="nil"/>
                  </w:tcBorders>
                  <w:vAlign w:val="center"/>
                </w:tcPr>
                <w:p w14:paraId="0F4E3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000000"/>
                      <w:kern w:val="0"/>
                      <w:sz w:val="21"/>
                      <w:szCs w:val="21"/>
                      <w:shd w:val="clear" w:color="auto" w:fill="auto"/>
                      <w:lang w:eastAsia="zh-CN"/>
                    </w:rPr>
                  </w:pPr>
                  <w:r>
                    <w:rPr>
                      <w:rFonts w:hint="eastAsia" w:ascii="Times New Roman" w:hAnsi="Times New Roman" w:eastAsia="宋体" w:cs="Times New Roman"/>
                      <w:color w:val="000000"/>
                      <w:kern w:val="0"/>
                      <w:sz w:val="21"/>
                      <w:szCs w:val="21"/>
                      <w:shd w:val="clear" w:color="auto" w:fill="auto"/>
                      <w:lang w:val="en-US" w:eastAsia="zh-CN"/>
                    </w:rPr>
                    <w:t>2</w:t>
                  </w:r>
                </w:p>
              </w:tc>
              <w:tc>
                <w:tcPr>
                  <w:tcW w:w="919" w:type="pct"/>
                  <w:tcBorders>
                    <w:tl2br w:val="nil"/>
                    <w:tr2bl w:val="nil"/>
                  </w:tcBorders>
                  <w:vAlign w:val="center"/>
                </w:tcPr>
                <w:p w14:paraId="65168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塑料桶</w:t>
                  </w:r>
                </w:p>
              </w:tc>
              <w:tc>
                <w:tcPr>
                  <w:tcW w:w="707" w:type="pct"/>
                  <w:tcBorders>
                    <w:tl2br w:val="nil"/>
                    <w:tr2bl w:val="nil"/>
                  </w:tcBorders>
                  <w:vAlign w:val="center"/>
                </w:tcPr>
                <w:p w14:paraId="136D2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r w14:paraId="2340E90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65AA5D1F">
                  <w:pPr>
                    <w:keepNext w:val="0"/>
                    <w:keepLines w:val="0"/>
                    <w:pageBreakBefore w:val="0"/>
                    <w:widowControl/>
                    <w:suppressLineNumbers w:val="0"/>
                    <w:tabs>
                      <w:tab w:val="center" w:pos="286"/>
                      <w:tab w:val="left" w:pos="421"/>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Times New Roman"/>
                      <w:color w:val="000000"/>
                      <w:kern w:val="0"/>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rPr>
                    <w:t>5</w:t>
                  </w:r>
                </w:p>
              </w:tc>
              <w:tc>
                <w:tcPr>
                  <w:tcW w:w="733" w:type="pct"/>
                  <w:tcBorders>
                    <w:tl2br w:val="nil"/>
                    <w:tr2bl w:val="nil"/>
                  </w:tcBorders>
                  <w:vAlign w:val="center"/>
                </w:tcPr>
                <w:p w14:paraId="402A1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包衣剂</w:t>
                  </w:r>
                </w:p>
              </w:tc>
              <w:tc>
                <w:tcPr>
                  <w:tcW w:w="706" w:type="pct"/>
                  <w:tcBorders>
                    <w:tl2br w:val="nil"/>
                    <w:tr2bl w:val="nil"/>
                  </w:tcBorders>
                  <w:vAlign w:val="bottom"/>
                </w:tcPr>
                <w:p w14:paraId="1A3C8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吨</w:t>
                  </w:r>
                </w:p>
              </w:tc>
              <w:tc>
                <w:tcPr>
                  <w:tcW w:w="587" w:type="pct"/>
                  <w:tcBorders>
                    <w:tl2br w:val="nil"/>
                    <w:tr2bl w:val="nil"/>
                  </w:tcBorders>
                  <w:vAlign w:val="bottom"/>
                </w:tcPr>
                <w:p w14:paraId="4A50D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rPr>
                    <w:t>200</w:t>
                  </w:r>
                </w:p>
              </w:tc>
              <w:tc>
                <w:tcPr>
                  <w:tcW w:w="918" w:type="pct"/>
                  <w:tcBorders>
                    <w:tl2br w:val="nil"/>
                    <w:tr2bl w:val="nil"/>
                  </w:tcBorders>
                  <w:vAlign w:val="center"/>
                </w:tcPr>
                <w:p w14:paraId="4ACDA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eastAsia" w:ascii="Times New Roman" w:hAnsi="Times New Roman" w:eastAsia="宋体" w:cs="Times New Roman"/>
                      <w:color w:val="000000"/>
                      <w:kern w:val="0"/>
                      <w:sz w:val="21"/>
                      <w:szCs w:val="21"/>
                      <w:shd w:val="clear" w:color="auto" w:fill="auto"/>
                      <w:lang w:val="en-US" w:eastAsia="zh-CN"/>
                    </w:rPr>
                    <w:t>50</w:t>
                  </w:r>
                </w:p>
              </w:tc>
              <w:tc>
                <w:tcPr>
                  <w:tcW w:w="919" w:type="pct"/>
                  <w:tcBorders>
                    <w:tl2br w:val="nil"/>
                    <w:tr2bl w:val="nil"/>
                  </w:tcBorders>
                  <w:vAlign w:val="center"/>
                </w:tcPr>
                <w:p w14:paraId="25B8F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密封袋</w:t>
                  </w:r>
                </w:p>
              </w:tc>
              <w:tc>
                <w:tcPr>
                  <w:tcW w:w="707" w:type="pct"/>
                  <w:tcBorders>
                    <w:tl2br w:val="nil"/>
                    <w:tr2bl w:val="nil"/>
                  </w:tcBorders>
                  <w:vAlign w:val="center"/>
                </w:tcPr>
                <w:p w14:paraId="753FE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r w14:paraId="2BD1F40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000" w:type="pct"/>
                  <w:gridSpan w:val="7"/>
                  <w:tcBorders>
                    <w:tl2br w:val="nil"/>
                    <w:tr2bl w:val="nil"/>
                  </w:tcBorders>
                  <w:vAlign w:val="center"/>
                </w:tcPr>
                <w:p w14:paraId="495AA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二、燃料、动力</w:t>
                  </w:r>
                </w:p>
              </w:tc>
            </w:tr>
            <w:tr w14:paraId="3B86109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06C26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1</w:t>
                  </w:r>
                </w:p>
              </w:tc>
              <w:tc>
                <w:tcPr>
                  <w:tcW w:w="733" w:type="pct"/>
                  <w:tcBorders>
                    <w:tl2br w:val="nil"/>
                    <w:tr2bl w:val="nil"/>
                  </w:tcBorders>
                  <w:vAlign w:val="center"/>
                </w:tcPr>
                <w:p w14:paraId="24302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电</w:t>
                  </w:r>
                </w:p>
              </w:tc>
              <w:tc>
                <w:tcPr>
                  <w:tcW w:w="706" w:type="pct"/>
                  <w:tcBorders>
                    <w:tl2br w:val="nil"/>
                    <w:tr2bl w:val="nil"/>
                  </w:tcBorders>
                  <w:vAlign w:val="center"/>
                </w:tcPr>
                <w:p w14:paraId="5CF76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rPr>
                    <w:t>万千瓦时</w:t>
                  </w:r>
                </w:p>
              </w:tc>
              <w:tc>
                <w:tcPr>
                  <w:tcW w:w="587" w:type="pct"/>
                  <w:tcBorders>
                    <w:tl2br w:val="nil"/>
                    <w:tr2bl w:val="nil"/>
                  </w:tcBorders>
                  <w:vAlign w:val="center"/>
                </w:tcPr>
                <w:p w14:paraId="0A324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rPr>
                    <w:t>28.1</w:t>
                  </w:r>
                </w:p>
              </w:tc>
              <w:tc>
                <w:tcPr>
                  <w:tcW w:w="918" w:type="pct"/>
                  <w:tcBorders>
                    <w:tl2br w:val="nil"/>
                    <w:tr2bl w:val="nil"/>
                  </w:tcBorders>
                  <w:vAlign w:val="center"/>
                </w:tcPr>
                <w:p w14:paraId="10964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园区电网</w:t>
                  </w:r>
                </w:p>
              </w:tc>
              <w:tc>
                <w:tcPr>
                  <w:tcW w:w="919" w:type="pct"/>
                  <w:tcBorders>
                    <w:tl2br w:val="nil"/>
                    <w:tr2bl w:val="nil"/>
                  </w:tcBorders>
                  <w:vAlign w:val="center"/>
                </w:tcPr>
                <w:p w14:paraId="3A235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w:t>
                  </w:r>
                </w:p>
              </w:tc>
              <w:tc>
                <w:tcPr>
                  <w:tcW w:w="707" w:type="pct"/>
                  <w:tcBorders>
                    <w:tl2br w:val="nil"/>
                    <w:tr2bl w:val="nil"/>
                  </w:tcBorders>
                  <w:vAlign w:val="center"/>
                </w:tcPr>
                <w:p w14:paraId="0B48B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r w14:paraId="03A6AF4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5D67A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2</w:t>
                  </w:r>
                </w:p>
              </w:tc>
              <w:tc>
                <w:tcPr>
                  <w:tcW w:w="733" w:type="pct"/>
                  <w:tcBorders>
                    <w:tl2br w:val="nil"/>
                    <w:tr2bl w:val="nil"/>
                  </w:tcBorders>
                  <w:vAlign w:val="center"/>
                </w:tcPr>
                <w:p w14:paraId="6D7DA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天然气</w:t>
                  </w:r>
                </w:p>
              </w:tc>
              <w:tc>
                <w:tcPr>
                  <w:tcW w:w="706" w:type="pct"/>
                  <w:tcBorders>
                    <w:tl2br w:val="nil"/>
                    <w:tr2bl w:val="nil"/>
                  </w:tcBorders>
                  <w:vAlign w:val="center"/>
                </w:tcPr>
                <w:p w14:paraId="60702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rPr>
                    <w:t>万立方米</w:t>
                  </w:r>
                </w:p>
              </w:tc>
              <w:tc>
                <w:tcPr>
                  <w:tcW w:w="587" w:type="pct"/>
                  <w:tcBorders>
                    <w:tl2br w:val="nil"/>
                    <w:tr2bl w:val="nil"/>
                  </w:tcBorders>
                  <w:vAlign w:val="center"/>
                </w:tcPr>
                <w:p w14:paraId="112B0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rPr>
                    <w:t>46</w:t>
                  </w:r>
                </w:p>
              </w:tc>
              <w:tc>
                <w:tcPr>
                  <w:tcW w:w="918" w:type="pct"/>
                  <w:tcBorders>
                    <w:tl2br w:val="nil"/>
                    <w:tr2bl w:val="nil"/>
                  </w:tcBorders>
                  <w:vAlign w:val="center"/>
                </w:tcPr>
                <w:p w14:paraId="744F7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园区天然气管网</w:t>
                  </w:r>
                </w:p>
              </w:tc>
              <w:tc>
                <w:tcPr>
                  <w:tcW w:w="919" w:type="pct"/>
                  <w:tcBorders>
                    <w:tl2br w:val="nil"/>
                    <w:tr2bl w:val="nil"/>
                  </w:tcBorders>
                  <w:vAlign w:val="center"/>
                </w:tcPr>
                <w:p w14:paraId="4F987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w:t>
                  </w:r>
                </w:p>
              </w:tc>
              <w:tc>
                <w:tcPr>
                  <w:tcW w:w="707" w:type="pct"/>
                  <w:tcBorders>
                    <w:tl2br w:val="nil"/>
                    <w:tr2bl w:val="nil"/>
                  </w:tcBorders>
                  <w:vAlign w:val="center"/>
                </w:tcPr>
                <w:p w14:paraId="75C81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r w14:paraId="784550F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6" w:type="pct"/>
                  <w:tcBorders>
                    <w:tl2br w:val="nil"/>
                    <w:tr2bl w:val="nil"/>
                  </w:tcBorders>
                  <w:vAlign w:val="center"/>
                </w:tcPr>
                <w:p w14:paraId="04ACA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3</w:t>
                  </w:r>
                </w:p>
              </w:tc>
              <w:tc>
                <w:tcPr>
                  <w:tcW w:w="733" w:type="pct"/>
                  <w:tcBorders>
                    <w:tl2br w:val="nil"/>
                    <w:tr2bl w:val="nil"/>
                  </w:tcBorders>
                  <w:vAlign w:val="center"/>
                </w:tcPr>
                <w:p w14:paraId="44798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kern w:val="0"/>
                      <w:sz w:val="21"/>
                      <w:szCs w:val="21"/>
                      <w:shd w:val="clear" w:color="auto" w:fill="auto"/>
                    </w:rPr>
                    <w:t>水</w:t>
                  </w:r>
                </w:p>
              </w:tc>
              <w:tc>
                <w:tcPr>
                  <w:tcW w:w="706" w:type="pct"/>
                  <w:tcBorders>
                    <w:tl2br w:val="nil"/>
                    <w:tr2bl w:val="nil"/>
                  </w:tcBorders>
                  <w:vAlign w:val="center"/>
                </w:tcPr>
                <w:p w14:paraId="78B0C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rPr>
                    <w:t>吨</w:t>
                  </w:r>
                </w:p>
              </w:tc>
              <w:tc>
                <w:tcPr>
                  <w:tcW w:w="587" w:type="pct"/>
                  <w:tcBorders>
                    <w:tl2br w:val="nil"/>
                    <w:tr2bl w:val="nil"/>
                  </w:tcBorders>
                  <w:vAlign w:val="center"/>
                </w:tcPr>
                <w:p w14:paraId="66453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eastAsia" w:cs="Times New Roman"/>
                      <w:color w:val="000000"/>
                      <w:spacing w:val="6"/>
                      <w:kern w:val="0"/>
                      <w:sz w:val="21"/>
                      <w:szCs w:val="21"/>
                      <w:shd w:val="clear" w:color="auto" w:fill="auto"/>
                      <w:lang w:val="en-US" w:eastAsia="zh-CN"/>
                    </w:rPr>
                    <w:t>2508</w:t>
                  </w:r>
                </w:p>
              </w:tc>
              <w:tc>
                <w:tcPr>
                  <w:tcW w:w="918" w:type="pct"/>
                  <w:tcBorders>
                    <w:tl2br w:val="nil"/>
                    <w:tr2bl w:val="nil"/>
                  </w:tcBorders>
                  <w:vAlign w:val="center"/>
                </w:tcPr>
                <w:p w14:paraId="54E6D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园区供水管网</w:t>
                  </w:r>
                </w:p>
              </w:tc>
              <w:tc>
                <w:tcPr>
                  <w:tcW w:w="919" w:type="pct"/>
                  <w:tcBorders>
                    <w:tl2br w:val="nil"/>
                    <w:tr2bl w:val="nil"/>
                  </w:tcBorders>
                  <w:vAlign w:val="center"/>
                </w:tcPr>
                <w:p w14:paraId="3C72F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w:t>
                  </w:r>
                </w:p>
              </w:tc>
              <w:tc>
                <w:tcPr>
                  <w:tcW w:w="707" w:type="pct"/>
                  <w:tcBorders>
                    <w:tl2br w:val="nil"/>
                    <w:tr2bl w:val="nil"/>
                  </w:tcBorders>
                  <w:vAlign w:val="center"/>
                </w:tcPr>
                <w:p w14:paraId="1EE84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eastAsia" w:cs="Times New Roman"/>
                      <w:color w:val="000000"/>
                      <w:kern w:val="0"/>
                      <w:sz w:val="21"/>
                      <w:szCs w:val="21"/>
                      <w:shd w:val="clear" w:color="auto" w:fill="auto"/>
                      <w:lang w:val="en-US" w:eastAsia="zh-CN"/>
                    </w:rPr>
                    <w:t>/</w:t>
                  </w:r>
                </w:p>
              </w:tc>
            </w:tr>
          </w:tbl>
          <w:p w14:paraId="2503750A">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kern w:val="0"/>
                <w:sz w:val="21"/>
                <w:szCs w:val="21"/>
                <w:highlight w:val="none"/>
              </w:rPr>
            </w:pPr>
            <w:r>
              <w:rPr>
                <w:rFonts w:hint="default"/>
                <w:b/>
                <w:bCs/>
                <w:color w:val="000000"/>
                <w:kern w:val="0"/>
                <w:sz w:val="21"/>
                <w:szCs w:val="21"/>
                <w:highlight w:val="none"/>
              </w:rPr>
              <w:t>表</w:t>
            </w:r>
            <w:r>
              <w:rPr>
                <w:rFonts w:hint="eastAsia"/>
                <w:b/>
                <w:bCs/>
                <w:color w:val="000000"/>
                <w:kern w:val="0"/>
                <w:sz w:val="21"/>
                <w:szCs w:val="21"/>
                <w:highlight w:val="none"/>
                <w:lang w:val="en-US" w:eastAsia="zh-CN"/>
              </w:rPr>
              <w:t>2-5</w:t>
            </w:r>
            <w:r>
              <w:rPr>
                <w:rFonts w:hint="default"/>
                <w:b/>
                <w:bCs/>
                <w:color w:val="000000"/>
                <w:kern w:val="0"/>
                <w:sz w:val="21"/>
                <w:szCs w:val="21"/>
                <w:highlight w:val="none"/>
              </w:rPr>
              <w:t xml:space="preserve">                 </w:t>
            </w:r>
            <w:r>
              <w:rPr>
                <w:rFonts w:hint="eastAsia"/>
                <w:b/>
                <w:bCs/>
                <w:color w:val="000000"/>
                <w:kern w:val="0"/>
                <w:sz w:val="21"/>
                <w:szCs w:val="21"/>
                <w:highlight w:val="none"/>
                <w:lang w:val="en-US" w:eastAsia="zh-CN"/>
              </w:rPr>
              <w:t>天然气组分一览</w:t>
            </w:r>
            <w:r>
              <w:rPr>
                <w:rFonts w:hint="default"/>
                <w:b/>
                <w:bCs/>
                <w:color w:val="000000"/>
                <w:kern w:val="0"/>
                <w:sz w:val="21"/>
                <w:szCs w:val="21"/>
                <w:highlight w:val="none"/>
              </w:rPr>
              <w:t>表</w:t>
            </w:r>
          </w:p>
          <w:tbl>
            <w:tblPr>
              <w:tblStyle w:val="35"/>
              <w:tblpPr w:leftFromText="181" w:rightFromText="181" w:vertAnchor="text" w:horzAnchor="page" w:tblpXSpec="center" w:tblpY="1"/>
              <w:tblOverlap w:val="never"/>
              <w:tblW w:w="495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96"/>
              <w:gridCol w:w="1956"/>
              <w:gridCol w:w="2447"/>
              <w:gridCol w:w="2289"/>
            </w:tblGrid>
            <w:tr w14:paraId="61B359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4BEA5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序号</w:t>
                  </w:r>
                </w:p>
              </w:tc>
              <w:tc>
                <w:tcPr>
                  <w:tcW w:w="1255" w:type="pct"/>
                  <w:tcBorders>
                    <w:tl2br w:val="nil"/>
                    <w:tr2bl w:val="nil"/>
                  </w:tcBorders>
                  <w:vAlign w:val="center"/>
                </w:tcPr>
                <w:p w14:paraId="4629A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名称</w:t>
                  </w:r>
                </w:p>
              </w:tc>
              <w:tc>
                <w:tcPr>
                  <w:tcW w:w="1571" w:type="pct"/>
                  <w:tcBorders>
                    <w:tl2br w:val="nil"/>
                    <w:tr2bl w:val="nil"/>
                  </w:tcBorders>
                  <w:vAlign w:val="center"/>
                </w:tcPr>
                <w:p w14:paraId="3B77D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rPr>
                  </w:pPr>
                  <w:r>
                    <w:rPr>
                      <w:rFonts w:hint="default" w:ascii="Times New Roman" w:hAnsi="Times New Roman" w:eastAsia="宋体" w:cs="Times New Roman"/>
                      <w:b w:val="0"/>
                      <w:bCs/>
                      <w:color w:val="000000"/>
                      <w:kern w:val="0"/>
                      <w:sz w:val="21"/>
                      <w:szCs w:val="21"/>
                      <w:shd w:val="clear" w:color="auto" w:fill="auto"/>
                    </w:rPr>
                    <w:t>单位</w:t>
                  </w:r>
                </w:p>
              </w:tc>
              <w:tc>
                <w:tcPr>
                  <w:tcW w:w="1469" w:type="pct"/>
                  <w:tcBorders>
                    <w:tl2br w:val="nil"/>
                    <w:tr2bl w:val="nil"/>
                  </w:tcBorders>
                  <w:vAlign w:val="center"/>
                </w:tcPr>
                <w:p w14:paraId="4ED08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val="0"/>
                      <w:bCs/>
                      <w:color w:val="000000"/>
                      <w:kern w:val="0"/>
                      <w:sz w:val="21"/>
                      <w:szCs w:val="21"/>
                      <w:shd w:val="clear" w:color="auto" w:fill="auto"/>
                      <w:lang w:eastAsia="zh-CN"/>
                    </w:rPr>
                  </w:pPr>
                  <w:r>
                    <w:rPr>
                      <w:rFonts w:hint="default" w:ascii="Times New Roman" w:hAnsi="Times New Roman" w:eastAsia="宋体" w:cs="Times New Roman"/>
                      <w:b w:val="0"/>
                      <w:bCs/>
                      <w:color w:val="000000"/>
                      <w:kern w:val="0"/>
                      <w:sz w:val="21"/>
                      <w:szCs w:val="21"/>
                      <w:shd w:val="clear" w:color="auto" w:fill="auto"/>
                      <w:lang w:val="en-US" w:eastAsia="zh-CN"/>
                    </w:rPr>
                    <w:t>含量</w:t>
                  </w:r>
                </w:p>
              </w:tc>
            </w:tr>
            <w:tr w14:paraId="42012EC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49E51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1</w:t>
                  </w:r>
                </w:p>
              </w:tc>
              <w:tc>
                <w:tcPr>
                  <w:tcW w:w="1255" w:type="pct"/>
                  <w:tcBorders>
                    <w:tl2br w:val="nil"/>
                    <w:tr2bl w:val="nil"/>
                  </w:tcBorders>
                  <w:vAlign w:val="center"/>
                </w:tcPr>
                <w:p w14:paraId="5500D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eastAsia="zh-CN"/>
                    </w:rPr>
                  </w:pPr>
                  <w:r>
                    <w:rPr>
                      <w:rFonts w:hint="default" w:ascii="Times New Roman" w:hAnsi="Times New Roman" w:eastAsia="宋体" w:cs="Times New Roman"/>
                      <w:kern w:val="0"/>
                      <w:sz w:val="21"/>
                      <w:szCs w:val="21"/>
                      <w:shd w:val="clear" w:color="auto" w:fill="auto"/>
                      <w:lang w:val="en-US" w:eastAsia="zh-CN"/>
                    </w:rPr>
                    <w:t>高位发热量</w:t>
                  </w:r>
                </w:p>
              </w:tc>
              <w:tc>
                <w:tcPr>
                  <w:tcW w:w="1571" w:type="pct"/>
                  <w:tcBorders>
                    <w:tl2br w:val="nil"/>
                    <w:tr2bl w:val="nil"/>
                  </w:tcBorders>
                  <w:vAlign w:val="center"/>
                </w:tcPr>
                <w:p w14:paraId="54D42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lang w:val="en-US" w:eastAsia="zh-CN"/>
                    </w:rPr>
                    <w:t>MJ/m</w:t>
                  </w:r>
                  <w:r>
                    <w:rPr>
                      <w:rFonts w:hint="default" w:ascii="Times New Roman" w:hAnsi="Times New Roman" w:eastAsia="宋体" w:cs="Times New Roman"/>
                      <w:color w:val="000000"/>
                      <w:spacing w:val="6"/>
                      <w:kern w:val="0"/>
                      <w:sz w:val="21"/>
                      <w:szCs w:val="21"/>
                      <w:shd w:val="clear" w:color="auto" w:fill="auto"/>
                      <w:vertAlign w:val="superscript"/>
                      <w:lang w:val="en-US" w:eastAsia="zh-CN"/>
                    </w:rPr>
                    <w:t>3</w:t>
                  </w:r>
                </w:p>
              </w:tc>
              <w:tc>
                <w:tcPr>
                  <w:tcW w:w="1469" w:type="pct"/>
                  <w:tcBorders>
                    <w:tl2br w:val="nil"/>
                    <w:tr2bl w:val="nil"/>
                  </w:tcBorders>
                  <w:vAlign w:val="center"/>
                </w:tcPr>
                <w:p w14:paraId="1EF3A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36.57</w:t>
                  </w:r>
                </w:p>
              </w:tc>
            </w:tr>
            <w:tr w14:paraId="77CCFD3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3CCA4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2</w:t>
                  </w:r>
                </w:p>
              </w:tc>
              <w:tc>
                <w:tcPr>
                  <w:tcW w:w="1255" w:type="pct"/>
                  <w:tcBorders>
                    <w:tl2br w:val="nil"/>
                    <w:tr2bl w:val="nil"/>
                  </w:tcBorders>
                  <w:vAlign w:val="center"/>
                </w:tcPr>
                <w:p w14:paraId="6B0AF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低位发热量</w:t>
                  </w:r>
                </w:p>
              </w:tc>
              <w:tc>
                <w:tcPr>
                  <w:tcW w:w="1571" w:type="pct"/>
                  <w:tcBorders>
                    <w:tl2br w:val="nil"/>
                    <w:tr2bl w:val="nil"/>
                  </w:tcBorders>
                  <w:vAlign w:val="center"/>
                </w:tcPr>
                <w:p w14:paraId="3DBF0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rPr>
                  </w:pPr>
                  <w:r>
                    <w:rPr>
                      <w:rFonts w:hint="default" w:ascii="Times New Roman" w:hAnsi="Times New Roman" w:eastAsia="宋体" w:cs="Times New Roman"/>
                      <w:color w:val="000000"/>
                      <w:spacing w:val="6"/>
                      <w:kern w:val="0"/>
                      <w:sz w:val="21"/>
                      <w:szCs w:val="21"/>
                      <w:shd w:val="clear" w:color="auto" w:fill="auto"/>
                      <w:lang w:val="en-US" w:eastAsia="zh-CN"/>
                    </w:rPr>
                    <w:t>MJ/m</w:t>
                  </w:r>
                  <w:r>
                    <w:rPr>
                      <w:rFonts w:hint="default" w:ascii="Times New Roman" w:hAnsi="Times New Roman" w:eastAsia="宋体" w:cs="Times New Roman"/>
                      <w:color w:val="000000"/>
                      <w:spacing w:val="6"/>
                      <w:kern w:val="0"/>
                      <w:sz w:val="21"/>
                      <w:szCs w:val="21"/>
                      <w:shd w:val="clear" w:color="auto" w:fill="auto"/>
                      <w:vertAlign w:val="superscript"/>
                      <w:lang w:val="en-US" w:eastAsia="zh-CN"/>
                    </w:rPr>
                    <w:t>3</w:t>
                  </w:r>
                </w:p>
              </w:tc>
              <w:tc>
                <w:tcPr>
                  <w:tcW w:w="1469" w:type="pct"/>
                  <w:tcBorders>
                    <w:tl2br w:val="nil"/>
                    <w:tr2bl w:val="nil"/>
                  </w:tcBorders>
                  <w:vAlign w:val="center"/>
                </w:tcPr>
                <w:p w14:paraId="6648F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32.95</w:t>
                  </w:r>
                </w:p>
              </w:tc>
            </w:tr>
            <w:tr w14:paraId="53A2A5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2D41B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rPr>
                  </w:pPr>
                  <w:r>
                    <w:rPr>
                      <w:rFonts w:hint="default" w:ascii="Times New Roman" w:hAnsi="Times New Roman" w:eastAsia="宋体" w:cs="Times New Roman"/>
                      <w:color w:val="000000"/>
                      <w:kern w:val="0"/>
                      <w:sz w:val="21"/>
                      <w:szCs w:val="21"/>
                      <w:shd w:val="clear" w:color="auto" w:fill="auto"/>
                    </w:rPr>
                    <w:t>3</w:t>
                  </w:r>
                </w:p>
              </w:tc>
              <w:tc>
                <w:tcPr>
                  <w:tcW w:w="1255" w:type="pct"/>
                  <w:tcBorders>
                    <w:tl2br w:val="nil"/>
                    <w:tr2bl w:val="nil"/>
                  </w:tcBorders>
                  <w:vAlign w:val="center"/>
                </w:tcPr>
                <w:p w14:paraId="6C9D4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eastAsia="zh-CN"/>
                    </w:rPr>
                  </w:pPr>
                  <w:r>
                    <w:rPr>
                      <w:rFonts w:hint="default" w:ascii="Times New Roman" w:hAnsi="Times New Roman" w:eastAsia="宋体" w:cs="Times New Roman"/>
                      <w:kern w:val="0"/>
                      <w:sz w:val="21"/>
                      <w:szCs w:val="21"/>
                      <w:shd w:val="clear" w:color="auto" w:fill="auto"/>
                      <w:lang w:val="en-US" w:eastAsia="zh-CN"/>
                    </w:rPr>
                    <w:t>密度</w:t>
                  </w:r>
                </w:p>
              </w:tc>
              <w:tc>
                <w:tcPr>
                  <w:tcW w:w="1571" w:type="pct"/>
                  <w:tcBorders>
                    <w:tl2br w:val="nil"/>
                    <w:tr2bl w:val="nil"/>
                  </w:tcBorders>
                  <w:vAlign w:val="center"/>
                </w:tcPr>
                <w:p w14:paraId="352AC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kg/m</w:t>
                  </w:r>
                  <w:r>
                    <w:rPr>
                      <w:rFonts w:hint="default" w:ascii="Times New Roman" w:hAnsi="Times New Roman" w:eastAsia="宋体" w:cs="Times New Roman"/>
                      <w:color w:val="000000"/>
                      <w:spacing w:val="6"/>
                      <w:kern w:val="0"/>
                      <w:sz w:val="21"/>
                      <w:szCs w:val="21"/>
                      <w:shd w:val="clear" w:color="auto" w:fill="auto"/>
                      <w:vertAlign w:val="superscript"/>
                      <w:lang w:val="en-US" w:eastAsia="zh-CN"/>
                    </w:rPr>
                    <w:t>3</w:t>
                  </w:r>
                </w:p>
              </w:tc>
              <w:tc>
                <w:tcPr>
                  <w:tcW w:w="1469" w:type="pct"/>
                  <w:tcBorders>
                    <w:tl2br w:val="nil"/>
                    <w:tr2bl w:val="nil"/>
                  </w:tcBorders>
                  <w:vAlign w:val="center"/>
                </w:tcPr>
                <w:p w14:paraId="71B67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0.6931</w:t>
                  </w:r>
                </w:p>
              </w:tc>
            </w:tr>
            <w:tr w14:paraId="71774AC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2AD43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4</w:t>
                  </w:r>
                </w:p>
              </w:tc>
              <w:tc>
                <w:tcPr>
                  <w:tcW w:w="1255" w:type="pct"/>
                  <w:tcBorders>
                    <w:tl2br w:val="nil"/>
                    <w:tr2bl w:val="nil"/>
                  </w:tcBorders>
                  <w:vAlign w:val="center"/>
                </w:tcPr>
                <w:p w14:paraId="7314C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氦</w:t>
                  </w:r>
                </w:p>
              </w:tc>
              <w:tc>
                <w:tcPr>
                  <w:tcW w:w="1571" w:type="pct"/>
                  <w:tcBorders>
                    <w:tl2br w:val="nil"/>
                    <w:tr2bl w:val="nil"/>
                  </w:tcBorders>
                  <w:vAlign w:val="center"/>
                </w:tcPr>
                <w:p w14:paraId="2FD7D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vAlign w:val="center"/>
                </w:tcPr>
                <w:p w14:paraId="7019C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0</w:t>
                  </w:r>
                </w:p>
              </w:tc>
            </w:tr>
            <w:tr w14:paraId="2059B3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72824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5</w:t>
                  </w:r>
                </w:p>
              </w:tc>
              <w:tc>
                <w:tcPr>
                  <w:tcW w:w="1255" w:type="pct"/>
                  <w:tcBorders>
                    <w:tl2br w:val="nil"/>
                    <w:tr2bl w:val="nil"/>
                  </w:tcBorders>
                  <w:vAlign w:val="center"/>
                </w:tcPr>
                <w:p w14:paraId="15B8D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氢</w:t>
                  </w:r>
                </w:p>
              </w:tc>
              <w:tc>
                <w:tcPr>
                  <w:tcW w:w="1571" w:type="pct"/>
                  <w:tcBorders>
                    <w:tl2br w:val="nil"/>
                    <w:tr2bl w:val="nil"/>
                  </w:tcBorders>
                  <w:vAlign w:val="center"/>
                </w:tcPr>
                <w:p w14:paraId="1775E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vAlign w:val="center"/>
                </w:tcPr>
                <w:p w14:paraId="40827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0</w:t>
                  </w:r>
                </w:p>
              </w:tc>
            </w:tr>
            <w:tr w14:paraId="5A43EEF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249B9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6</w:t>
                  </w:r>
                </w:p>
              </w:tc>
              <w:tc>
                <w:tcPr>
                  <w:tcW w:w="1255" w:type="pct"/>
                  <w:tcBorders>
                    <w:tl2br w:val="nil"/>
                    <w:tr2bl w:val="nil"/>
                  </w:tcBorders>
                  <w:vAlign w:val="center"/>
                </w:tcPr>
                <w:p w14:paraId="25CDC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氧</w:t>
                  </w:r>
                </w:p>
              </w:tc>
              <w:tc>
                <w:tcPr>
                  <w:tcW w:w="1571" w:type="pct"/>
                  <w:tcBorders>
                    <w:tl2br w:val="nil"/>
                    <w:tr2bl w:val="nil"/>
                  </w:tcBorders>
                  <w:vAlign w:val="center"/>
                </w:tcPr>
                <w:p w14:paraId="0F1A7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vAlign w:val="center"/>
                </w:tcPr>
                <w:p w14:paraId="06EDB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0</w:t>
                  </w:r>
                </w:p>
              </w:tc>
            </w:tr>
            <w:tr w14:paraId="623ED46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564B3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7</w:t>
                  </w:r>
                </w:p>
              </w:tc>
              <w:tc>
                <w:tcPr>
                  <w:tcW w:w="1255" w:type="pct"/>
                  <w:tcBorders>
                    <w:tl2br w:val="nil"/>
                    <w:tr2bl w:val="nil"/>
                  </w:tcBorders>
                  <w:vAlign w:val="center"/>
                </w:tcPr>
                <w:p w14:paraId="2B0D6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氮</w:t>
                  </w:r>
                </w:p>
              </w:tc>
              <w:tc>
                <w:tcPr>
                  <w:tcW w:w="1571" w:type="pct"/>
                  <w:tcBorders>
                    <w:tl2br w:val="nil"/>
                    <w:tr2bl w:val="nil"/>
                  </w:tcBorders>
                  <w:vAlign w:val="center"/>
                </w:tcPr>
                <w:p w14:paraId="75309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vAlign w:val="center"/>
                </w:tcPr>
                <w:p w14:paraId="54E51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1.77089</w:t>
                  </w:r>
                </w:p>
              </w:tc>
            </w:tr>
            <w:tr w14:paraId="53548AB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4468A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8</w:t>
                  </w:r>
                </w:p>
              </w:tc>
              <w:tc>
                <w:tcPr>
                  <w:tcW w:w="1255" w:type="pct"/>
                  <w:tcBorders>
                    <w:tl2br w:val="nil"/>
                    <w:tr2bl w:val="nil"/>
                  </w:tcBorders>
                  <w:vAlign w:val="center"/>
                </w:tcPr>
                <w:p w14:paraId="4AF31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二氧化碳</w:t>
                  </w:r>
                </w:p>
              </w:tc>
              <w:tc>
                <w:tcPr>
                  <w:tcW w:w="1571" w:type="pct"/>
                  <w:tcBorders>
                    <w:tl2br w:val="nil"/>
                    <w:tr2bl w:val="nil"/>
                  </w:tcBorders>
                  <w:vAlign w:val="center"/>
                </w:tcPr>
                <w:p w14:paraId="5BC8F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28E79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0.70004</w:t>
                  </w:r>
                </w:p>
              </w:tc>
            </w:tr>
            <w:tr w14:paraId="709618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361E2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9</w:t>
                  </w:r>
                </w:p>
              </w:tc>
              <w:tc>
                <w:tcPr>
                  <w:tcW w:w="1255" w:type="pct"/>
                  <w:tcBorders>
                    <w:tl2br w:val="nil"/>
                    <w:tr2bl w:val="nil"/>
                  </w:tcBorders>
                  <w:vAlign w:val="center"/>
                </w:tcPr>
                <w:p w14:paraId="69285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甲烷</w:t>
                  </w:r>
                </w:p>
              </w:tc>
              <w:tc>
                <w:tcPr>
                  <w:tcW w:w="1571" w:type="pct"/>
                  <w:tcBorders>
                    <w:tl2br w:val="nil"/>
                    <w:tr2bl w:val="nil"/>
                  </w:tcBorders>
                  <w:vAlign w:val="center"/>
                </w:tcPr>
                <w:p w14:paraId="4DCF4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687E6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96.24551</w:t>
                  </w:r>
                </w:p>
              </w:tc>
            </w:tr>
            <w:tr w14:paraId="24DCD95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1482C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10</w:t>
                  </w:r>
                </w:p>
              </w:tc>
              <w:tc>
                <w:tcPr>
                  <w:tcW w:w="1255" w:type="pct"/>
                  <w:tcBorders>
                    <w:tl2br w:val="nil"/>
                    <w:tr2bl w:val="nil"/>
                  </w:tcBorders>
                  <w:vAlign w:val="center"/>
                </w:tcPr>
                <w:p w14:paraId="39ED3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乙烷</w:t>
                  </w:r>
                </w:p>
              </w:tc>
              <w:tc>
                <w:tcPr>
                  <w:tcW w:w="1571" w:type="pct"/>
                  <w:tcBorders>
                    <w:tl2br w:val="nil"/>
                    <w:tr2bl w:val="nil"/>
                  </w:tcBorders>
                  <w:vAlign w:val="center"/>
                </w:tcPr>
                <w:p w14:paraId="6D90E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71260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1.06580</w:t>
                  </w:r>
                </w:p>
              </w:tc>
            </w:tr>
            <w:tr w14:paraId="3C9CE96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4A47D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11</w:t>
                  </w:r>
                </w:p>
              </w:tc>
              <w:tc>
                <w:tcPr>
                  <w:tcW w:w="1255" w:type="pct"/>
                  <w:tcBorders>
                    <w:tl2br w:val="nil"/>
                    <w:tr2bl w:val="nil"/>
                  </w:tcBorders>
                  <w:vAlign w:val="center"/>
                </w:tcPr>
                <w:p w14:paraId="1BAB9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丙烷</w:t>
                  </w:r>
                </w:p>
              </w:tc>
              <w:tc>
                <w:tcPr>
                  <w:tcW w:w="1571" w:type="pct"/>
                  <w:tcBorders>
                    <w:tl2br w:val="nil"/>
                    <w:tr2bl w:val="nil"/>
                  </w:tcBorders>
                  <w:vAlign w:val="center"/>
                </w:tcPr>
                <w:p w14:paraId="4A52A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5BC93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0.14729</w:t>
                  </w:r>
                </w:p>
              </w:tc>
            </w:tr>
            <w:tr w14:paraId="367F56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43D44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12</w:t>
                  </w:r>
                </w:p>
              </w:tc>
              <w:tc>
                <w:tcPr>
                  <w:tcW w:w="1255" w:type="pct"/>
                  <w:tcBorders>
                    <w:tl2br w:val="nil"/>
                    <w:tr2bl w:val="nil"/>
                  </w:tcBorders>
                  <w:vAlign w:val="center"/>
                </w:tcPr>
                <w:p w14:paraId="56BC3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异丁烷</w:t>
                  </w:r>
                </w:p>
              </w:tc>
              <w:tc>
                <w:tcPr>
                  <w:tcW w:w="1571" w:type="pct"/>
                  <w:tcBorders>
                    <w:tl2br w:val="nil"/>
                    <w:tr2bl w:val="nil"/>
                  </w:tcBorders>
                  <w:vAlign w:val="center"/>
                </w:tcPr>
                <w:p w14:paraId="03C6F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01BC0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0.02376</w:t>
                  </w:r>
                </w:p>
              </w:tc>
            </w:tr>
            <w:tr w14:paraId="155A020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614A1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13</w:t>
                  </w:r>
                </w:p>
              </w:tc>
              <w:tc>
                <w:tcPr>
                  <w:tcW w:w="1255" w:type="pct"/>
                  <w:tcBorders>
                    <w:tl2br w:val="nil"/>
                    <w:tr2bl w:val="nil"/>
                  </w:tcBorders>
                  <w:vAlign w:val="center"/>
                </w:tcPr>
                <w:p w14:paraId="66432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正丁烷</w:t>
                  </w:r>
                </w:p>
              </w:tc>
              <w:tc>
                <w:tcPr>
                  <w:tcW w:w="1571" w:type="pct"/>
                  <w:tcBorders>
                    <w:tl2br w:val="nil"/>
                    <w:tr2bl w:val="nil"/>
                  </w:tcBorders>
                  <w:vAlign w:val="center"/>
                </w:tcPr>
                <w:p w14:paraId="623B6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w:t>
                  </w:r>
                  <w:r>
                    <w:rPr>
                      <w:rFonts w:hint="eastAsia" w:cs="Times New Roman"/>
                      <w:kern w:val="0"/>
                      <w:sz w:val="21"/>
                      <w:szCs w:val="21"/>
                      <w:shd w:val="clear" w:color="auto" w:fill="auto"/>
                      <w:lang w:val="en-US" w:eastAsia="zh-CN"/>
                    </w:rPr>
                    <w:t>（</w:t>
                  </w:r>
                  <w:r>
                    <w:rPr>
                      <w:rFonts w:hint="default" w:ascii="Times New Roman" w:hAnsi="Times New Roman" w:eastAsia="宋体" w:cs="Times New Roman"/>
                      <w:kern w:val="0"/>
                      <w:sz w:val="21"/>
                      <w:szCs w:val="21"/>
                      <w:shd w:val="clear" w:color="auto" w:fill="auto"/>
                      <w:lang w:val="en-US" w:eastAsia="zh-CN"/>
                    </w:rPr>
                    <w:t>摩尔分数</w:t>
                  </w:r>
                  <w:r>
                    <w:rPr>
                      <w:rFonts w:hint="eastAsia" w:cs="Times New Roman"/>
                      <w:kern w:val="0"/>
                      <w:sz w:val="21"/>
                      <w:szCs w:val="21"/>
                      <w:shd w:val="clear" w:color="auto" w:fill="auto"/>
                      <w:lang w:val="en-US" w:eastAsia="zh-CN"/>
                    </w:rPr>
                    <w:t>）</w:t>
                  </w:r>
                </w:p>
              </w:tc>
              <w:tc>
                <w:tcPr>
                  <w:tcW w:w="1469" w:type="pct"/>
                  <w:tcBorders>
                    <w:tl2br w:val="nil"/>
                    <w:tr2bl w:val="nil"/>
                  </w:tcBorders>
                  <w:vAlign w:val="center"/>
                </w:tcPr>
                <w:p w14:paraId="2CDEE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0.02864</w:t>
                  </w:r>
                </w:p>
              </w:tc>
            </w:tr>
            <w:tr w14:paraId="6AAF87D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75F48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14</w:t>
                  </w:r>
                </w:p>
              </w:tc>
              <w:tc>
                <w:tcPr>
                  <w:tcW w:w="1255" w:type="pct"/>
                  <w:tcBorders>
                    <w:tl2br w:val="nil"/>
                    <w:tr2bl w:val="nil"/>
                  </w:tcBorders>
                  <w:vAlign w:val="center"/>
                </w:tcPr>
                <w:p w14:paraId="3A9E8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新戊烷</w:t>
                  </w:r>
                </w:p>
              </w:tc>
              <w:tc>
                <w:tcPr>
                  <w:tcW w:w="1571" w:type="pct"/>
                  <w:tcBorders>
                    <w:tl2br w:val="nil"/>
                    <w:tr2bl w:val="nil"/>
                  </w:tcBorders>
                  <w:shd w:val="clear" w:color="auto" w:fill="auto"/>
                  <w:vAlign w:val="center"/>
                </w:tcPr>
                <w:p w14:paraId="45ED7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shd w:val="clear" w:color="auto" w:fill="auto"/>
                  <w:vAlign w:val="center"/>
                </w:tcPr>
                <w:p w14:paraId="26FC9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0</w:t>
                  </w:r>
                </w:p>
              </w:tc>
            </w:tr>
            <w:tr w14:paraId="3EC4A5E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6D65B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15</w:t>
                  </w:r>
                </w:p>
              </w:tc>
              <w:tc>
                <w:tcPr>
                  <w:tcW w:w="1255" w:type="pct"/>
                  <w:tcBorders>
                    <w:tl2br w:val="nil"/>
                    <w:tr2bl w:val="nil"/>
                  </w:tcBorders>
                  <w:vAlign w:val="center"/>
                </w:tcPr>
                <w:p w14:paraId="65186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异戊烷</w:t>
                  </w:r>
                </w:p>
              </w:tc>
              <w:tc>
                <w:tcPr>
                  <w:tcW w:w="1571" w:type="pct"/>
                  <w:tcBorders>
                    <w:tl2br w:val="nil"/>
                    <w:tr2bl w:val="nil"/>
                  </w:tcBorders>
                  <w:shd w:val="clear" w:color="auto" w:fill="auto"/>
                  <w:vAlign w:val="center"/>
                </w:tcPr>
                <w:p w14:paraId="7B01F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shd w:val="clear" w:color="auto" w:fill="auto"/>
                  <w:vAlign w:val="center"/>
                </w:tcPr>
                <w:p w14:paraId="5F193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0.01023</w:t>
                  </w:r>
                </w:p>
              </w:tc>
            </w:tr>
            <w:tr w14:paraId="1A6FF00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6CEE9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16</w:t>
                  </w:r>
                </w:p>
              </w:tc>
              <w:tc>
                <w:tcPr>
                  <w:tcW w:w="1255" w:type="pct"/>
                  <w:tcBorders>
                    <w:tl2br w:val="nil"/>
                    <w:tr2bl w:val="nil"/>
                  </w:tcBorders>
                  <w:vAlign w:val="center"/>
                </w:tcPr>
                <w:p w14:paraId="4663D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正戊烷</w:t>
                  </w:r>
                </w:p>
              </w:tc>
              <w:tc>
                <w:tcPr>
                  <w:tcW w:w="1571" w:type="pct"/>
                  <w:tcBorders>
                    <w:tl2br w:val="nil"/>
                    <w:tr2bl w:val="nil"/>
                  </w:tcBorders>
                  <w:vAlign w:val="center"/>
                </w:tcPr>
                <w:p w14:paraId="60D50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vAlign w:val="center"/>
                </w:tcPr>
                <w:p w14:paraId="019C9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rPr>
                  </w:pPr>
                  <w:r>
                    <w:rPr>
                      <w:rFonts w:hint="default" w:ascii="Times New Roman" w:hAnsi="Times New Roman" w:eastAsia="宋体" w:cs="Times New Roman"/>
                      <w:kern w:val="0"/>
                      <w:sz w:val="21"/>
                      <w:szCs w:val="21"/>
                      <w:shd w:val="clear" w:color="auto" w:fill="auto"/>
                      <w:lang w:val="en-US" w:eastAsia="zh-CN"/>
                    </w:rPr>
                    <w:t>0.00784</w:t>
                  </w:r>
                </w:p>
              </w:tc>
            </w:tr>
            <w:tr w14:paraId="4F50D28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16684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17</w:t>
                  </w:r>
                </w:p>
              </w:tc>
              <w:tc>
                <w:tcPr>
                  <w:tcW w:w="1255" w:type="pct"/>
                  <w:tcBorders>
                    <w:tl2br w:val="nil"/>
                    <w:tr2bl w:val="nil"/>
                  </w:tcBorders>
                  <w:shd w:val="clear" w:color="auto" w:fill="auto"/>
                  <w:vAlign w:val="center"/>
                </w:tcPr>
                <w:p w14:paraId="44DBD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己烷及以上</w:t>
                  </w:r>
                </w:p>
              </w:tc>
              <w:tc>
                <w:tcPr>
                  <w:tcW w:w="1571" w:type="pct"/>
                  <w:tcBorders>
                    <w:tl2br w:val="nil"/>
                    <w:tr2bl w:val="nil"/>
                  </w:tcBorders>
                  <w:shd w:val="clear" w:color="auto" w:fill="auto"/>
                  <w:vAlign w:val="center"/>
                </w:tcPr>
                <w:p w14:paraId="6AE8A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shd w:val="clear" w:color="auto" w:fill="auto"/>
                  <w:vAlign w:val="center"/>
                </w:tcPr>
                <w:p w14:paraId="55949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0</w:t>
                  </w:r>
                </w:p>
              </w:tc>
            </w:tr>
            <w:tr w14:paraId="5EB2FD4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6915D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18</w:t>
                  </w:r>
                </w:p>
              </w:tc>
              <w:tc>
                <w:tcPr>
                  <w:tcW w:w="1255" w:type="pct"/>
                  <w:tcBorders>
                    <w:tl2br w:val="nil"/>
                    <w:tr2bl w:val="nil"/>
                  </w:tcBorders>
                  <w:shd w:val="clear" w:color="auto" w:fill="auto"/>
                  <w:vAlign w:val="center"/>
                </w:tcPr>
                <w:p w14:paraId="51BC8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庚烷和更重组分</w:t>
                  </w:r>
                </w:p>
              </w:tc>
              <w:tc>
                <w:tcPr>
                  <w:tcW w:w="1571" w:type="pct"/>
                  <w:tcBorders>
                    <w:tl2br w:val="nil"/>
                    <w:tr2bl w:val="nil"/>
                  </w:tcBorders>
                  <w:shd w:val="clear" w:color="auto" w:fill="auto"/>
                  <w:vAlign w:val="center"/>
                </w:tcPr>
                <w:p w14:paraId="6B370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w:t>
                  </w:r>
                  <w:r>
                    <w:rPr>
                      <w:rFonts w:hint="eastAsia" w:cs="Times New Roman"/>
                      <w:color w:val="000000"/>
                      <w:spacing w:val="6"/>
                      <w:kern w:val="0"/>
                      <w:sz w:val="21"/>
                      <w:szCs w:val="21"/>
                      <w:shd w:val="clear" w:color="auto" w:fill="auto"/>
                      <w:lang w:val="en-US" w:eastAsia="zh-CN"/>
                    </w:rPr>
                    <w:t>（</w:t>
                  </w:r>
                  <w:r>
                    <w:rPr>
                      <w:rFonts w:hint="default" w:ascii="Times New Roman" w:hAnsi="Times New Roman" w:eastAsia="宋体" w:cs="Times New Roman"/>
                      <w:color w:val="000000"/>
                      <w:spacing w:val="6"/>
                      <w:kern w:val="0"/>
                      <w:sz w:val="21"/>
                      <w:szCs w:val="21"/>
                      <w:shd w:val="clear" w:color="auto" w:fill="auto"/>
                      <w:lang w:val="en-US" w:eastAsia="zh-CN"/>
                    </w:rPr>
                    <w:t>摩尔分数</w:t>
                  </w:r>
                  <w:r>
                    <w:rPr>
                      <w:rFonts w:hint="eastAsia" w:cs="Times New Roman"/>
                      <w:color w:val="000000"/>
                      <w:spacing w:val="6"/>
                      <w:kern w:val="0"/>
                      <w:sz w:val="21"/>
                      <w:szCs w:val="21"/>
                      <w:shd w:val="clear" w:color="auto" w:fill="auto"/>
                      <w:lang w:val="en-US" w:eastAsia="zh-CN"/>
                    </w:rPr>
                    <w:t>）</w:t>
                  </w:r>
                </w:p>
              </w:tc>
              <w:tc>
                <w:tcPr>
                  <w:tcW w:w="1469" w:type="pct"/>
                  <w:tcBorders>
                    <w:tl2br w:val="nil"/>
                    <w:tr2bl w:val="nil"/>
                  </w:tcBorders>
                  <w:shd w:val="clear" w:color="auto" w:fill="auto"/>
                  <w:vAlign w:val="center"/>
                </w:tcPr>
                <w:p w14:paraId="17052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0</w:t>
                  </w:r>
                </w:p>
              </w:tc>
            </w:tr>
            <w:tr w14:paraId="74E9EFC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03" w:type="pct"/>
                  <w:tcBorders>
                    <w:tl2br w:val="nil"/>
                    <w:tr2bl w:val="nil"/>
                  </w:tcBorders>
                  <w:vAlign w:val="center"/>
                </w:tcPr>
                <w:p w14:paraId="1B916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shd w:val="clear" w:color="auto" w:fill="auto"/>
                      <w:lang w:val="en-US" w:eastAsia="zh-CN"/>
                    </w:rPr>
                  </w:pPr>
                  <w:r>
                    <w:rPr>
                      <w:rFonts w:hint="default" w:ascii="Times New Roman" w:hAnsi="Times New Roman" w:eastAsia="宋体" w:cs="Times New Roman"/>
                      <w:color w:val="000000"/>
                      <w:kern w:val="0"/>
                      <w:sz w:val="21"/>
                      <w:szCs w:val="21"/>
                      <w:shd w:val="clear" w:color="auto" w:fill="auto"/>
                      <w:lang w:val="en-US" w:eastAsia="zh-CN"/>
                    </w:rPr>
                    <w:t>19</w:t>
                  </w:r>
                </w:p>
              </w:tc>
              <w:tc>
                <w:tcPr>
                  <w:tcW w:w="1255" w:type="pct"/>
                  <w:tcBorders>
                    <w:tl2br w:val="nil"/>
                    <w:tr2bl w:val="nil"/>
                  </w:tcBorders>
                  <w:shd w:val="clear" w:color="auto" w:fill="auto"/>
                  <w:vAlign w:val="center"/>
                </w:tcPr>
                <w:p w14:paraId="20AA8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相对密度</w:t>
                  </w:r>
                </w:p>
              </w:tc>
              <w:tc>
                <w:tcPr>
                  <w:tcW w:w="1571" w:type="pct"/>
                  <w:tcBorders>
                    <w:tl2br w:val="nil"/>
                    <w:tr2bl w:val="nil"/>
                  </w:tcBorders>
                  <w:shd w:val="clear" w:color="auto" w:fill="auto"/>
                  <w:vAlign w:val="center"/>
                </w:tcPr>
                <w:p w14:paraId="29C80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color w:val="000000"/>
                      <w:spacing w:val="6"/>
                      <w:kern w:val="0"/>
                      <w:sz w:val="21"/>
                      <w:szCs w:val="21"/>
                      <w:shd w:val="clear" w:color="auto" w:fill="auto"/>
                      <w:lang w:val="en-US" w:eastAsia="zh-CN"/>
                    </w:rPr>
                    <w:t>kg/m</w:t>
                  </w:r>
                  <w:r>
                    <w:rPr>
                      <w:rFonts w:hint="default" w:ascii="Times New Roman" w:hAnsi="Times New Roman" w:eastAsia="宋体" w:cs="Times New Roman"/>
                      <w:color w:val="000000"/>
                      <w:spacing w:val="6"/>
                      <w:kern w:val="0"/>
                      <w:sz w:val="21"/>
                      <w:szCs w:val="21"/>
                      <w:shd w:val="clear" w:color="auto" w:fill="auto"/>
                      <w:vertAlign w:val="superscript"/>
                      <w:lang w:val="en-US" w:eastAsia="zh-CN"/>
                    </w:rPr>
                    <w:t>3</w:t>
                  </w:r>
                </w:p>
              </w:tc>
              <w:tc>
                <w:tcPr>
                  <w:tcW w:w="1469" w:type="pct"/>
                  <w:tcBorders>
                    <w:tl2br w:val="nil"/>
                    <w:tr2bl w:val="nil"/>
                  </w:tcBorders>
                  <w:shd w:val="clear" w:color="auto" w:fill="auto"/>
                  <w:vAlign w:val="center"/>
                </w:tcPr>
                <w:p w14:paraId="675CD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default" w:ascii="Times New Roman" w:hAnsi="Times New Roman" w:eastAsia="宋体" w:cs="Times New Roman"/>
                      <w:color w:val="000000"/>
                      <w:spacing w:val="6"/>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lang w:val="en-US" w:eastAsia="zh-CN"/>
                    </w:rPr>
                    <w:t>0.5756</w:t>
                  </w:r>
                </w:p>
              </w:tc>
            </w:tr>
          </w:tbl>
          <w:p w14:paraId="40175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ascii="Times New Roman" w:hAnsi="Times New Roman" w:cs="Times New Roman"/>
                <w:b w:val="0"/>
                <w:bCs w:val="0"/>
                <w:color w:val="000000"/>
                <w:kern w:val="0"/>
                <w:lang w:val="en-US" w:eastAsia="zh-CN"/>
              </w:rPr>
            </w:pPr>
            <w:r>
              <w:rPr>
                <w:rFonts w:hint="default" w:ascii="Times New Roman" w:hAnsi="Times New Roman" w:cs="Times New Roman"/>
                <w:b w:val="0"/>
                <w:bCs w:val="0"/>
                <w:color w:val="000000"/>
                <w:kern w:val="0"/>
                <w:lang w:val="en-US" w:eastAsia="zh-CN"/>
              </w:rPr>
              <w:t>硫酸的物理性质：纯硫酸一般为无色油状液体；密度1.84g/cm³；沸点337℃；能与水以任意比例互溶，同时放出大量的热，使水沸腾；硫酸的熔点是10.371℃，加水或加三氧化硫均会使凝固点下降。硫酸的化学性质：腐蚀性：可与多数金属（比铜活泼）和绝大多数金属氧化物反应，生成相应的硫酸盐和水；能与指示剂作用，使紫色石蕊试液变红，使无色酚酞试液不变色。可与碱反应生成相应的硫酸盐和水；可与氢前金属在一定条件下反应，生成相应的硫酸盐和氢气；可与所含酸根离子对应酸酸性比硫酸根离子弱的盐反应，生成相应的硫酸盐和弱酸；</w:t>
            </w:r>
            <w:r>
              <w:rPr>
                <w:rFonts w:hint="eastAsia" w:cs="Times New Roman"/>
                <w:b w:val="0"/>
                <w:bCs w:val="0"/>
                <w:color w:val="000000"/>
                <w:kern w:val="0"/>
                <w:lang w:val="en-US" w:eastAsia="zh-CN"/>
              </w:rPr>
              <w:t>硫酸具有</w:t>
            </w:r>
            <w:r>
              <w:rPr>
                <w:rFonts w:hint="default" w:ascii="Times New Roman" w:hAnsi="Times New Roman" w:cs="Times New Roman"/>
                <w:b w:val="0"/>
                <w:bCs w:val="0"/>
                <w:color w:val="000000"/>
                <w:kern w:val="0"/>
                <w:lang w:val="en-US" w:eastAsia="zh-CN"/>
              </w:rPr>
              <w:t>脱水性：脱水指浓硫酸脱去非游离态水分子或按照水的氢氧原子组成比脱去有机物中氢氧元素的过程。</w:t>
            </w:r>
            <w:r>
              <w:rPr>
                <w:rFonts w:hint="eastAsia" w:cs="Times New Roman"/>
                <w:b w:val="0"/>
                <w:bCs w:val="0"/>
                <w:color w:val="000000"/>
                <w:kern w:val="0"/>
                <w:lang w:val="en-US" w:eastAsia="zh-CN"/>
              </w:rPr>
              <w:t>硫酸具有</w:t>
            </w:r>
            <w:r>
              <w:rPr>
                <w:rFonts w:hint="default" w:ascii="Times New Roman" w:hAnsi="Times New Roman" w:cs="Times New Roman"/>
                <w:b w:val="0"/>
                <w:bCs w:val="0"/>
                <w:color w:val="000000"/>
                <w:kern w:val="0"/>
                <w:lang w:val="en-US" w:eastAsia="zh-CN"/>
              </w:rPr>
              <w:t>强氧化性，还原产物：浓硫酸由于还原剂的量，种类的不同可能被还原为SO</w:t>
            </w:r>
            <w:r>
              <w:rPr>
                <w:rFonts w:hint="default" w:ascii="Times New Roman" w:hAnsi="Times New Roman" w:cs="Times New Roman"/>
                <w:b w:val="0"/>
                <w:bCs w:val="0"/>
                <w:color w:val="000000"/>
                <w:kern w:val="0"/>
                <w:vertAlign w:val="subscript"/>
                <w:lang w:val="en-US" w:eastAsia="zh-CN"/>
              </w:rPr>
              <w:t>2</w:t>
            </w:r>
            <w:r>
              <w:rPr>
                <w:rFonts w:hint="default" w:ascii="Times New Roman" w:hAnsi="Times New Roman" w:cs="Times New Roman"/>
                <w:b w:val="0"/>
                <w:bCs w:val="0"/>
                <w:color w:val="000000"/>
                <w:kern w:val="0"/>
                <w:lang w:val="en-US" w:eastAsia="zh-CN"/>
              </w:rPr>
              <w:t>，S或H</w:t>
            </w:r>
            <w:r>
              <w:rPr>
                <w:rFonts w:hint="default" w:ascii="Times New Roman" w:hAnsi="Times New Roman" w:cs="Times New Roman"/>
                <w:b w:val="0"/>
                <w:bCs w:val="0"/>
                <w:color w:val="000000"/>
                <w:kern w:val="0"/>
                <w:vertAlign w:val="subscript"/>
                <w:lang w:val="en-US" w:eastAsia="zh-CN"/>
              </w:rPr>
              <w:t>2</w:t>
            </w:r>
            <w:r>
              <w:rPr>
                <w:rFonts w:hint="default" w:ascii="Times New Roman" w:hAnsi="Times New Roman" w:cs="Times New Roman"/>
                <w:b w:val="0"/>
                <w:bCs w:val="0"/>
                <w:color w:val="000000"/>
                <w:kern w:val="0"/>
                <w:lang w:val="en-US" w:eastAsia="zh-CN"/>
              </w:rPr>
              <w:t>S。</w:t>
            </w:r>
          </w:p>
          <w:p w14:paraId="1B90BE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ascii="宋体" w:hAnsi="宋体" w:cs="宋体"/>
                <w:b/>
                <w:bCs/>
                <w:color w:val="000000"/>
                <w:kern w:val="0"/>
                <w:lang w:val="en-US" w:eastAsia="zh-CN"/>
              </w:rPr>
            </w:pPr>
            <w:r>
              <w:rPr>
                <w:rFonts w:hint="default" w:ascii="Times New Roman" w:hAnsi="Times New Roman" w:cs="Times New Roman"/>
                <w:b w:val="0"/>
                <w:bCs w:val="0"/>
                <w:color w:val="000000"/>
                <w:kern w:val="0"/>
                <w:lang w:val="en-US" w:eastAsia="zh-CN"/>
              </w:rPr>
              <w:t>氢氧化钠的物理性质：氢氧化钠是白色的固体，极易溶解于水，其水溶液有涩味和滑腻感。当暴露在空气中时，它容易吸收水分，表面潮湿而逐步溶解，这种现象</w:t>
            </w:r>
            <w:r>
              <w:rPr>
                <w:rFonts w:hint="eastAsia" w:cs="Times New Roman"/>
                <w:b w:val="0"/>
                <w:bCs w:val="0"/>
                <w:color w:val="000000"/>
                <w:kern w:val="0"/>
                <w:lang w:val="en-US" w:eastAsia="zh-CN"/>
              </w:rPr>
              <w:t>叫作</w:t>
            </w:r>
            <w:r>
              <w:rPr>
                <w:rFonts w:hint="default" w:ascii="Times New Roman" w:hAnsi="Times New Roman" w:cs="Times New Roman"/>
                <w:b w:val="0"/>
                <w:bCs w:val="0"/>
                <w:color w:val="000000"/>
                <w:kern w:val="0"/>
                <w:lang w:val="en-US" w:eastAsia="zh-CN"/>
              </w:rPr>
              <w:t>潮解。它的相对密度为2.13，熔点为318.4℃，沸点为1390℃。氢氧化钠的化学性质：氢氧化钠对纤维、皮肤、玻璃、陶瓷等有腐蚀作用，溶解或浓溶液稀释时会放出热量；与无机酸发生中和反应也能产生大量热，生成相应的盐类；与金属铝和锌、非金属硼和硅等反应放出氢；与氯、溴、碘等卤素发生歧化反应；能从水溶液中沉淀金属离子成为氢氧化物；能使油脂发生皂化反应，生成相应的有机酸的钠盐和醇，这是去除织物上的油污的原理。</w:t>
            </w:r>
          </w:p>
          <w:p w14:paraId="4DCD19C8">
            <w:pPr>
              <w:keepNext w:val="0"/>
              <w:keepLines w:val="0"/>
              <w:suppressLineNumbers w:val="0"/>
              <w:spacing w:before="0" w:beforeAutospacing="0" w:after="0" w:afterAutospacing="0"/>
              <w:ind w:left="0" w:right="0"/>
              <w:rPr>
                <w:rFonts w:hint="default" w:ascii="宋体" w:hAnsi="宋体" w:cs="宋体"/>
                <w:b/>
                <w:bCs/>
                <w:color w:val="000000"/>
                <w:kern w:val="0"/>
                <w:highlight w:val="none"/>
              </w:rPr>
            </w:pPr>
            <w:r>
              <w:rPr>
                <w:rFonts w:hint="eastAsia" w:ascii="宋体" w:hAnsi="宋体" w:cs="宋体"/>
                <w:b/>
                <w:bCs/>
                <w:color w:val="000000"/>
                <w:kern w:val="0"/>
                <w:highlight w:val="none"/>
                <w:lang w:val="en-US" w:eastAsia="zh-CN"/>
              </w:rPr>
              <w:t>5、</w:t>
            </w:r>
            <w:r>
              <w:rPr>
                <w:rFonts w:hint="eastAsia" w:ascii="宋体" w:hAnsi="宋体" w:cs="宋体"/>
                <w:b/>
                <w:bCs/>
                <w:color w:val="000000"/>
                <w:kern w:val="0"/>
                <w:highlight w:val="none"/>
              </w:rPr>
              <w:t>公用工程</w:t>
            </w:r>
          </w:p>
          <w:p w14:paraId="3AA49217">
            <w:pPr>
              <w:keepNext w:val="0"/>
              <w:keepLines w:val="0"/>
              <w:suppressLineNumbers w:val="0"/>
              <w:spacing w:before="0" w:beforeAutospacing="0" w:after="0" w:afterAutospacing="0"/>
              <w:ind w:left="0" w:right="0" w:firstLine="480" w:firstLineChars="200"/>
              <w:rPr>
                <w:rFonts w:hint="default"/>
                <w:color w:val="000000"/>
                <w:kern w:val="0"/>
              </w:rPr>
            </w:pPr>
            <w:r>
              <w:rPr>
                <w:rFonts w:hint="eastAsia"/>
                <w:color w:val="000000"/>
                <w:kern w:val="0"/>
                <w:lang w:val="en-US" w:eastAsia="zh-CN"/>
              </w:rPr>
              <w:t>（1）</w:t>
            </w:r>
            <w:r>
              <w:rPr>
                <w:rFonts w:hint="default"/>
                <w:color w:val="000000"/>
                <w:kern w:val="0"/>
              </w:rPr>
              <w:t>供水：</w:t>
            </w:r>
          </w:p>
          <w:p w14:paraId="56CA5085">
            <w:pPr>
              <w:keepNext w:val="0"/>
              <w:keepLines w:val="0"/>
              <w:suppressLineNumbers w:val="0"/>
              <w:spacing w:before="0" w:beforeAutospacing="0" w:after="0" w:afterAutospacing="0"/>
              <w:ind w:left="0" w:right="0" w:firstLine="480" w:firstLineChars="200"/>
              <w:rPr>
                <w:rFonts w:hint="default"/>
                <w:color w:val="000000"/>
                <w:kern w:val="0"/>
                <w:sz w:val="24"/>
                <w:szCs w:val="24"/>
              </w:rPr>
            </w:pPr>
            <w:r>
              <w:rPr>
                <w:rFonts w:hint="default"/>
                <w:color w:val="000000"/>
                <w:kern w:val="0"/>
                <w:sz w:val="24"/>
                <w:szCs w:val="24"/>
              </w:rPr>
              <w:t>本项目用水主要为</w:t>
            </w:r>
            <w:r>
              <w:rPr>
                <w:rFonts w:hint="default"/>
                <w:lang w:val="en-US" w:eastAsia="zh-CN"/>
              </w:rPr>
              <w:t>生产用水和</w:t>
            </w:r>
            <w:r>
              <w:rPr>
                <w:rFonts w:hint="default"/>
                <w:color w:val="000000"/>
                <w:kern w:val="0"/>
                <w:sz w:val="24"/>
                <w:szCs w:val="24"/>
              </w:rPr>
              <w:t>职工生活用水，项目</w:t>
            </w:r>
            <w:r>
              <w:rPr>
                <w:rFonts w:hint="default"/>
                <w:color w:val="000000"/>
                <w:kern w:val="0"/>
                <w:sz w:val="24"/>
                <w:szCs w:val="24"/>
                <w:lang w:val="en-US" w:eastAsia="zh-CN"/>
              </w:rPr>
              <w:t>用水由</w:t>
            </w:r>
            <w:r>
              <w:rPr>
                <w:rFonts w:hint="eastAsia"/>
                <w:color w:val="000000"/>
                <w:kern w:val="0"/>
                <w:sz w:val="24"/>
                <w:szCs w:val="24"/>
                <w:lang w:val="en-US" w:eastAsia="zh-CN"/>
              </w:rPr>
              <w:t>供水管网提供</w:t>
            </w:r>
            <w:r>
              <w:rPr>
                <w:rFonts w:hint="default"/>
                <w:color w:val="000000"/>
                <w:kern w:val="0"/>
                <w:sz w:val="24"/>
                <w:szCs w:val="24"/>
              </w:rPr>
              <w:t>，可满足供水要求。</w:t>
            </w:r>
          </w:p>
          <w:p w14:paraId="66D27C2B">
            <w:pPr>
              <w:keepNext w:val="0"/>
              <w:keepLines w:val="0"/>
              <w:suppressLineNumbers w:val="0"/>
              <w:spacing w:before="0" w:beforeAutospacing="0" w:after="0" w:afterAutospacing="0"/>
              <w:ind w:left="0" w:right="0" w:firstLine="480" w:firstLineChars="200"/>
              <w:rPr>
                <w:rFonts w:hint="default" w:eastAsia="宋体"/>
                <w:color w:val="000000"/>
                <w:kern w:val="0"/>
                <w:sz w:val="24"/>
                <w:szCs w:val="24"/>
                <w:lang w:val="en-US" w:eastAsia="zh-CN"/>
              </w:rPr>
            </w:pPr>
            <w:r>
              <w:rPr>
                <w:rFonts w:hint="eastAsia"/>
                <w:color w:val="000000"/>
                <w:kern w:val="0"/>
                <w:sz w:val="24"/>
                <w:szCs w:val="24"/>
                <w:lang w:val="en-US" w:eastAsia="zh-CN"/>
              </w:rPr>
              <w:t>①职工生活用水</w:t>
            </w:r>
          </w:p>
          <w:p w14:paraId="6D8414A7">
            <w:pPr>
              <w:keepNext w:val="0"/>
              <w:keepLines w:val="0"/>
              <w:suppressLineNumbers w:val="0"/>
              <w:spacing w:before="0" w:beforeAutospacing="0" w:after="0" w:afterAutospacing="0"/>
              <w:ind w:left="0" w:right="0" w:firstLine="480" w:firstLineChars="200"/>
              <w:rPr>
                <w:rFonts w:hint="default"/>
              </w:rPr>
            </w:pPr>
            <w:r>
              <w:rPr>
                <w:rFonts w:hint="default"/>
                <w:color w:val="000000"/>
                <w:kern w:val="0"/>
                <w:sz w:val="24"/>
                <w:szCs w:val="24"/>
              </w:rPr>
              <w:t>项目区人员生活</w:t>
            </w:r>
            <w:r>
              <w:rPr>
                <w:rFonts w:hint="eastAsia"/>
                <w:color w:val="000000"/>
                <w:kern w:val="0"/>
                <w:sz w:val="24"/>
                <w:szCs w:val="24"/>
                <w:lang w:eastAsia="zh-CN"/>
              </w:rPr>
              <w:t>供水</w:t>
            </w:r>
            <w:r>
              <w:rPr>
                <w:rFonts w:hint="eastAsia"/>
                <w:color w:val="000000"/>
                <w:kern w:val="0"/>
                <w:sz w:val="24"/>
                <w:szCs w:val="24"/>
              </w:rPr>
              <w:t>管网提供</w:t>
            </w:r>
            <w:r>
              <w:rPr>
                <w:rFonts w:hint="default"/>
                <w:color w:val="000000"/>
                <w:kern w:val="0"/>
                <w:sz w:val="24"/>
                <w:szCs w:val="24"/>
              </w:rPr>
              <w:t>，人员生活用水依据《</w:t>
            </w:r>
            <w:r>
              <w:rPr>
                <w:rFonts w:hint="eastAsia"/>
                <w:color w:val="000000"/>
                <w:kern w:val="0"/>
                <w:sz w:val="24"/>
                <w:szCs w:val="24"/>
              </w:rPr>
              <w:t>新疆维吾尔自治区</w:t>
            </w:r>
            <w:r>
              <w:rPr>
                <w:rFonts w:hint="default"/>
                <w:color w:val="000000"/>
                <w:kern w:val="0"/>
                <w:sz w:val="24"/>
                <w:szCs w:val="24"/>
              </w:rPr>
              <w:t>生活用水定额》，每人每天用水定额为</w:t>
            </w:r>
            <w:r>
              <w:rPr>
                <w:rFonts w:hint="eastAsia"/>
                <w:color w:val="000000"/>
                <w:kern w:val="0"/>
                <w:sz w:val="24"/>
                <w:szCs w:val="24"/>
              </w:rPr>
              <w:t>80</w:t>
            </w:r>
            <w:r>
              <w:rPr>
                <w:rFonts w:hint="default"/>
                <w:color w:val="000000"/>
                <w:kern w:val="0"/>
                <w:sz w:val="24"/>
                <w:szCs w:val="24"/>
              </w:rPr>
              <w:t>L/人·d，项目有效生产天数为</w:t>
            </w:r>
            <w:r>
              <w:rPr>
                <w:rFonts w:hint="eastAsia"/>
                <w:color w:val="000000"/>
                <w:kern w:val="0"/>
                <w:sz w:val="24"/>
                <w:szCs w:val="24"/>
                <w:lang w:val="en-US" w:eastAsia="zh-CN"/>
              </w:rPr>
              <w:t>180</w:t>
            </w:r>
            <w:r>
              <w:rPr>
                <w:rFonts w:hint="default"/>
                <w:color w:val="000000"/>
                <w:kern w:val="0"/>
                <w:sz w:val="24"/>
                <w:szCs w:val="24"/>
              </w:rPr>
              <w:t>d，厂区劳动定员</w:t>
            </w:r>
            <w:r>
              <w:rPr>
                <w:rFonts w:hint="eastAsia"/>
                <w:color w:val="000000"/>
                <w:kern w:val="0"/>
                <w:sz w:val="24"/>
                <w:szCs w:val="24"/>
                <w:lang w:val="en-US" w:eastAsia="zh-CN"/>
              </w:rPr>
              <w:t>20</w:t>
            </w:r>
            <w:r>
              <w:rPr>
                <w:rFonts w:hint="default"/>
                <w:color w:val="000000"/>
                <w:kern w:val="0"/>
                <w:sz w:val="24"/>
                <w:szCs w:val="24"/>
              </w:rPr>
              <w:t>人，本项目厂区人员生活用水量为</w:t>
            </w:r>
            <w:r>
              <w:rPr>
                <w:rFonts w:hint="eastAsia"/>
                <w:color w:val="000000"/>
                <w:kern w:val="0"/>
                <w:sz w:val="24"/>
                <w:szCs w:val="24"/>
                <w:lang w:val="en-US" w:eastAsia="zh-CN"/>
              </w:rPr>
              <w:t>288</w:t>
            </w:r>
            <w:r>
              <w:rPr>
                <w:rFonts w:hint="default"/>
                <w:color w:val="000000"/>
                <w:kern w:val="0"/>
                <w:sz w:val="24"/>
                <w:szCs w:val="24"/>
              </w:rPr>
              <w:t>m</w:t>
            </w:r>
            <w:r>
              <w:rPr>
                <w:rFonts w:hint="default"/>
                <w:color w:val="000000"/>
                <w:kern w:val="0"/>
                <w:sz w:val="24"/>
                <w:szCs w:val="24"/>
                <w:vertAlign w:val="superscript"/>
              </w:rPr>
              <w:t>3</w:t>
            </w:r>
            <w:r>
              <w:rPr>
                <w:rFonts w:hint="default"/>
                <w:color w:val="000000"/>
                <w:kern w:val="0"/>
                <w:sz w:val="24"/>
                <w:szCs w:val="24"/>
              </w:rPr>
              <w:t>/a</w:t>
            </w:r>
            <w:r>
              <w:rPr>
                <w:rFonts w:hint="eastAsia"/>
                <w:color w:val="000000"/>
                <w:kern w:val="0"/>
                <w:sz w:val="24"/>
                <w:szCs w:val="24"/>
                <w:lang w:eastAsia="zh-CN"/>
              </w:rPr>
              <w:t>。</w:t>
            </w:r>
          </w:p>
          <w:p w14:paraId="2BB110A3">
            <w:pPr>
              <w:keepNext w:val="0"/>
              <w:keepLines w:val="0"/>
              <w:suppressLineNumbers w:val="0"/>
              <w:spacing w:before="0" w:beforeAutospacing="0" w:after="0" w:afterAutospacing="0"/>
              <w:ind w:left="0" w:right="0" w:firstLine="480" w:firstLineChars="200"/>
              <w:rPr>
                <w:rFonts w:hint="default"/>
                <w:color w:val="000000"/>
                <w:kern w:val="0"/>
                <w:sz w:val="24"/>
                <w:szCs w:val="24"/>
                <w:lang w:val="en-US" w:eastAsia="zh-CN"/>
              </w:rPr>
            </w:pPr>
            <w:r>
              <w:rPr>
                <w:rFonts w:hint="eastAsia"/>
                <w:color w:val="000000"/>
                <w:kern w:val="0"/>
                <w:sz w:val="24"/>
                <w:szCs w:val="24"/>
                <w:lang w:val="en-US" w:eastAsia="zh-CN"/>
              </w:rPr>
              <w:t>②碱洗塔喷淋用水</w:t>
            </w:r>
          </w:p>
          <w:p w14:paraId="779401A5">
            <w:pPr>
              <w:keepNext w:val="0"/>
              <w:keepLines w:val="0"/>
              <w:suppressLineNumbers w:val="0"/>
              <w:spacing w:before="0" w:beforeAutospacing="0" w:after="0" w:afterAutospacing="0"/>
              <w:ind w:left="0" w:right="0" w:firstLine="480" w:firstLineChars="200"/>
              <w:rPr>
                <w:rFonts w:hint="eastAsia"/>
                <w:color w:val="000000"/>
                <w:kern w:val="0"/>
                <w:sz w:val="24"/>
                <w:szCs w:val="24"/>
                <w:lang w:val="en-US" w:eastAsia="zh-CN"/>
              </w:rPr>
            </w:pPr>
            <w:r>
              <w:rPr>
                <w:rFonts w:hint="eastAsia"/>
                <w:color w:val="000000"/>
                <w:kern w:val="0"/>
                <w:sz w:val="24"/>
                <w:szCs w:val="24"/>
                <w:lang w:val="en-US" w:eastAsia="zh-CN"/>
              </w:rPr>
              <w:t>A.配药用水</w:t>
            </w:r>
          </w:p>
          <w:p w14:paraId="0E6E586B">
            <w:pPr>
              <w:keepNext w:val="0"/>
              <w:keepLines w:val="0"/>
              <w:suppressLineNumbers w:val="0"/>
              <w:spacing w:before="0" w:beforeAutospacing="0" w:after="0" w:afterAutospacing="0" w:line="360" w:lineRule="auto"/>
              <w:ind w:left="0" w:right="0" w:firstLine="480" w:firstLineChars="200"/>
              <w:rPr>
                <w:rFonts w:hint="default"/>
                <w:lang w:val="en-US" w:eastAsia="zh-CN"/>
              </w:rPr>
            </w:pPr>
            <w:r>
              <w:rPr>
                <w:rFonts w:hint="default" w:ascii="Times New Roman" w:hAnsi="Times New Roman" w:eastAsia="宋体" w:cs="Times New Roman"/>
                <w:sz w:val="24"/>
                <w:szCs w:val="32"/>
              </w:rPr>
              <w:t>项目产生的硫酸雾废气需碱液进行碱喷淋处理，</w:t>
            </w:r>
            <w:r>
              <w:rPr>
                <w:rFonts w:hint="eastAsia" w:cs="Times New Roman"/>
                <w:sz w:val="24"/>
                <w:szCs w:val="32"/>
                <w:lang w:val="en-US" w:eastAsia="zh-CN"/>
              </w:rPr>
              <w:t>根据业主提供资料，循环水箱容积为5m</w:t>
            </w:r>
            <w:r>
              <w:rPr>
                <w:rFonts w:hint="eastAsia" w:cs="Times New Roman"/>
                <w:sz w:val="24"/>
                <w:szCs w:val="32"/>
                <w:vertAlign w:val="superscript"/>
                <w:lang w:val="en-US" w:eastAsia="zh-CN"/>
              </w:rPr>
              <w:t>3</w:t>
            </w:r>
            <w:r>
              <w:rPr>
                <w:rFonts w:hint="eastAsia" w:ascii="Times New Roman" w:hAnsi="Times New Roman" w:eastAsia="宋体" w:cs="Times New Roman"/>
                <w:highlight w:val="none"/>
                <w:lang w:val="en-US" w:eastAsia="zh-CN"/>
              </w:rPr>
              <w:t>，项目片碱年用量为1t，片碱配制5%氢氧化钠溶液，项目采用“定期补加”的模式进行配药，初始一次性配足</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m</w:t>
            </w:r>
            <w:r>
              <w:rPr>
                <w:rFonts w:hint="eastAsia" w:cs="Times New Roman"/>
                <w:sz w:val="24"/>
                <w:szCs w:val="32"/>
                <w:vertAlign w:val="superscript"/>
                <w:lang w:val="en-US" w:eastAsia="zh-CN"/>
              </w:rPr>
              <w:t>3</w:t>
            </w:r>
            <w:r>
              <w:rPr>
                <w:rFonts w:hint="eastAsia" w:ascii="Times New Roman" w:hAnsi="Times New Roman" w:eastAsia="宋体" w:cs="Times New Roman"/>
                <w:highlight w:val="none"/>
                <w:lang w:val="en-US" w:eastAsia="zh-CN"/>
              </w:rPr>
              <w:t>的碱液，运行过程中定期监测pH或浓度，当浓度低于设定值时，补加固体片碱，维持浓度稳定。</w:t>
            </w:r>
            <w:r>
              <w:rPr>
                <w:rFonts w:hint="default" w:ascii="Times New Roman" w:hAnsi="Times New Roman" w:eastAsia="宋体" w:cs="Times New Roman"/>
                <w:sz w:val="24"/>
                <w:szCs w:val="32"/>
              </w:rPr>
              <w:t>因此该过程需配制更换的碱液量为</w:t>
            </w:r>
            <w:r>
              <w:rPr>
                <w:rFonts w:hint="eastAsia" w:cs="Times New Roman"/>
                <w:sz w:val="24"/>
                <w:szCs w:val="32"/>
                <w:lang w:val="en-US" w:eastAsia="zh-CN"/>
              </w:rPr>
              <w:t>4</w:t>
            </w:r>
            <w:r>
              <w:rPr>
                <w:rFonts w:hint="default" w:ascii="Times New Roman" w:hAnsi="Times New Roman" w:eastAsia="宋体" w:cs="Times New Roman"/>
                <w:sz w:val="24"/>
                <w:szCs w:val="32"/>
              </w:rPr>
              <w:t>m</w:t>
            </w:r>
            <w:r>
              <w:rPr>
                <w:rFonts w:hint="default" w:ascii="Times New Roman" w:hAnsi="Times New Roman" w:eastAsia="宋体" w:cs="Times New Roman"/>
                <w:sz w:val="24"/>
                <w:szCs w:val="32"/>
                <w:vertAlign w:val="superscript"/>
              </w:rPr>
              <w:t>3</w:t>
            </w:r>
            <w:r>
              <w:rPr>
                <w:rFonts w:hint="default" w:ascii="Times New Roman" w:hAnsi="Times New Roman" w:eastAsia="宋体" w:cs="Times New Roman"/>
                <w:sz w:val="24"/>
                <w:szCs w:val="32"/>
              </w:rPr>
              <w:t>/a，则该环节需用水量约为</w:t>
            </w:r>
            <w:r>
              <w:rPr>
                <w:rFonts w:hint="eastAsia" w:cs="Times New Roman"/>
                <w:sz w:val="24"/>
                <w:szCs w:val="32"/>
                <w:lang w:val="en-US" w:eastAsia="zh-CN"/>
              </w:rPr>
              <w:t>4</w:t>
            </w:r>
            <w:r>
              <w:rPr>
                <w:rFonts w:hint="default" w:ascii="Times New Roman" w:hAnsi="Times New Roman" w:eastAsia="宋体" w:cs="Times New Roman"/>
                <w:sz w:val="24"/>
                <w:szCs w:val="32"/>
              </w:rPr>
              <w:t>m</w:t>
            </w:r>
            <w:r>
              <w:rPr>
                <w:rFonts w:hint="default" w:ascii="Times New Roman" w:hAnsi="Times New Roman" w:eastAsia="宋体" w:cs="Times New Roman"/>
                <w:sz w:val="24"/>
                <w:szCs w:val="32"/>
                <w:vertAlign w:val="superscript"/>
              </w:rPr>
              <w:t>3</w:t>
            </w:r>
            <w:r>
              <w:rPr>
                <w:rFonts w:hint="default" w:ascii="Times New Roman" w:hAnsi="Times New Roman" w:eastAsia="宋体" w:cs="Times New Roman"/>
                <w:sz w:val="24"/>
                <w:szCs w:val="32"/>
              </w:rPr>
              <w:t>/</w:t>
            </w:r>
            <w:r>
              <w:rPr>
                <w:rFonts w:hint="eastAsia" w:ascii="Times New Roman" w:hAnsi="Times New Roman" w:eastAsia="宋体" w:cs="Times New Roman"/>
                <w:sz w:val="24"/>
                <w:szCs w:val="32"/>
                <w:lang w:val="en-US" w:eastAsia="zh-CN"/>
              </w:rPr>
              <w:t>a</w:t>
            </w:r>
            <w:r>
              <w:rPr>
                <w:rFonts w:hint="eastAsia" w:ascii="Times New Roman" w:hAnsi="Times New Roman" w:eastAsia="宋体" w:cs="Times New Roman"/>
                <w:sz w:val="24"/>
                <w:szCs w:val="32"/>
                <w:lang w:eastAsia="zh-CN"/>
              </w:rPr>
              <w:t>。</w:t>
            </w:r>
          </w:p>
          <w:p w14:paraId="1D9BDF3E">
            <w:pPr>
              <w:pStyle w:val="3"/>
              <w:keepNext w:val="0"/>
              <w:keepLines w:val="0"/>
              <w:suppressLineNumbers w:val="0"/>
              <w:spacing w:before="0" w:beforeAutospacing="0" w:after="0" w:afterAutospacing="0"/>
              <w:ind w:left="0" w:right="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B.</w:t>
            </w:r>
            <w:r>
              <w:rPr>
                <w:rFonts w:hint="default" w:ascii="Times New Roman" w:hAnsi="Times New Roman" w:cs="Times New Roman"/>
                <w:sz w:val="24"/>
                <w:szCs w:val="24"/>
                <w:lang w:val="en-US" w:eastAsia="zh-CN"/>
              </w:rPr>
              <w:t>碱洗塔补水</w:t>
            </w:r>
          </w:p>
          <w:p w14:paraId="4A37DB2E">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项目废气硫酸雾处理采用碱喷淋塔，喷淋塔内为循环碱液，较高浓度碱液与硫酸雾中和后pH值逐渐降低，设备自动添加氢氧化钠进行调整pH。喷淋塔内碱液循环使用，循环量约</w:t>
            </w:r>
            <w:r>
              <w:rPr>
                <w:rFonts w:hint="eastAsia" w:cs="Times New Roman"/>
                <w:sz w:val="24"/>
                <w:szCs w:val="24"/>
                <w:lang w:val="en-US" w:eastAsia="zh-CN"/>
              </w:rPr>
              <w:t>5</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h。碱洗塔补水量按循环水的1%计，</w:t>
            </w:r>
            <w:r>
              <w:rPr>
                <w:rFonts w:hint="default" w:ascii="Times New Roman" w:hAnsi="Times New Roman" w:eastAsia="宋体" w:cs="Times New Roman"/>
                <w:sz w:val="24"/>
                <w:szCs w:val="24"/>
              </w:rPr>
              <w:t>则循环过程中需补充水量为</w:t>
            </w:r>
            <w:r>
              <w:rPr>
                <w:rFonts w:hint="eastAsia" w:cs="Times New Roman"/>
                <w:sz w:val="24"/>
                <w:szCs w:val="24"/>
                <w:lang w:val="en-US" w:eastAsia="zh-CN"/>
              </w:rPr>
              <w:t>216</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/a，即</w:t>
            </w:r>
            <w:r>
              <w:rPr>
                <w:rFonts w:hint="eastAsia" w:cs="Times New Roman"/>
                <w:sz w:val="24"/>
                <w:szCs w:val="24"/>
                <w:lang w:val="en-US" w:eastAsia="zh-CN"/>
              </w:rPr>
              <w:t>1.2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p>
          <w:p w14:paraId="0B023E40">
            <w:pPr>
              <w:keepNext w:val="0"/>
              <w:keepLines w:val="0"/>
              <w:suppressLineNumbers w:val="0"/>
              <w:spacing w:before="0" w:beforeAutospacing="0" w:after="0" w:afterAutospacing="0"/>
              <w:ind w:left="0" w:right="0" w:firstLine="480" w:firstLineChars="200"/>
              <w:rPr>
                <w:rFonts w:hint="eastAsia" w:eastAsia="宋体"/>
                <w:lang w:val="en-US" w:eastAsia="zh-CN"/>
              </w:rPr>
            </w:pPr>
            <w:r>
              <w:rPr>
                <w:rFonts w:hint="eastAsia" w:cs="Times New Roman"/>
                <w:sz w:val="24"/>
                <w:szCs w:val="24"/>
                <w:lang w:val="en-US" w:eastAsia="zh-CN"/>
              </w:rPr>
              <w:t>综上，本项目碱洗塔用水为220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碱洗塔用水</w:t>
            </w:r>
            <w:r>
              <w:rPr>
                <w:rFonts w:hint="eastAsia"/>
                <w:sz w:val="24"/>
                <w:szCs w:val="24"/>
                <w:lang w:val="en-US" w:eastAsia="zh-CN"/>
              </w:rPr>
              <w:t>循环使用，不外排。</w:t>
            </w:r>
          </w:p>
          <w:p w14:paraId="333F5011">
            <w:pPr>
              <w:keepNext w:val="0"/>
              <w:keepLines w:val="0"/>
              <w:suppressLineNumbers w:val="0"/>
              <w:spacing w:before="0" w:beforeAutospacing="0" w:after="0" w:afterAutospacing="0"/>
              <w:ind w:left="0" w:right="0" w:firstLine="480" w:firstLineChars="200"/>
              <w:rPr>
                <w:rFonts w:hint="eastAsia"/>
                <w:sz w:val="24"/>
                <w:szCs w:val="24"/>
                <w:lang w:val="en-US" w:eastAsia="zh-CN"/>
              </w:rPr>
            </w:pPr>
            <w:r>
              <w:rPr>
                <w:rFonts w:hint="default" w:ascii="Times New Roman" w:hAnsi="Times New Roman" w:cs="Times New Roman"/>
                <w:lang w:val="en-US" w:eastAsia="zh-CN"/>
              </w:rPr>
              <w:t>③</w:t>
            </w:r>
            <w:r>
              <w:rPr>
                <w:rFonts w:hint="eastAsia"/>
                <w:sz w:val="24"/>
                <w:szCs w:val="24"/>
                <w:lang w:val="en-US" w:eastAsia="zh-CN"/>
              </w:rPr>
              <w:t>硫酸稀释用水</w:t>
            </w:r>
          </w:p>
          <w:p w14:paraId="50381610">
            <w:pPr>
              <w:pStyle w:val="2"/>
              <w:keepNext w:val="0"/>
              <w:keepLines w:val="0"/>
              <w:suppressLineNumbers w:val="0"/>
              <w:spacing w:before="0" w:beforeAutospacing="0" w:after="0" w:afterAutospacing="0"/>
              <w:ind w:left="0" w:right="0"/>
              <w:rPr>
                <w:rFonts w:hint="default"/>
                <w:lang w:val="en-US" w:eastAsia="zh-CN"/>
              </w:rPr>
            </w:pPr>
            <w:r>
              <w:rPr>
                <w:rFonts w:hint="eastAsia"/>
                <w:sz w:val="24"/>
                <w:szCs w:val="24"/>
                <w:lang w:val="en-US" w:eastAsia="zh-CN"/>
              </w:rPr>
              <w:t>本项目生产用水主要为硫酸稀释用水，根据业主提供资料用水量约为2000m</w:t>
            </w:r>
            <w:r>
              <w:rPr>
                <w:rFonts w:hint="eastAsia"/>
                <w:sz w:val="24"/>
                <w:szCs w:val="24"/>
                <w:vertAlign w:val="superscript"/>
                <w:lang w:val="en-US" w:eastAsia="zh-CN"/>
              </w:rPr>
              <w:t>3</w:t>
            </w:r>
            <w:r>
              <w:rPr>
                <w:rFonts w:hint="eastAsia"/>
                <w:sz w:val="24"/>
                <w:szCs w:val="24"/>
                <w:lang w:val="en-US" w:eastAsia="zh-CN"/>
              </w:rPr>
              <w:t>/a，循环使用，不外排。</w:t>
            </w:r>
          </w:p>
          <w:p w14:paraId="65FB20CB">
            <w:pPr>
              <w:pStyle w:val="3"/>
              <w:keepNext w:val="0"/>
              <w:keepLines w:val="0"/>
              <w:suppressLineNumbers w:val="0"/>
              <w:spacing w:before="0" w:beforeAutospacing="0" w:after="0" w:afterAutospacing="0"/>
              <w:ind w:left="0" w:right="0"/>
              <w:rPr>
                <w:rFonts w:hint="eastAsia" w:eastAsia="宋体"/>
                <w:lang w:val="en-US" w:eastAsia="zh-CN"/>
              </w:rPr>
            </w:pPr>
            <w:r>
              <w:rPr>
                <w:rFonts w:hint="eastAsia"/>
                <w:sz w:val="24"/>
                <w:szCs w:val="24"/>
                <w:lang w:val="en-US" w:eastAsia="zh-CN"/>
              </w:rPr>
              <w:t>综上本项目用水量为2508</w:t>
            </w:r>
            <w:r>
              <w:rPr>
                <w:rFonts w:hint="default"/>
                <w:color w:val="000000"/>
                <w:kern w:val="0"/>
                <w:sz w:val="24"/>
                <w:szCs w:val="24"/>
              </w:rPr>
              <w:t>m</w:t>
            </w:r>
            <w:r>
              <w:rPr>
                <w:rFonts w:hint="default"/>
                <w:color w:val="000000"/>
                <w:kern w:val="0"/>
                <w:sz w:val="24"/>
                <w:szCs w:val="24"/>
                <w:vertAlign w:val="superscript"/>
              </w:rPr>
              <w:t>3</w:t>
            </w:r>
            <w:r>
              <w:rPr>
                <w:rFonts w:hint="default"/>
                <w:color w:val="000000"/>
                <w:kern w:val="0"/>
                <w:sz w:val="24"/>
                <w:szCs w:val="24"/>
              </w:rPr>
              <w:t>/a</w:t>
            </w:r>
            <w:r>
              <w:rPr>
                <w:rFonts w:hint="eastAsia"/>
                <w:color w:val="000000"/>
                <w:kern w:val="0"/>
                <w:sz w:val="24"/>
                <w:szCs w:val="24"/>
                <w:lang w:eastAsia="zh-CN"/>
              </w:rPr>
              <w:t>。</w:t>
            </w:r>
          </w:p>
          <w:p w14:paraId="19BD2B87">
            <w:pPr>
              <w:keepNext w:val="0"/>
              <w:keepLines w:val="0"/>
              <w:suppressLineNumbers w:val="0"/>
              <w:spacing w:before="0" w:beforeAutospacing="0" w:after="0" w:afterAutospacing="0"/>
              <w:ind w:left="0" w:right="0" w:firstLine="480" w:firstLineChars="200"/>
              <w:rPr>
                <w:rFonts w:hint="default"/>
                <w:color w:val="000000"/>
                <w:kern w:val="0"/>
                <w:lang w:val="en-US" w:eastAsia="zh-CN"/>
              </w:rPr>
            </w:pPr>
            <w:r>
              <w:rPr>
                <w:rFonts w:hint="eastAsia"/>
                <w:color w:val="000000"/>
                <w:kern w:val="0"/>
                <w:lang w:eastAsia="zh-CN"/>
              </w:rPr>
              <w:t>（</w:t>
            </w:r>
            <w:r>
              <w:rPr>
                <w:rFonts w:hint="eastAsia"/>
                <w:color w:val="000000"/>
                <w:kern w:val="0"/>
                <w:lang w:val="en-US" w:eastAsia="zh-CN"/>
              </w:rPr>
              <w:t>2</w:t>
            </w:r>
            <w:r>
              <w:rPr>
                <w:rFonts w:hint="eastAsia"/>
                <w:color w:val="000000"/>
                <w:kern w:val="0"/>
                <w:lang w:eastAsia="zh-CN"/>
              </w:rPr>
              <w:t>）</w:t>
            </w:r>
            <w:r>
              <w:rPr>
                <w:rFonts w:hint="eastAsia"/>
                <w:color w:val="000000"/>
                <w:kern w:val="0"/>
                <w:lang w:val="en-US" w:eastAsia="zh-CN"/>
              </w:rPr>
              <w:t>排水</w:t>
            </w:r>
          </w:p>
          <w:p w14:paraId="054B17A6">
            <w:pPr>
              <w:keepNext w:val="0"/>
              <w:keepLines w:val="0"/>
              <w:suppressLineNumbers w:val="0"/>
              <w:spacing w:before="0" w:beforeAutospacing="0" w:after="0" w:afterAutospacing="0"/>
              <w:ind w:left="0" w:right="0" w:firstLine="480" w:firstLineChars="200"/>
              <w:rPr>
                <w:rFonts w:hint="eastAsia"/>
                <w:color w:val="000000"/>
                <w:kern w:val="0"/>
                <w:sz w:val="24"/>
                <w:szCs w:val="24"/>
                <w:lang w:val="en-US" w:eastAsia="zh-CN"/>
              </w:rPr>
            </w:pPr>
            <w:r>
              <w:rPr>
                <w:rFonts w:hint="eastAsia"/>
                <w:color w:val="000000"/>
                <w:kern w:val="0"/>
                <w:sz w:val="24"/>
                <w:szCs w:val="24"/>
                <w:lang w:val="en-US" w:eastAsia="zh-CN"/>
              </w:rPr>
              <w:t>①生产废水</w:t>
            </w:r>
          </w:p>
          <w:p w14:paraId="3CB72349">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lang w:val="en-US" w:eastAsia="zh-CN"/>
              </w:rPr>
            </w:pPr>
            <w:r>
              <w:rPr>
                <w:rFonts w:hint="default" w:ascii="Times New Roman" w:hAnsi="Times New Roman" w:cs="Times New Roman"/>
                <w:sz w:val="24"/>
                <w:szCs w:val="24"/>
                <w:lang w:val="en-US" w:eastAsia="zh-CN"/>
              </w:rPr>
              <w:t>本项目不产生生产废水，硫酸稀释用水及碱洗塔喷淋用水</w:t>
            </w:r>
            <w:r>
              <w:rPr>
                <w:rFonts w:hint="eastAsia"/>
                <w:sz w:val="24"/>
                <w:szCs w:val="24"/>
                <w:lang w:val="en-US" w:eastAsia="zh-CN"/>
              </w:rPr>
              <w:t>循环使用，不外排。</w:t>
            </w:r>
          </w:p>
          <w:p w14:paraId="4E53849D">
            <w:pPr>
              <w:keepNext w:val="0"/>
              <w:keepLines w:val="0"/>
              <w:suppressLineNumbers w:val="0"/>
              <w:spacing w:before="0" w:beforeAutospacing="0" w:after="0" w:afterAutospacing="0"/>
              <w:ind w:left="0" w:right="0" w:firstLine="480" w:firstLineChars="200"/>
              <w:rPr>
                <w:rFonts w:hint="default"/>
                <w:color w:val="000000"/>
                <w:kern w:val="0"/>
                <w:lang w:val="en-US" w:eastAsia="zh-CN"/>
              </w:rPr>
            </w:pPr>
            <w:r>
              <w:rPr>
                <w:rFonts w:hint="eastAsia"/>
                <w:color w:val="000000"/>
                <w:kern w:val="0"/>
                <w:sz w:val="24"/>
                <w:szCs w:val="24"/>
                <w:lang w:val="en-US" w:eastAsia="zh-CN"/>
              </w:rPr>
              <w:t>②生活污水</w:t>
            </w:r>
          </w:p>
          <w:p w14:paraId="1031EC6E">
            <w:pPr>
              <w:keepNext w:val="0"/>
              <w:keepLines w:val="0"/>
              <w:suppressLineNumbers w:val="0"/>
              <w:spacing w:before="0" w:beforeAutospacing="0" w:after="0" w:afterAutospacing="0"/>
              <w:ind w:left="0" w:right="0" w:firstLine="480" w:firstLineChars="200"/>
              <w:rPr>
                <w:rFonts w:hint="default"/>
                <w:color w:val="000000"/>
                <w:kern w:val="0"/>
                <w:szCs w:val="21"/>
              </w:rPr>
            </w:pPr>
            <w:r>
              <w:rPr>
                <w:rFonts w:hint="eastAsia"/>
                <w:color w:val="000000"/>
                <w:kern w:val="0"/>
                <w:lang w:val="en-US" w:eastAsia="zh-CN"/>
              </w:rPr>
              <w:t>生活污水经防渗化粪池收集后，进入园区下水管网，最终进入尉犁县污水处理厂深度处理。本项目生活用水量为288</w:t>
            </w:r>
            <w:r>
              <w:rPr>
                <w:rFonts w:hint="default"/>
                <w:color w:val="000000"/>
                <w:kern w:val="0"/>
                <w:sz w:val="24"/>
                <w:szCs w:val="24"/>
              </w:rPr>
              <w:t>m</w:t>
            </w:r>
            <w:r>
              <w:rPr>
                <w:rFonts w:hint="default"/>
                <w:color w:val="000000"/>
                <w:kern w:val="0"/>
                <w:sz w:val="24"/>
                <w:szCs w:val="24"/>
                <w:vertAlign w:val="superscript"/>
              </w:rPr>
              <w:t>3</w:t>
            </w:r>
            <w:r>
              <w:rPr>
                <w:rFonts w:hint="default"/>
                <w:color w:val="000000"/>
                <w:kern w:val="0"/>
                <w:sz w:val="24"/>
                <w:szCs w:val="24"/>
              </w:rPr>
              <w:t>/a</w:t>
            </w:r>
            <w:r>
              <w:rPr>
                <w:rFonts w:hint="eastAsia"/>
                <w:color w:val="000000"/>
                <w:kern w:val="0"/>
                <w:sz w:val="24"/>
                <w:szCs w:val="24"/>
                <w:lang w:eastAsia="zh-CN"/>
              </w:rPr>
              <w:t>，</w:t>
            </w:r>
            <w:r>
              <w:rPr>
                <w:rFonts w:hint="eastAsia"/>
                <w:color w:val="000000"/>
                <w:kern w:val="0"/>
                <w:sz w:val="24"/>
                <w:szCs w:val="24"/>
                <w:lang w:val="en-US" w:eastAsia="zh-CN"/>
              </w:rPr>
              <w:t>生活污水产生系数为0.8，则生活污水产生量为230.4m</w:t>
            </w:r>
            <w:r>
              <w:rPr>
                <w:rFonts w:hint="eastAsia"/>
                <w:color w:val="000000"/>
                <w:kern w:val="0"/>
                <w:sz w:val="24"/>
                <w:szCs w:val="24"/>
                <w:vertAlign w:val="superscript"/>
                <w:lang w:val="en-US" w:eastAsia="zh-CN"/>
              </w:rPr>
              <w:t>3</w:t>
            </w:r>
            <w:r>
              <w:rPr>
                <w:rFonts w:hint="eastAsia"/>
                <w:color w:val="000000"/>
                <w:kern w:val="0"/>
                <w:sz w:val="24"/>
                <w:szCs w:val="24"/>
                <w:lang w:val="en-US" w:eastAsia="zh-CN"/>
              </w:rPr>
              <w:t>/a。</w:t>
            </w:r>
          </w:p>
          <w:p w14:paraId="675EF05C">
            <w:pPr>
              <w:keepNext w:val="0"/>
              <w:keepLines w:val="0"/>
              <w:suppressLineNumbers w:val="0"/>
              <w:spacing w:before="0" w:beforeAutospacing="0" w:after="0" w:afterAutospacing="0"/>
              <w:ind w:left="0" w:right="0"/>
              <w:jc w:val="center"/>
              <w:rPr>
                <w:rFonts w:hint="eastAsia" w:eastAsia="宋体"/>
                <w:color w:val="000000"/>
                <w:kern w:val="0"/>
                <w:sz w:val="21"/>
                <w:szCs w:val="21"/>
                <w:lang w:eastAsia="zh-CN"/>
              </w:rPr>
            </w:pPr>
            <w:r>
              <w:rPr>
                <w:rFonts w:hint="eastAsia" w:eastAsia="宋体"/>
                <w:color w:val="000000"/>
                <w:kern w:val="0"/>
                <w:sz w:val="21"/>
                <w:szCs w:val="21"/>
                <w:lang w:eastAsia="zh-CN"/>
              </w:rPr>
              <w:drawing>
                <wp:inline distT="0" distB="0" distL="114300" distR="114300">
                  <wp:extent cx="4857115" cy="2611120"/>
                  <wp:effectExtent l="0" t="0" r="0" b="0"/>
                  <wp:docPr id="12" name="ECB019B1-382A-4266-B25C-5B523AA43C14-1" descr="C:/Users/MyPC/AppData/Local/Temp/wps.ADoUf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1" descr="C:/Users/MyPC/AppData/Local/Temp/wps.ADoUfowps"/>
                          <pic:cNvPicPr>
                            <a:picLocks noChangeAspect="1"/>
                          </pic:cNvPicPr>
                        </pic:nvPicPr>
                        <pic:blipFill>
                          <a:blip r:embed="rId9"/>
                          <a:stretch>
                            <a:fillRect/>
                          </a:stretch>
                        </pic:blipFill>
                        <pic:spPr>
                          <a:xfrm>
                            <a:off x="0" y="0"/>
                            <a:ext cx="4857115" cy="2611120"/>
                          </a:xfrm>
                          <a:prstGeom prst="rect">
                            <a:avLst/>
                          </a:prstGeom>
                        </pic:spPr>
                      </pic:pic>
                    </a:graphicData>
                  </a:graphic>
                </wp:inline>
              </w:drawing>
            </w:r>
          </w:p>
          <w:p w14:paraId="06B10EAC">
            <w:pPr>
              <w:keepNext w:val="0"/>
              <w:keepLines w:val="0"/>
              <w:suppressLineNumbers w:val="0"/>
              <w:spacing w:before="0" w:beforeAutospacing="0" w:after="0" w:afterAutospacing="0"/>
              <w:ind w:left="0" w:right="0"/>
              <w:jc w:val="center"/>
              <w:rPr>
                <w:rFonts w:hint="default" w:eastAsia="宋体"/>
                <w:b/>
                <w:bCs/>
                <w:color w:val="000000"/>
                <w:kern w:val="0"/>
                <w:sz w:val="21"/>
                <w:szCs w:val="21"/>
                <w:lang w:val="en-US" w:eastAsia="zh-CN"/>
              </w:rPr>
            </w:pPr>
            <w:r>
              <w:rPr>
                <w:rFonts w:hint="eastAsia" w:eastAsia="宋体"/>
                <w:b/>
                <w:bCs/>
                <w:color w:val="000000"/>
                <w:kern w:val="0"/>
                <w:sz w:val="21"/>
                <w:szCs w:val="21"/>
                <w:lang w:val="en-US" w:eastAsia="zh-CN"/>
              </w:rPr>
              <w:t xml:space="preserve">图2-1    </w:t>
            </w:r>
            <w:r>
              <w:rPr>
                <w:rFonts w:hint="eastAsia" w:eastAsia="宋体"/>
                <w:b/>
                <w:bCs/>
                <w:color w:val="000000"/>
                <w:kern w:val="0"/>
                <w:sz w:val="21"/>
                <w:szCs w:val="21"/>
                <w:highlight w:val="none"/>
                <w:lang w:val="en-US" w:eastAsia="zh-CN"/>
              </w:rPr>
              <w:t>本项目水平衡图</w:t>
            </w:r>
            <w:r>
              <w:rPr>
                <w:rFonts w:hint="default"/>
                <w:b/>
                <w:bCs/>
                <w:color w:val="000000"/>
                <w:kern w:val="0"/>
                <w:sz w:val="21"/>
                <w:szCs w:val="21"/>
              </w:rPr>
              <w:t>（m</w:t>
            </w:r>
            <w:r>
              <w:rPr>
                <w:rFonts w:hint="default"/>
                <w:b/>
                <w:bCs/>
                <w:color w:val="000000"/>
                <w:kern w:val="0"/>
                <w:sz w:val="21"/>
                <w:szCs w:val="21"/>
                <w:vertAlign w:val="superscript"/>
              </w:rPr>
              <w:t>3</w:t>
            </w:r>
            <w:r>
              <w:rPr>
                <w:rFonts w:hint="default"/>
                <w:b/>
                <w:bCs/>
                <w:color w:val="000000"/>
                <w:kern w:val="0"/>
                <w:sz w:val="21"/>
                <w:szCs w:val="21"/>
              </w:rPr>
              <w:t>/a）</w:t>
            </w:r>
          </w:p>
          <w:p w14:paraId="3B94481D">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3</w:t>
            </w:r>
            <w:r>
              <w:rPr>
                <w:rFonts w:hint="eastAsia" w:ascii="Times New Roman" w:hAnsi="Times New Roman" w:eastAsia="宋体" w:cs="Times New Roman"/>
                <w:color w:val="000000"/>
                <w:kern w:val="0"/>
                <w:sz w:val="24"/>
                <w:szCs w:val="24"/>
                <w:lang w:val="en-US" w:eastAsia="zh-CN"/>
              </w:rPr>
              <w:t>）供电：本项目用电依托厂内现有供电设施。</w:t>
            </w:r>
          </w:p>
          <w:p w14:paraId="3A95B748">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4</w:t>
            </w:r>
            <w:r>
              <w:rPr>
                <w:rFonts w:hint="eastAsia" w:ascii="Times New Roman" w:hAnsi="Times New Roman" w:eastAsia="宋体" w:cs="Times New Roman"/>
                <w:color w:val="000000"/>
                <w:kern w:val="0"/>
                <w:sz w:val="24"/>
                <w:szCs w:val="24"/>
                <w:lang w:val="en-US" w:eastAsia="zh-CN"/>
              </w:rPr>
              <w:t>）供热：</w:t>
            </w:r>
            <w:r>
              <w:rPr>
                <w:rFonts w:hint="eastAsia" w:ascii="Times New Roman" w:hAnsi="Times New Roman" w:eastAsia="宋体" w:cs="Times New Roman"/>
                <w:color w:val="auto"/>
                <w:kern w:val="0"/>
                <w:sz w:val="24"/>
                <w:szCs w:val="24"/>
                <w:highlight w:val="none"/>
                <w:lang w:val="en-US" w:eastAsia="zh-CN"/>
              </w:rPr>
              <w:t>生产用热采用天然气热风炉供热，生活用热采用电暖器供暖。</w:t>
            </w:r>
          </w:p>
          <w:p w14:paraId="562C6A3E">
            <w:pPr>
              <w:keepNext w:val="0"/>
              <w:keepLines w:val="0"/>
              <w:suppressLineNumbers w:val="0"/>
              <w:spacing w:before="0" w:beforeAutospacing="0" w:after="0" w:afterAutospacing="0"/>
              <w:ind w:left="0" w:right="0"/>
              <w:rPr>
                <w:rFonts w:hint="default"/>
                <w:lang w:val="en-US" w:eastAsia="zh-CN"/>
              </w:rPr>
            </w:pPr>
            <w:r>
              <w:rPr>
                <w:rFonts w:hint="eastAsia"/>
                <w:b/>
                <w:bCs/>
                <w:color w:val="000000"/>
                <w:kern w:val="0"/>
                <w:lang w:val="en-US" w:eastAsia="zh-CN"/>
              </w:rPr>
              <w:t>7、</w:t>
            </w:r>
            <w:r>
              <w:rPr>
                <w:rFonts w:hint="default"/>
                <w:b/>
                <w:bCs/>
                <w:color w:val="000000"/>
                <w:kern w:val="0"/>
                <w:highlight w:val="none"/>
              </w:rPr>
              <w:t>劳动定员</w:t>
            </w:r>
            <w:r>
              <w:rPr>
                <w:rFonts w:hint="eastAsia"/>
                <w:b/>
                <w:bCs/>
                <w:highlight w:val="none"/>
                <w:lang w:val="en-US" w:eastAsia="zh-CN"/>
              </w:rPr>
              <w:t>及工作制度</w:t>
            </w:r>
          </w:p>
          <w:p w14:paraId="08630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bookmarkStart w:id="3" w:name="_Toc18283"/>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劳动定员</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人</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实行每日</w:t>
            </w:r>
            <w:r>
              <w:rPr>
                <w:rFonts w:hint="eastAsia" w:cs="Times New Roman"/>
                <w:color w:val="auto"/>
                <w:sz w:val="24"/>
                <w:szCs w:val="24"/>
                <w:lang w:val="en-US" w:eastAsia="zh-CN"/>
              </w:rPr>
              <w:t>三</w:t>
            </w:r>
            <w:r>
              <w:rPr>
                <w:rFonts w:hint="default" w:ascii="Times New Roman" w:hAnsi="Times New Roman" w:eastAsia="宋体" w:cs="Times New Roman"/>
                <w:color w:val="auto"/>
                <w:sz w:val="24"/>
                <w:szCs w:val="24"/>
              </w:rPr>
              <w:t>班工作制度，每班工作时间8h，全年工作日</w:t>
            </w:r>
            <w:r>
              <w:rPr>
                <w:rFonts w:hint="eastAsia" w:cs="Times New Roman"/>
                <w:color w:val="auto"/>
                <w:sz w:val="24"/>
                <w:szCs w:val="24"/>
                <w:lang w:val="en-US" w:eastAsia="zh-CN"/>
              </w:rPr>
              <w:t>180</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全年工作4</w:t>
            </w:r>
            <w:r>
              <w:rPr>
                <w:rFonts w:hint="eastAsia" w:cs="Times New Roman"/>
                <w:color w:val="auto"/>
                <w:sz w:val="24"/>
                <w:szCs w:val="24"/>
                <w:lang w:val="en-US" w:eastAsia="zh-CN"/>
              </w:rPr>
              <w:t>320</w:t>
            </w:r>
            <w:r>
              <w:rPr>
                <w:rFonts w:hint="eastAsia" w:ascii="Times New Roman" w:hAnsi="Times New Roman" w:eastAsia="宋体" w:cs="Times New Roman"/>
                <w:color w:val="auto"/>
                <w:sz w:val="24"/>
                <w:szCs w:val="24"/>
                <w:lang w:val="en-US" w:eastAsia="zh-CN"/>
              </w:rPr>
              <w:t>h</w:t>
            </w:r>
            <w:r>
              <w:rPr>
                <w:rFonts w:hint="eastAsia"/>
                <w:color w:val="000000"/>
                <w:kern w:val="0"/>
                <w:lang w:val="en-US" w:eastAsia="zh-CN"/>
              </w:rPr>
              <w:t>。</w:t>
            </w:r>
          </w:p>
          <w:bookmarkEnd w:id="3"/>
          <w:p w14:paraId="62EB1C6F">
            <w:pPr>
              <w:keepNext w:val="0"/>
              <w:keepLines w:val="0"/>
              <w:suppressLineNumbers w:val="0"/>
              <w:spacing w:before="0" w:beforeAutospacing="0" w:after="0" w:afterAutospacing="0"/>
              <w:ind w:left="0" w:right="0"/>
              <w:rPr>
                <w:rFonts w:hint="default"/>
                <w:b/>
                <w:bCs/>
                <w:color w:val="000000"/>
                <w:kern w:val="0"/>
              </w:rPr>
            </w:pPr>
            <w:r>
              <w:rPr>
                <w:rFonts w:hint="eastAsia"/>
                <w:b/>
                <w:bCs/>
                <w:color w:val="000000"/>
                <w:kern w:val="0"/>
                <w:lang w:val="en-US" w:eastAsia="zh-CN"/>
              </w:rPr>
              <w:t>8、</w:t>
            </w:r>
            <w:r>
              <w:rPr>
                <w:rFonts w:hint="default"/>
                <w:b/>
                <w:bCs/>
                <w:color w:val="000000"/>
                <w:kern w:val="0"/>
                <w:highlight w:val="none"/>
              </w:rPr>
              <w:t>厂区平面布置</w:t>
            </w:r>
          </w:p>
          <w:p w14:paraId="0BFC5225">
            <w:pPr>
              <w:keepNext w:val="0"/>
              <w:keepLines w:val="0"/>
              <w:suppressLineNumbers w:val="0"/>
              <w:bidi w:val="0"/>
              <w:spacing w:before="0" w:beforeAutospacing="0" w:after="0" w:afterAutospacing="0"/>
              <w:ind w:left="0" w:right="0" w:firstLine="480" w:firstLineChars="200"/>
              <w:rPr>
                <w:rFonts w:hint="default"/>
                <w:color w:val="000000"/>
                <w:kern w:val="0"/>
                <w:highlight w:val="none"/>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项目区出口位于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侧，厂区道路全部硬化，交通方便。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厂房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位于厂区北侧，</w:t>
            </w:r>
            <w:r>
              <w:rPr>
                <w:rFonts w:hint="eastAsia" w:cs="Times New Roman"/>
                <w:color w:val="000000" w:themeColor="text1"/>
                <w:sz w:val="24"/>
                <w:szCs w:val="24"/>
                <w:highlight w:val="none"/>
                <w:lang w:val="en-US" w:eastAsia="zh-CN"/>
                <w14:textFill>
                  <w14:solidFill>
                    <w14:schemeClr w14:val="tx1"/>
                  </w14:solidFill>
                </w14:textFill>
              </w:rPr>
              <w:t>危险废物贮存库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厂房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东北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侧，</w:t>
            </w:r>
            <w:r>
              <w:rPr>
                <w:rFonts w:hint="eastAsia" w:cs="Times New Roman"/>
                <w:color w:val="000000" w:themeColor="text1"/>
                <w:sz w:val="24"/>
                <w:szCs w:val="24"/>
                <w:highlight w:val="none"/>
                <w:lang w:val="en-US" w:eastAsia="zh-CN"/>
                <w14:textFill>
                  <w14:solidFill>
                    <w14:schemeClr w14:val="tx1"/>
                  </w14:solidFill>
                </w14:textFill>
              </w:rPr>
              <w:t>硫酸储罐位于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厂房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侧</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库房位于厂区南侧，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办公生活区位于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厂</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侧，布置有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办公室、</w:t>
            </w:r>
            <w:r>
              <w:rPr>
                <w:rFonts w:hint="eastAsia" w:cs="Times New Roman"/>
                <w:color w:val="000000" w:themeColor="text1"/>
                <w:sz w:val="24"/>
                <w:szCs w:val="24"/>
                <w:highlight w:val="none"/>
                <w:lang w:val="en-US" w:eastAsia="zh-CN"/>
                <w14:textFill>
                  <w14:solidFill>
                    <w14:schemeClr w14:val="tx1"/>
                  </w14:solidFill>
                </w14:textFill>
              </w:rPr>
              <w:t>食堂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等</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项目区主导风向为东北偏北风</w:t>
            </w:r>
            <w:r>
              <w:rPr>
                <w:rFonts w:hint="eastAsia"/>
                <w:color w:val="000000" w:themeColor="text1"/>
                <w:kern w:val="0"/>
                <w:highlight w:val="none"/>
                <w:lang w:val="en-US" w:eastAsia="zh-CN"/>
                <w14:textFill>
                  <w14:solidFill>
                    <w14:schemeClr w14:val="tx1"/>
                  </w14:solidFill>
                </w14:textFill>
              </w:rPr>
              <w:t>，办公生活区位于厂房的侧风向。从环境角度考虑，本项目平面布置较合理，</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项目平面布置图详见附图</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E046835">
            <w:pPr>
              <w:keepNext w:val="0"/>
              <w:keepLines w:val="0"/>
              <w:suppressLineNumbers w:val="0"/>
              <w:adjustRightInd w:val="0"/>
              <w:snapToGrid w:val="0"/>
              <w:spacing w:before="0" w:beforeAutospacing="0" w:after="0" w:afterAutospacing="0"/>
              <w:ind w:left="0" w:right="0"/>
              <w:rPr>
                <w:rFonts w:hint="default"/>
                <w:b/>
                <w:color w:val="000000"/>
                <w:kern w:val="0"/>
              </w:rPr>
            </w:pPr>
            <w:r>
              <w:rPr>
                <w:rFonts w:hint="eastAsia"/>
                <w:b/>
                <w:color w:val="000000"/>
                <w:kern w:val="0"/>
                <w:lang w:val="en-US" w:eastAsia="zh-CN"/>
              </w:rPr>
              <w:t>9</w:t>
            </w:r>
            <w:r>
              <w:rPr>
                <w:rFonts w:hint="eastAsia"/>
                <w:b/>
                <w:color w:val="000000"/>
                <w:kern w:val="0"/>
              </w:rPr>
              <w:t>、</w:t>
            </w:r>
            <w:r>
              <w:rPr>
                <w:rFonts w:hint="default"/>
                <w:b/>
                <w:color w:val="000000"/>
                <w:kern w:val="0"/>
              </w:rPr>
              <w:t>环保投资</w:t>
            </w:r>
          </w:p>
          <w:p w14:paraId="0ADBEB89">
            <w:pPr>
              <w:pStyle w:val="72"/>
              <w:keepNext w:val="0"/>
              <w:keepLines w:val="0"/>
              <w:suppressLineNumbers w:val="0"/>
              <w:adjustRightInd w:val="0"/>
              <w:snapToGrid w:val="0"/>
              <w:spacing w:before="0" w:beforeAutospacing="0" w:after="0" w:afterAutospacing="0"/>
              <w:ind w:left="0" w:right="0"/>
              <w:rPr>
                <w:rFonts w:hint="default" w:cs="Times New Roman"/>
                <w:color w:val="000000"/>
                <w:highlight w:val="none"/>
              </w:rPr>
            </w:pPr>
            <w:r>
              <w:rPr>
                <w:rFonts w:hint="default" w:cs="Times New Roman"/>
                <w:color w:val="000000"/>
                <w:highlight w:val="none"/>
              </w:rPr>
              <w:t>项目</w:t>
            </w:r>
            <w:r>
              <w:rPr>
                <w:rFonts w:hint="eastAsia" w:cs="Times New Roman"/>
                <w:color w:val="000000"/>
                <w:highlight w:val="none"/>
              </w:rPr>
              <w:t>环保</w:t>
            </w:r>
            <w:r>
              <w:rPr>
                <w:rFonts w:hint="default" w:cs="Times New Roman"/>
                <w:color w:val="000000"/>
                <w:highlight w:val="none"/>
              </w:rPr>
              <w:t>投资</w:t>
            </w:r>
            <w:r>
              <w:rPr>
                <w:rFonts w:hint="eastAsia" w:cs="Times New Roman"/>
                <w:color w:val="000000"/>
                <w:highlight w:val="none"/>
                <w:lang w:val="en-US" w:eastAsia="zh-CN"/>
              </w:rPr>
              <w:t>35</w:t>
            </w:r>
            <w:r>
              <w:rPr>
                <w:rFonts w:hint="default" w:cs="Times New Roman"/>
                <w:color w:val="000000"/>
                <w:highlight w:val="none"/>
              </w:rPr>
              <w:t>万元，占本项目总投资</w:t>
            </w:r>
            <w:r>
              <w:rPr>
                <w:rFonts w:hint="eastAsia" w:cs="Times New Roman"/>
                <w:color w:val="000000"/>
                <w:highlight w:val="none"/>
                <w:lang w:val="en-US" w:eastAsia="zh-CN"/>
              </w:rPr>
              <w:t>450</w:t>
            </w:r>
            <w:r>
              <w:rPr>
                <w:rFonts w:hint="default" w:cs="Times New Roman"/>
                <w:color w:val="000000"/>
                <w:highlight w:val="none"/>
              </w:rPr>
              <w:t>万元的</w:t>
            </w:r>
            <w:r>
              <w:rPr>
                <w:rFonts w:hint="eastAsia" w:cs="Times New Roman"/>
                <w:color w:val="000000"/>
                <w:highlight w:val="none"/>
                <w:lang w:val="en-US" w:eastAsia="zh-CN"/>
              </w:rPr>
              <w:t>7.8</w:t>
            </w:r>
            <w:r>
              <w:rPr>
                <w:rFonts w:hint="default" w:cs="Times New Roman"/>
                <w:color w:val="000000"/>
                <w:highlight w:val="none"/>
              </w:rPr>
              <w:t>%，本项目环保设施及投资见下表。</w:t>
            </w:r>
          </w:p>
          <w:p w14:paraId="509DED7D">
            <w:pPr>
              <w:pStyle w:val="72"/>
              <w:keepNext w:val="0"/>
              <w:keepLines w:val="0"/>
              <w:suppressLineNumbers w:val="0"/>
              <w:adjustRightInd w:val="0"/>
              <w:snapToGrid w:val="0"/>
              <w:spacing w:before="0" w:beforeAutospacing="0" w:after="0" w:afterAutospacing="0" w:line="240" w:lineRule="auto"/>
              <w:ind w:left="0" w:right="0" w:firstLine="422"/>
              <w:rPr>
                <w:rFonts w:hint="default" w:cs="Times New Roman"/>
                <w:b/>
                <w:bCs/>
                <w:color w:val="000000"/>
                <w:sz w:val="21"/>
                <w:szCs w:val="21"/>
                <w:highlight w:val="none"/>
              </w:rPr>
            </w:pPr>
            <w:r>
              <w:rPr>
                <w:rFonts w:hint="default" w:cs="Times New Roman"/>
                <w:b/>
                <w:bCs/>
                <w:color w:val="000000"/>
                <w:sz w:val="21"/>
                <w:szCs w:val="21"/>
                <w:highlight w:val="none"/>
              </w:rPr>
              <w:t>表</w:t>
            </w:r>
            <w:r>
              <w:rPr>
                <w:rFonts w:hint="eastAsia" w:cs="Times New Roman"/>
                <w:b/>
                <w:bCs/>
                <w:color w:val="000000"/>
                <w:sz w:val="21"/>
                <w:szCs w:val="21"/>
                <w:highlight w:val="none"/>
                <w:lang w:val="en-US" w:eastAsia="zh-CN"/>
              </w:rPr>
              <w:t>2-6</w:t>
            </w:r>
            <w:r>
              <w:rPr>
                <w:rFonts w:hint="default" w:cs="Times New Roman"/>
                <w:b/>
                <w:bCs/>
                <w:color w:val="000000"/>
                <w:sz w:val="21"/>
                <w:szCs w:val="21"/>
                <w:highlight w:val="none"/>
              </w:rPr>
              <w:t xml:space="preserve">  </w:t>
            </w:r>
            <w:r>
              <w:rPr>
                <w:rFonts w:hint="eastAsia" w:cs="Times New Roman"/>
                <w:b/>
                <w:bCs/>
                <w:color w:val="000000"/>
                <w:sz w:val="21"/>
                <w:szCs w:val="21"/>
                <w:highlight w:val="none"/>
              </w:rPr>
              <w:t xml:space="preserve">                环保设施及投资一览表</w:t>
            </w:r>
          </w:p>
          <w:tbl>
            <w:tblPr>
              <w:tblStyle w:val="3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67"/>
              <w:gridCol w:w="1038"/>
              <w:gridCol w:w="3082"/>
              <w:gridCol w:w="1859"/>
            </w:tblGrid>
            <w:tr w14:paraId="642833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noWrap w:val="0"/>
                  <w:vAlign w:val="center"/>
                </w:tcPr>
                <w:p w14:paraId="186AE7BB">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序号</w:t>
                  </w:r>
                </w:p>
              </w:tc>
              <w:tc>
                <w:tcPr>
                  <w:tcW w:w="807" w:type="pct"/>
                  <w:noWrap w:val="0"/>
                  <w:vAlign w:val="center"/>
                </w:tcPr>
                <w:p w14:paraId="3EB240D3">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类别</w:t>
                  </w:r>
                </w:p>
              </w:tc>
              <w:tc>
                <w:tcPr>
                  <w:tcW w:w="2624" w:type="pct"/>
                  <w:gridSpan w:val="2"/>
                  <w:noWrap w:val="0"/>
                  <w:vAlign w:val="center"/>
                </w:tcPr>
                <w:p w14:paraId="5C474A65">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内容</w:t>
                  </w:r>
                </w:p>
              </w:tc>
              <w:tc>
                <w:tcPr>
                  <w:tcW w:w="1184" w:type="pct"/>
                  <w:noWrap w:val="0"/>
                  <w:vAlign w:val="center"/>
                </w:tcPr>
                <w:p w14:paraId="7BFDD04D">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环保投资（万元）</w:t>
                  </w:r>
                </w:p>
              </w:tc>
            </w:tr>
            <w:tr w14:paraId="2084D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restart"/>
                  <w:noWrap w:val="0"/>
                  <w:vAlign w:val="center"/>
                </w:tcPr>
                <w:p w14:paraId="40A07E40">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eastAsia"/>
                      <w:color w:val="000000"/>
                      <w:sz w:val="21"/>
                      <w:szCs w:val="21"/>
                      <w:highlight w:val="none"/>
                    </w:rPr>
                    <w:t>施工期</w:t>
                  </w:r>
                </w:p>
              </w:tc>
              <w:tc>
                <w:tcPr>
                  <w:tcW w:w="807" w:type="pct"/>
                  <w:noWrap w:val="0"/>
                  <w:vAlign w:val="center"/>
                </w:tcPr>
                <w:p w14:paraId="40B63342">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废气治理</w:t>
                  </w:r>
                </w:p>
              </w:tc>
              <w:tc>
                <w:tcPr>
                  <w:tcW w:w="2624" w:type="pct"/>
                  <w:gridSpan w:val="2"/>
                  <w:noWrap w:val="0"/>
                  <w:vAlign w:val="center"/>
                </w:tcPr>
                <w:p w14:paraId="71C4D181">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洒水抑尘</w:t>
                  </w:r>
                </w:p>
              </w:tc>
              <w:tc>
                <w:tcPr>
                  <w:tcW w:w="1184" w:type="pct"/>
                  <w:noWrap w:val="0"/>
                  <w:vAlign w:val="center"/>
                </w:tcPr>
                <w:p w14:paraId="21D75B13">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szCs w:val="21"/>
                      <w:highlight w:val="none"/>
                      <w:lang w:eastAsia="zh-CN"/>
                    </w:rPr>
                  </w:pPr>
                  <w:r>
                    <w:rPr>
                      <w:rFonts w:hint="eastAsia"/>
                      <w:color w:val="000000"/>
                      <w:sz w:val="21"/>
                      <w:szCs w:val="21"/>
                      <w:highlight w:val="none"/>
                      <w:lang w:val="en-US" w:eastAsia="zh-CN"/>
                    </w:rPr>
                    <w:t>1</w:t>
                  </w:r>
                </w:p>
              </w:tc>
            </w:tr>
            <w:tr w14:paraId="0A30F5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359FF35A">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p>
              </w:tc>
              <w:tc>
                <w:tcPr>
                  <w:tcW w:w="807" w:type="pct"/>
                  <w:vMerge w:val="restart"/>
                  <w:noWrap w:val="0"/>
                  <w:vAlign w:val="center"/>
                </w:tcPr>
                <w:p w14:paraId="26DFE0D9">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固废治理</w:t>
                  </w:r>
                </w:p>
              </w:tc>
              <w:tc>
                <w:tcPr>
                  <w:tcW w:w="661" w:type="pct"/>
                  <w:noWrap w:val="0"/>
                  <w:vAlign w:val="center"/>
                </w:tcPr>
                <w:p w14:paraId="2992C8B4">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eastAsia"/>
                      <w:color w:val="000000"/>
                      <w:sz w:val="21"/>
                      <w:szCs w:val="21"/>
                      <w:highlight w:val="none"/>
                      <w:lang w:val="en-US" w:eastAsia="zh-CN"/>
                    </w:rPr>
                    <w:t>设备安装</w:t>
                  </w:r>
                  <w:r>
                    <w:rPr>
                      <w:rFonts w:hint="default"/>
                      <w:color w:val="000000"/>
                      <w:sz w:val="21"/>
                      <w:szCs w:val="21"/>
                      <w:highlight w:val="none"/>
                    </w:rPr>
                    <w:t>垃圾</w:t>
                  </w:r>
                </w:p>
              </w:tc>
              <w:tc>
                <w:tcPr>
                  <w:tcW w:w="1963" w:type="pct"/>
                  <w:noWrap w:val="0"/>
                  <w:vAlign w:val="center"/>
                </w:tcPr>
                <w:p w14:paraId="0B350FBB">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回收利用，不能回收的定时清运</w:t>
                  </w:r>
                </w:p>
              </w:tc>
              <w:tc>
                <w:tcPr>
                  <w:tcW w:w="1184" w:type="pct"/>
                  <w:noWrap w:val="0"/>
                  <w:vAlign w:val="center"/>
                </w:tcPr>
                <w:p w14:paraId="58209E3B">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szCs w:val="21"/>
                      <w:highlight w:val="none"/>
                      <w:lang w:eastAsia="zh-CN"/>
                    </w:rPr>
                  </w:pPr>
                  <w:r>
                    <w:rPr>
                      <w:rFonts w:hint="eastAsia"/>
                      <w:color w:val="000000"/>
                      <w:sz w:val="21"/>
                      <w:szCs w:val="21"/>
                      <w:highlight w:val="none"/>
                      <w:lang w:val="en-US" w:eastAsia="zh-CN"/>
                    </w:rPr>
                    <w:t>1</w:t>
                  </w:r>
                </w:p>
              </w:tc>
            </w:tr>
            <w:tr w14:paraId="10A8E3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5C6EF3C1">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p>
              </w:tc>
              <w:tc>
                <w:tcPr>
                  <w:tcW w:w="807" w:type="pct"/>
                  <w:vMerge w:val="continue"/>
                  <w:noWrap w:val="0"/>
                  <w:vAlign w:val="center"/>
                </w:tcPr>
                <w:p w14:paraId="62C124BA">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p>
              </w:tc>
              <w:tc>
                <w:tcPr>
                  <w:tcW w:w="661" w:type="pct"/>
                  <w:noWrap w:val="0"/>
                  <w:vAlign w:val="center"/>
                </w:tcPr>
                <w:p w14:paraId="747FBE11">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生活垃圾</w:t>
                  </w:r>
                </w:p>
              </w:tc>
              <w:tc>
                <w:tcPr>
                  <w:tcW w:w="1963" w:type="pct"/>
                  <w:noWrap w:val="0"/>
                  <w:vAlign w:val="center"/>
                </w:tcPr>
                <w:p w14:paraId="4F68794B">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施工场地设置垃圾桶及清运</w:t>
                  </w:r>
                </w:p>
              </w:tc>
              <w:tc>
                <w:tcPr>
                  <w:tcW w:w="1184" w:type="pct"/>
                  <w:noWrap w:val="0"/>
                  <w:vAlign w:val="center"/>
                </w:tcPr>
                <w:p w14:paraId="1F410F23">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szCs w:val="21"/>
                      <w:highlight w:val="none"/>
                      <w:lang w:eastAsia="zh-CN"/>
                    </w:rPr>
                  </w:pPr>
                  <w:r>
                    <w:rPr>
                      <w:rFonts w:hint="eastAsia"/>
                      <w:color w:val="000000"/>
                      <w:sz w:val="21"/>
                      <w:szCs w:val="21"/>
                      <w:highlight w:val="none"/>
                      <w:lang w:val="en-US" w:eastAsia="zh-CN"/>
                    </w:rPr>
                    <w:t>1</w:t>
                  </w:r>
                </w:p>
              </w:tc>
            </w:tr>
            <w:tr w14:paraId="4D847B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restart"/>
                  <w:noWrap w:val="0"/>
                  <w:vAlign w:val="center"/>
                </w:tcPr>
                <w:p w14:paraId="5AB497C9">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yellow"/>
                    </w:rPr>
                  </w:pPr>
                  <w:r>
                    <w:rPr>
                      <w:rFonts w:hint="default"/>
                      <w:color w:val="000000"/>
                      <w:sz w:val="21"/>
                      <w:szCs w:val="21"/>
                      <w:highlight w:val="none"/>
                    </w:rPr>
                    <w:t>运营期</w:t>
                  </w:r>
                </w:p>
              </w:tc>
              <w:tc>
                <w:tcPr>
                  <w:tcW w:w="807" w:type="pct"/>
                  <w:noWrap w:val="0"/>
                  <w:vAlign w:val="center"/>
                </w:tcPr>
                <w:p w14:paraId="700E9E42">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废气治理</w:t>
                  </w:r>
                </w:p>
              </w:tc>
              <w:tc>
                <w:tcPr>
                  <w:tcW w:w="2624" w:type="pct"/>
                  <w:gridSpan w:val="2"/>
                  <w:noWrap w:val="0"/>
                  <w:vAlign w:val="center"/>
                </w:tcPr>
                <w:p w14:paraId="5C73522E">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烘干废气：旋风除尘器+沉降室+碱洗喷淋塔+15m高排气筒；热风炉废气：2套低氮燃烧器</w:t>
                  </w:r>
                </w:p>
              </w:tc>
              <w:tc>
                <w:tcPr>
                  <w:tcW w:w="1184" w:type="pct"/>
                  <w:noWrap w:val="0"/>
                  <w:vAlign w:val="center"/>
                </w:tcPr>
                <w:p w14:paraId="78DCDBED">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szCs w:val="21"/>
                      <w:highlight w:val="yellow"/>
                      <w:lang w:val="en-US" w:eastAsia="zh-CN"/>
                    </w:rPr>
                  </w:pPr>
                  <w:r>
                    <w:rPr>
                      <w:rFonts w:hint="eastAsia"/>
                      <w:color w:val="000000"/>
                      <w:sz w:val="21"/>
                      <w:szCs w:val="21"/>
                      <w:highlight w:val="none"/>
                      <w:lang w:val="en-US" w:eastAsia="zh-CN"/>
                    </w:rPr>
                    <w:t>18</w:t>
                  </w:r>
                </w:p>
              </w:tc>
            </w:tr>
            <w:tr w14:paraId="04CEE2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1AFBD699">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yellow"/>
                    </w:rPr>
                  </w:pPr>
                </w:p>
              </w:tc>
              <w:tc>
                <w:tcPr>
                  <w:tcW w:w="807" w:type="pct"/>
                  <w:noWrap w:val="0"/>
                  <w:vAlign w:val="center"/>
                </w:tcPr>
                <w:p w14:paraId="316275BB">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噪声治理</w:t>
                  </w:r>
                </w:p>
              </w:tc>
              <w:tc>
                <w:tcPr>
                  <w:tcW w:w="2624" w:type="pct"/>
                  <w:gridSpan w:val="2"/>
                  <w:noWrap w:val="0"/>
                  <w:vAlign w:val="center"/>
                </w:tcPr>
                <w:p w14:paraId="755B1BC4">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采取对设备基础减振、车间隔声等降噪措施</w:t>
                  </w:r>
                </w:p>
              </w:tc>
              <w:tc>
                <w:tcPr>
                  <w:tcW w:w="1184" w:type="pct"/>
                  <w:noWrap w:val="0"/>
                  <w:vAlign w:val="center"/>
                </w:tcPr>
                <w:p w14:paraId="37BE7406">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000000"/>
                      <w:sz w:val="21"/>
                      <w:szCs w:val="21"/>
                      <w:highlight w:val="none"/>
                      <w:lang w:eastAsia="zh-CN"/>
                    </w:rPr>
                  </w:pPr>
                  <w:r>
                    <w:rPr>
                      <w:rFonts w:hint="eastAsia"/>
                      <w:color w:val="000000"/>
                      <w:sz w:val="21"/>
                      <w:szCs w:val="21"/>
                      <w:highlight w:val="none"/>
                      <w:lang w:val="en-US" w:eastAsia="zh-CN"/>
                    </w:rPr>
                    <w:t>2</w:t>
                  </w:r>
                </w:p>
              </w:tc>
            </w:tr>
            <w:tr w14:paraId="0EDD84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6518B2A9">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yellow"/>
                    </w:rPr>
                  </w:pPr>
                </w:p>
              </w:tc>
              <w:tc>
                <w:tcPr>
                  <w:tcW w:w="807" w:type="pct"/>
                  <w:noWrap w:val="0"/>
                  <w:vAlign w:val="center"/>
                </w:tcPr>
                <w:p w14:paraId="77492908">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固废治理</w:t>
                  </w:r>
                </w:p>
              </w:tc>
              <w:tc>
                <w:tcPr>
                  <w:tcW w:w="2624" w:type="pct"/>
                  <w:gridSpan w:val="2"/>
                  <w:noWrap w:val="0"/>
                  <w:vAlign w:val="center"/>
                </w:tcPr>
                <w:p w14:paraId="5E71D978">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新建危险废物贮存库</w:t>
                  </w:r>
                </w:p>
              </w:tc>
              <w:tc>
                <w:tcPr>
                  <w:tcW w:w="1184" w:type="pct"/>
                  <w:noWrap w:val="0"/>
                  <w:vAlign w:val="center"/>
                </w:tcPr>
                <w:p w14:paraId="4ECB9200">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5</w:t>
                  </w:r>
                </w:p>
              </w:tc>
            </w:tr>
            <w:tr w14:paraId="35DFBF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3E29D81E">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yellow"/>
                    </w:rPr>
                  </w:pPr>
                </w:p>
              </w:tc>
              <w:tc>
                <w:tcPr>
                  <w:tcW w:w="807" w:type="pct"/>
                  <w:noWrap w:val="0"/>
                  <w:vAlign w:val="center"/>
                </w:tcPr>
                <w:p w14:paraId="46336FD7">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lang w:val="en-US" w:eastAsia="zh-CN"/>
                    </w:rPr>
                    <w:t>风险措施</w:t>
                  </w:r>
                </w:p>
              </w:tc>
              <w:tc>
                <w:tcPr>
                  <w:tcW w:w="2624" w:type="pct"/>
                  <w:gridSpan w:val="2"/>
                  <w:noWrap w:val="0"/>
                  <w:vAlign w:val="center"/>
                </w:tcPr>
                <w:p w14:paraId="4BDD70BD">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lang w:val="en-US" w:eastAsia="zh-CN"/>
                    </w:rPr>
                  </w:pPr>
                  <w:r>
                    <w:rPr>
                      <w:rFonts w:hint="eastAsia"/>
                      <w:color w:val="000000"/>
                      <w:sz w:val="21"/>
                      <w:szCs w:val="21"/>
                      <w:highlight w:val="none"/>
                      <w:lang w:val="en-US" w:eastAsia="zh-CN"/>
                    </w:rPr>
                    <w:t>应急预案、围堰</w:t>
                  </w:r>
                </w:p>
              </w:tc>
              <w:tc>
                <w:tcPr>
                  <w:tcW w:w="1184" w:type="pct"/>
                  <w:noWrap w:val="0"/>
                  <w:vAlign w:val="center"/>
                </w:tcPr>
                <w:p w14:paraId="59C7B1E7">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lang w:val="en-US" w:eastAsia="zh-CN"/>
                    </w:rPr>
                  </w:pPr>
                  <w:r>
                    <w:rPr>
                      <w:rFonts w:hint="eastAsia"/>
                      <w:color w:val="000000"/>
                      <w:sz w:val="21"/>
                      <w:szCs w:val="21"/>
                      <w:highlight w:val="none"/>
                      <w:lang w:val="en-US" w:eastAsia="zh-CN"/>
                    </w:rPr>
                    <w:t>3</w:t>
                  </w:r>
                </w:p>
              </w:tc>
            </w:tr>
            <w:tr w14:paraId="362DAF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 w:type="pct"/>
                  <w:vMerge w:val="continue"/>
                  <w:noWrap w:val="0"/>
                  <w:vAlign w:val="center"/>
                </w:tcPr>
                <w:p w14:paraId="10DDCF07">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yellow"/>
                    </w:rPr>
                  </w:pPr>
                </w:p>
              </w:tc>
              <w:tc>
                <w:tcPr>
                  <w:tcW w:w="807" w:type="pct"/>
                  <w:noWrap w:val="0"/>
                  <w:vAlign w:val="center"/>
                </w:tcPr>
                <w:p w14:paraId="0698CA81">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lang w:val="en-US"/>
                    </w:rPr>
                  </w:pPr>
                  <w:r>
                    <w:rPr>
                      <w:rFonts w:hint="eastAsia"/>
                      <w:color w:val="000000"/>
                      <w:sz w:val="21"/>
                      <w:szCs w:val="21"/>
                      <w:highlight w:val="none"/>
                      <w:lang w:val="en-US" w:eastAsia="zh-CN"/>
                    </w:rPr>
                    <w:t>环境管理</w:t>
                  </w:r>
                </w:p>
              </w:tc>
              <w:tc>
                <w:tcPr>
                  <w:tcW w:w="2624" w:type="pct"/>
                  <w:gridSpan w:val="2"/>
                  <w:noWrap w:val="0"/>
                  <w:vAlign w:val="center"/>
                </w:tcPr>
                <w:p w14:paraId="35DEC242">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lang w:val="en-US" w:eastAsia="zh-CN"/>
                    </w:rPr>
                  </w:pPr>
                  <w:r>
                    <w:rPr>
                      <w:rFonts w:hint="eastAsia"/>
                      <w:color w:val="000000"/>
                      <w:sz w:val="21"/>
                      <w:szCs w:val="21"/>
                      <w:highlight w:val="none"/>
                      <w:lang w:val="en-US" w:eastAsia="zh-CN"/>
                    </w:rPr>
                    <w:t>自行监测</w:t>
                  </w:r>
                </w:p>
              </w:tc>
              <w:tc>
                <w:tcPr>
                  <w:tcW w:w="1184" w:type="pct"/>
                  <w:noWrap w:val="0"/>
                  <w:vAlign w:val="center"/>
                </w:tcPr>
                <w:p w14:paraId="520D189C">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lang w:val="en-US" w:eastAsia="zh-CN"/>
                    </w:rPr>
                  </w:pPr>
                  <w:r>
                    <w:rPr>
                      <w:rFonts w:hint="eastAsia"/>
                      <w:color w:val="000000"/>
                      <w:sz w:val="21"/>
                      <w:szCs w:val="21"/>
                      <w:highlight w:val="none"/>
                      <w:lang w:val="en-US" w:eastAsia="zh-CN"/>
                    </w:rPr>
                    <w:t>4</w:t>
                  </w:r>
                </w:p>
              </w:tc>
            </w:tr>
            <w:tr w14:paraId="0AF2C4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pct"/>
                  <w:gridSpan w:val="2"/>
                  <w:noWrap w:val="0"/>
                  <w:vAlign w:val="center"/>
                </w:tcPr>
                <w:p w14:paraId="075DA83F">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z w:val="21"/>
                      <w:szCs w:val="21"/>
                      <w:highlight w:val="none"/>
                    </w:rPr>
                  </w:pPr>
                  <w:r>
                    <w:rPr>
                      <w:rFonts w:hint="default"/>
                      <w:color w:val="000000"/>
                      <w:sz w:val="21"/>
                      <w:szCs w:val="21"/>
                      <w:highlight w:val="none"/>
                    </w:rPr>
                    <w:t>总计</w:t>
                  </w:r>
                </w:p>
              </w:tc>
              <w:tc>
                <w:tcPr>
                  <w:tcW w:w="3808" w:type="pct"/>
                  <w:gridSpan w:val="3"/>
                  <w:noWrap w:val="0"/>
                  <w:vAlign w:val="center"/>
                </w:tcPr>
                <w:p w14:paraId="11880FCC">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35</w:t>
                  </w:r>
                </w:p>
              </w:tc>
            </w:tr>
          </w:tbl>
          <w:p w14:paraId="3A3F21CA">
            <w:pPr>
              <w:keepNext w:val="0"/>
              <w:keepLines w:val="0"/>
              <w:suppressLineNumbers w:val="0"/>
              <w:spacing w:before="0" w:beforeAutospacing="0" w:after="0" w:afterAutospacing="0"/>
              <w:ind w:left="0" w:right="0" w:firstLine="480" w:firstLineChars="200"/>
              <w:rPr>
                <w:rFonts w:hint="default"/>
                <w:color w:val="000000"/>
                <w:kern w:val="0"/>
                <w:szCs w:val="21"/>
              </w:rPr>
            </w:pPr>
          </w:p>
        </w:tc>
      </w:tr>
      <w:tr w14:paraId="006DA1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8" w:type="dxa"/>
            <w:tcBorders>
              <w:tl2br w:val="nil"/>
              <w:tr2bl w:val="nil"/>
            </w:tcBorders>
            <w:noWrap w:val="0"/>
            <w:vAlign w:val="center"/>
          </w:tcPr>
          <w:p w14:paraId="68AE9400">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z w:val="21"/>
                <w:szCs w:val="21"/>
              </w:rPr>
            </w:pPr>
            <w:r>
              <w:rPr>
                <w:rFonts w:hint="default" w:ascii="Times New Roman" w:hAnsi="Times New Roman"/>
                <w:b/>
                <w:bCs/>
                <w:color w:val="000000"/>
                <w:sz w:val="21"/>
                <w:szCs w:val="21"/>
              </w:rPr>
              <w:t>工艺流程和产排污环节</w:t>
            </w:r>
          </w:p>
        </w:tc>
        <w:tc>
          <w:tcPr>
            <w:tcW w:w="8068" w:type="dxa"/>
            <w:tcBorders>
              <w:tl2br w:val="nil"/>
              <w:tr2bl w:val="nil"/>
            </w:tcBorders>
            <w:noWrap w:val="0"/>
            <w:vAlign w:val="top"/>
          </w:tcPr>
          <w:p w14:paraId="75CCCA8A">
            <w:pPr>
              <w:keepNext w:val="0"/>
              <w:keepLines w:val="0"/>
              <w:suppressLineNumbers w:val="0"/>
              <w:adjustRightInd w:val="0"/>
              <w:snapToGrid w:val="0"/>
              <w:spacing w:before="0" w:beforeAutospacing="0" w:after="0" w:afterAutospacing="0"/>
              <w:ind w:left="0" w:right="0"/>
              <w:rPr>
                <w:rFonts w:hint="default"/>
                <w:b/>
                <w:bCs/>
                <w:color w:val="000000"/>
                <w:kern w:val="0"/>
              </w:rPr>
            </w:pPr>
            <w:r>
              <w:rPr>
                <w:rFonts w:hint="eastAsia"/>
                <w:b/>
                <w:bCs/>
                <w:color w:val="000000"/>
                <w:kern w:val="0"/>
                <w:lang w:val="en-US" w:eastAsia="zh-CN"/>
              </w:rPr>
              <w:t>1、</w:t>
            </w:r>
            <w:r>
              <w:rPr>
                <w:rFonts w:hint="default"/>
                <w:b/>
                <w:bCs/>
                <w:color w:val="000000"/>
                <w:kern w:val="0"/>
              </w:rPr>
              <w:t>施工期工艺流程和产排污环节：</w:t>
            </w:r>
          </w:p>
          <w:p w14:paraId="18CD0137">
            <w:pPr>
              <w:keepNext w:val="0"/>
              <w:keepLines w:val="0"/>
              <w:suppressLineNumbers w:val="0"/>
              <w:adjustRightInd w:val="0"/>
              <w:snapToGrid w:val="0"/>
              <w:spacing w:before="0" w:beforeAutospacing="0" w:after="0" w:afterAutospacing="0"/>
              <w:ind w:left="0" w:right="0" w:firstLine="480" w:firstLineChars="200"/>
              <w:rPr>
                <w:rFonts w:hint="default"/>
                <w:color w:val="000000"/>
                <w:kern w:val="0"/>
              </w:rPr>
            </w:pPr>
            <w:bookmarkStart w:id="4" w:name="_Toc27878"/>
            <w:r>
              <w:rPr>
                <w:rFonts w:hint="default"/>
                <w:color w:val="000000"/>
                <w:kern w:val="0"/>
              </w:rPr>
              <w:t>施工</w:t>
            </w:r>
            <w:r>
              <w:rPr>
                <w:rFonts w:hint="eastAsia"/>
                <w:color w:val="000000"/>
                <w:kern w:val="0"/>
              </w:rPr>
              <w:t>期</w:t>
            </w:r>
            <w:r>
              <w:rPr>
                <w:rFonts w:hint="default"/>
                <w:color w:val="000000"/>
                <w:kern w:val="0"/>
              </w:rPr>
              <w:t>工艺流程及产污环节图：</w:t>
            </w:r>
            <w:bookmarkEnd w:id="4"/>
          </w:p>
          <w:p w14:paraId="00B68631">
            <w:pPr>
              <w:keepNext w:val="0"/>
              <w:keepLines w:val="0"/>
              <w:suppressLineNumbers w:val="0"/>
              <w:adjustRightInd w:val="0"/>
              <w:snapToGrid w:val="0"/>
              <w:spacing w:before="0" w:beforeAutospacing="0" w:after="0" w:afterAutospacing="0"/>
              <w:ind w:left="0" w:right="0"/>
              <w:jc w:val="center"/>
              <w:rPr>
                <w:rFonts w:hint="eastAsia" w:eastAsia="宋体"/>
                <w:b/>
                <w:bCs/>
                <w:color w:val="000000"/>
                <w:kern w:val="0"/>
                <w:lang w:eastAsia="zh-CN"/>
              </w:rPr>
            </w:pPr>
            <w:r>
              <w:rPr>
                <w:rFonts w:hint="eastAsia" w:ascii="Times New Roman" w:hAnsi="Times New Roman" w:eastAsia="宋体" w:cs="Times New Roman"/>
                <w:b/>
                <w:bCs/>
                <w:sz w:val="24"/>
                <w:szCs w:val="24"/>
                <w:lang w:eastAsia="zh-CN"/>
              </w:rPr>
              <w:drawing>
                <wp:inline distT="0" distB="0" distL="114300" distR="114300">
                  <wp:extent cx="2804160" cy="1447800"/>
                  <wp:effectExtent l="0" t="0" r="0" b="0"/>
                  <wp:docPr id="2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wps"/>
                          <pic:cNvPicPr>
                            <a:picLocks noChangeAspect="1"/>
                          </pic:cNvPicPr>
                        </pic:nvPicPr>
                        <pic:blipFill>
                          <a:blip r:embed="rId10"/>
                          <a:srcRect t="9761" b="17888"/>
                          <a:stretch>
                            <a:fillRect/>
                          </a:stretch>
                        </pic:blipFill>
                        <pic:spPr>
                          <a:xfrm>
                            <a:off x="0" y="0"/>
                            <a:ext cx="2804160" cy="1447800"/>
                          </a:xfrm>
                          <a:prstGeom prst="rect">
                            <a:avLst/>
                          </a:prstGeom>
                        </pic:spPr>
                      </pic:pic>
                    </a:graphicData>
                  </a:graphic>
                </wp:inline>
              </w:drawing>
            </w:r>
          </w:p>
          <w:p w14:paraId="03D8E92F">
            <w:pPr>
              <w:keepNext w:val="0"/>
              <w:keepLines w:val="0"/>
              <w:suppressLineNumbers w:val="0"/>
              <w:adjustRightInd w:val="0"/>
              <w:snapToGrid w:val="0"/>
              <w:spacing w:before="0" w:beforeAutospacing="0" w:after="0" w:afterAutospacing="0"/>
              <w:ind w:left="0" w:right="0"/>
              <w:jc w:val="center"/>
              <w:rPr>
                <w:rFonts w:hint="eastAsia" w:eastAsia="宋体"/>
                <w:b/>
                <w:bCs/>
                <w:color w:val="000000"/>
                <w:kern w:val="0"/>
                <w:sz w:val="21"/>
                <w:szCs w:val="21"/>
                <w:lang w:eastAsia="zh-CN"/>
              </w:rPr>
            </w:pPr>
            <w:r>
              <w:rPr>
                <w:rFonts w:hint="eastAsia" w:eastAsia="宋体"/>
                <w:b/>
                <w:bCs/>
                <w:color w:val="000000"/>
                <w:kern w:val="0"/>
                <w:sz w:val="21"/>
                <w:szCs w:val="21"/>
                <w:lang w:eastAsia="zh-CN"/>
              </w:rPr>
              <w:t>图2</w:t>
            </w:r>
            <w:r>
              <w:rPr>
                <w:rFonts w:hint="eastAsia" w:eastAsia="宋体"/>
                <w:b/>
                <w:bCs/>
                <w:color w:val="000000"/>
                <w:kern w:val="0"/>
                <w:sz w:val="21"/>
                <w:szCs w:val="21"/>
                <w:lang w:val="en-US" w:eastAsia="zh-CN"/>
              </w:rPr>
              <w:t>-</w:t>
            </w:r>
            <w:r>
              <w:rPr>
                <w:rFonts w:hint="eastAsia"/>
                <w:b/>
                <w:bCs/>
                <w:color w:val="000000"/>
                <w:kern w:val="0"/>
                <w:sz w:val="21"/>
                <w:szCs w:val="21"/>
                <w:lang w:val="en-US" w:eastAsia="zh-CN"/>
              </w:rPr>
              <w:t>2</w:t>
            </w:r>
            <w:r>
              <w:rPr>
                <w:rFonts w:hint="eastAsia" w:eastAsia="宋体"/>
                <w:b/>
                <w:bCs/>
                <w:color w:val="000000"/>
                <w:kern w:val="0"/>
                <w:sz w:val="21"/>
                <w:szCs w:val="21"/>
                <w:lang w:eastAsia="zh-CN"/>
              </w:rPr>
              <w:t xml:space="preserve">  </w:t>
            </w:r>
            <w:r>
              <w:rPr>
                <w:rFonts w:hint="eastAsia" w:eastAsia="宋体"/>
                <w:b/>
                <w:bCs/>
                <w:color w:val="000000"/>
                <w:kern w:val="0"/>
                <w:sz w:val="21"/>
                <w:szCs w:val="21"/>
                <w:lang w:val="en-US" w:eastAsia="zh-CN"/>
              </w:rPr>
              <w:t xml:space="preserve">  </w:t>
            </w:r>
            <w:r>
              <w:rPr>
                <w:rFonts w:hint="eastAsia" w:eastAsia="宋体"/>
                <w:b/>
                <w:bCs/>
                <w:color w:val="000000"/>
                <w:kern w:val="0"/>
                <w:sz w:val="21"/>
                <w:szCs w:val="21"/>
                <w:lang w:eastAsia="zh-CN"/>
              </w:rPr>
              <w:t xml:space="preserve"> 施工工艺流程及产污环节图</w:t>
            </w:r>
          </w:p>
          <w:p w14:paraId="32DA31B5">
            <w:pPr>
              <w:keepNext w:val="0"/>
              <w:keepLines w:val="0"/>
              <w:numPr>
                <w:ilvl w:val="0"/>
                <w:numId w:val="0"/>
              </w:numPr>
              <w:suppressLineNumbers w:val="0"/>
              <w:spacing w:before="0" w:beforeAutospacing="0" w:after="0" w:afterAutospacing="0"/>
              <w:ind w:left="0" w:leftChars="0" w:right="0"/>
              <w:rPr>
                <w:rFonts w:hint="default"/>
                <w:b/>
                <w:bCs/>
                <w:color w:val="000000"/>
                <w:kern w:val="0"/>
                <w:highlight w:val="none"/>
              </w:rPr>
            </w:pPr>
            <w:r>
              <w:rPr>
                <w:rFonts w:hint="eastAsia"/>
                <w:b/>
                <w:bCs/>
                <w:color w:val="000000"/>
                <w:kern w:val="0"/>
                <w:highlight w:val="none"/>
                <w:lang w:val="en-US" w:eastAsia="zh-CN"/>
              </w:rPr>
              <w:t>2、</w:t>
            </w:r>
            <w:r>
              <w:rPr>
                <w:rFonts w:hint="default"/>
                <w:b/>
                <w:bCs/>
                <w:color w:val="000000"/>
                <w:kern w:val="0"/>
                <w:highlight w:val="none"/>
              </w:rPr>
              <w:t>运营期工艺流程和产排污环节：</w:t>
            </w:r>
          </w:p>
          <w:p w14:paraId="7E4DAFAD">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0" w:firstLineChars="0"/>
              <w:jc w:val="center"/>
              <w:textAlignment w:val="auto"/>
              <w:rPr>
                <w:rFonts w:hint="eastAsia"/>
                <w:color w:val="000000"/>
                <w:lang w:val="en-US" w:eastAsia="zh-CN"/>
              </w:rPr>
            </w:pPr>
            <w:r>
              <w:rPr>
                <w:rFonts w:hint="eastAsia" w:eastAsia="宋体"/>
                <w:color w:val="000000"/>
                <w:lang w:val="en-US" w:eastAsia="zh-CN"/>
              </w:rPr>
              <w:drawing>
                <wp:inline distT="0" distB="0" distL="114300" distR="114300">
                  <wp:extent cx="4688205" cy="2076450"/>
                  <wp:effectExtent l="0" t="0" r="0" b="0"/>
                  <wp:docPr id="1" name="ECB019B1-382A-4266-B25C-5B523AA43C14-3" descr="C:/Users/MyPC/AppData/Local/Temp/wps.ljxek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3" descr="C:/Users/MyPC/AppData/Local/Temp/wps.ljxekNwps"/>
                          <pic:cNvPicPr>
                            <a:picLocks noChangeAspect="1"/>
                          </pic:cNvPicPr>
                        </pic:nvPicPr>
                        <pic:blipFill>
                          <a:blip r:embed="rId11"/>
                          <a:stretch>
                            <a:fillRect/>
                          </a:stretch>
                        </pic:blipFill>
                        <pic:spPr>
                          <a:xfrm>
                            <a:off x="0" y="0"/>
                            <a:ext cx="4688205" cy="2076450"/>
                          </a:xfrm>
                          <a:prstGeom prst="rect">
                            <a:avLst/>
                          </a:prstGeom>
                        </pic:spPr>
                      </pic:pic>
                    </a:graphicData>
                  </a:graphic>
                </wp:inline>
              </w:drawing>
            </w:r>
          </w:p>
          <w:p w14:paraId="14B63A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0"/>
                <w:sz w:val="21"/>
                <w:szCs w:val="21"/>
                <w:lang w:val="en-US" w:eastAsia="zh-CN"/>
              </w:rPr>
            </w:pPr>
            <w:r>
              <w:rPr>
                <w:rFonts w:hint="eastAsia" w:ascii="Times New Roman" w:hAnsi="Times New Roman" w:eastAsia="宋体" w:cs="Times New Roman"/>
                <w:b/>
                <w:bCs/>
                <w:color w:val="000000"/>
                <w:kern w:val="0"/>
                <w:sz w:val="21"/>
                <w:szCs w:val="21"/>
                <w:lang w:val="en-US" w:eastAsia="zh-CN"/>
              </w:rPr>
              <w:t>图2-</w:t>
            </w:r>
            <w:r>
              <w:rPr>
                <w:rFonts w:hint="eastAsia" w:cs="Times New Roman"/>
                <w:b/>
                <w:bCs/>
                <w:color w:val="000000"/>
                <w:kern w:val="0"/>
                <w:sz w:val="21"/>
                <w:szCs w:val="21"/>
                <w:lang w:val="en-US" w:eastAsia="zh-CN"/>
              </w:rPr>
              <w:t>3</w:t>
            </w:r>
            <w:r>
              <w:rPr>
                <w:rFonts w:hint="eastAsia" w:ascii="Times New Roman" w:hAnsi="Times New Roman" w:eastAsia="宋体" w:cs="Times New Roman"/>
                <w:b/>
                <w:bCs/>
                <w:color w:val="000000"/>
                <w:kern w:val="0"/>
                <w:sz w:val="21"/>
                <w:szCs w:val="21"/>
                <w:lang w:val="en-US" w:eastAsia="zh-CN"/>
              </w:rPr>
              <w:t xml:space="preserve">         工艺流程及产物环节图</w:t>
            </w:r>
          </w:p>
          <w:p w14:paraId="7E2007A9">
            <w:pPr>
              <w:pStyle w:val="77"/>
              <w:keepNext w:val="0"/>
              <w:keepLines w:val="0"/>
              <w:suppressLineNumbers w:val="0"/>
              <w:spacing w:before="0" w:beforeAutospacing="0" w:after="0" w:afterAutospacing="0"/>
              <w:ind w:left="0" w:right="0" w:firstLine="482"/>
              <w:rPr>
                <w:rFonts w:hint="default" w:ascii="Segoe UI" w:hAnsi="Segoe UI" w:eastAsia="Segoe UI" w:cs="Segoe UI"/>
                <w:b/>
                <w:bCs/>
                <w:i w:val="0"/>
                <w:iCs w:val="0"/>
                <w:caps w:val="0"/>
                <w:spacing w:val="0"/>
                <w:sz w:val="24"/>
                <w:szCs w:val="24"/>
                <w:shd w:val="clear" w:fill="FFFFFF"/>
              </w:rPr>
            </w:pPr>
            <w:r>
              <w:rPr>
                <w:rFonts w:hint="default"/>
                <w:b/>
                <w:bCs/>
              </w:rPr>
              <w:t>生产工艺流程说明：</w:t>
            </w:r>
          </w:p>
          <w:p w14:paraId="20D1C477">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eastAsia" w:eastAsia="宋体"/>
                <w:color w:val="000000"/>
                <w:lang w:val="en-US" w:eastAsia="zh-CN"/>
              </w:rPr>
            </w:pPr>
            <w:r>
              <w:rPr>
                <w:rFonts w:hint="eastAsia"/>
                <w:color w:val="000000"/>
                <w:lang w:val="en-US" w:eastAsia="zh-CN"/>
              </w:rPr>
              <w:t>酸浸：棉籽通过吸籽机进行上料，将浓硫酸（92%—95%）、浸透剂、水在封闭的配酸系统中以一定的比例混合后稀释成硫酸浓度为10%～12%的混合液，置于酸搅拌器内，将酸混合液定量与棉籽进行搅拌。</w:t>
            </w:r>
            <w:r>
              <w:rPr>
                <w:rFonts w:hint="default" w:ascii="Times New Roman" w:hAnsi="Times New Roman" w:eastAsia="宋体" w:cs="Times New Roman"/>
                <w:color w:val="000000"/>
                <w:kern w:val="0"/>
                <w:sz w:val="24"/>
                <w:szCs w:val="24"/>
                <w:lang w:val="en-US" w:eastAsia="zh-CN" w:bidi="ar"/>
              </w:rPr>
              <w:t>本工序主要污染源为设备运行噪声</w:t>
            </w:r>
            <w:r>
              <w:rPr>
                <w:rFonts w:hint="eastAsia"/>
                <w:lang w:eastAsia="zh-CN"/>
              </w:rPr>
              <w:t>。</w:t>
            </w:r>
          </w:p>
          <w:p w14:paraId="406E1C16">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default"/>
                <w:color w:val="000000"/>
                <w:lang w:val="en-US" w:eastAsia="zh-CN"/>
              </w:rPr>
            </w:pPr>
            <w:r>
              <w:rPr>
                <w:rFonts w:hint="eastAsia"/>
                <w:color w:val="000000"/>
                <w:lang w:val="en-US" w:eastAsia="zh-CN"/>
              </w:rPr>
              <w:t>脱酸：酸浸后的棉种经中心绞龙推入离心机进行甩干脱“酸水”，多余的稀酸流循环使用，将浸透过酸混合液的棉种送入烘干系统。</w:t>
            </w:r>
            <w:r>
              <w:rPr>
                <w:rFonts w:hint="default" w:ascii="Times New Roman" w:hAnsi="Times New Roman" w:eastAsia="宋体" w:cs="Times New Roman"/>
                <w:color w:val="000000"/>
                <w:kern w:val="0"/>
                <w:sz w:val="24"/>
                <w:szCs w:val="24"/>
                <w:lang w:val="en-US" w:eastAsia="zh-CN" w:bidi="ar"/>
              </w:rPr>
              <w:t>本工序主要污染源为设备运行噪声</w:t>
            </w:r>
            <w:r>
              <w:rPr>
                <w:rFonts w:hint="eastAsia" w:cs="Times New Roman"/>
                <w:color w:val="000000"/>
                <w:kern w:val="0"/>
                <w:sz w:val="24"/>
                <w:szCs w:val="24"/>
                <w:lang w:val="en-US" w:eastAsia="zh-CN" w:bidi="ar"/>
              </w:rPr>
              <w:t>。</w:t>
            </w:r>
          </w:p>
          <w:p w14:paraId="5D7E36BF">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default"/>
                <w:color w:val="000000"/>
                <w:lang w:val="en-US" w:eastAsia="zh-CN"/>
              </w:rPr>
            </w:pPr>
            <w:r>
              <w:rPr>
                <w:rFonts w:hint="eastAsia"/>
                <w:color w:val="000000"/>
                <w:lang w:val="en-US" w:eastAsia="zh-CN"/>
              </w:rPr>
              <w:t>烘干、摩擦：毛棉籽被输送到烘干机中干燥脱绒碳化纤维，干燥碳化后的种子被提升机送入摩擦机进一步碳化及摩擦，除去种子表面的碳化绒，燃气热风炉为烘干系统提供热能。</w:t>
            </w:r>
            <w:r>
              <w:rPr>
                <w:rFonts w:hint="default" w:ascii="Times New Roman" w:hAnsi="Times New Roman" w:eastAsia="宋体" w:cs="Times New Roman"/>
                <w:color w:val="000000"/>
                <w:kern w:val="0"/>
                <w:sz w:val="24"/>
                <w:szCs w:val="24"/>
                <w:lang w:val="en-US" w:eastAsia="zh-CN" w:bidi="ar"/>
              </w:rPr>
              <w:t>本工序主要污染源为设备运行噪声</w:t>
            </w:r>
            <w:r>
              <w:rPr>
                <w:rFonts w:hint="eastAsia" w:cs="Times New Roman"/>
                <w:color w:val="000000"/>
                <w:kern w:val="0"/>
                <w:sz w:val="24"/>
                <w:szCs w:val="24"/>
                <w:lang w:val="en-US" w:eastAsia="zh-CN" w:bidi="ar"/>
              </w:rPr>
              <w:t>、烘干摩擦产生的硫酸雾、颗粒物及热风炉烟气及废气治理设施收集到的废棉尘。</w:t>
            </w:r>
          </w:p>
          <w:p w14:paraId="4C3D6DDF">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default"/>
                <w:color w:val="000000"/>
                <w:lang w:val="en-US" w:eastAsia="zh-CN"/>
              </w:rPr>
            </w:pPr>
            <w:r>
              <w:rPr>
                <w:rFonts w:hint="eastAsia"/>
                <w:color w:val="000000"/>
                <w:lang w:val="en-US" w:eastAsia="zh-CN"/>
              </w:rPr>
              <w:t>分选：经提升机输送给风选机进行筛选，随后种子被提升机再次送入重力清选机清选，最后经过比重选清选过的种子进入色选机进行精选；精选后的种子进入磁选机，清除种子中混杂的铁磁性杂质，分选工序保障了种子纯度与加工设备安全。</w:t>
            </w:r>
            <w:r>
              <w:rPr>
                <w:rFonts w:hint="default" w:ascii="Times New Roman" w:hAnsi="Times New Roman" w:eastAsia="宋体" w:cs="Times New Roman"/>
                <w:color w:val="000000"/>
                <w:kern w:val="0"/>
                <w:sz w:val="24"/>
                <w:szCs w:val="24"/>
                <w:lang w:val="en-US" w:eastAsia="zh-CN" w:bidi="ar"/>
              </w:rPr>
              <w:t>本工序主要污染源为设备运行噪声</w:t>
            </w:r>
            <w:r>
              <w:rPr>
                <w:rFonts w:hint="eastAsia" w:cs="Times New Roman"/>
                <w:color w:val="000000"/>
                <w:kern w:val="0"/>
                <w:sz w:val="24"/>
                <w:szCs w:val="24"/>
                <w:lang w:val="en-US" w:eastAsia="zh-CN" w:bidi="ar"/>
              </w:rPr>
              <w:t>、分选产生的废气、</w:t>
            </w:r>
            <w:r>
              <w:rPr>
                <w:rFonts w:hint="eastAsia"/>
                <w:color w:val="000000"/>
                <w:lang w:val="en-US" w:eastAsia="zh-CN"/>
              </w:rPr>
              <w:t>铁磁性杂质、</w:t>
            </w:r>
            <w:r>
              <w:rPr>
                <w:rFonts w:hint="eastAsia" w:cs="Times New Roman"/>
                <w:color w:val="000000"/>
                <w:kern w:val="0"/>
                <w:sz w:val="24"/>
                <w:szCs w:val="24"/>
                <w:lang w:val="en-US" w:eastAsia="zh-CN" w:bidi="ar"/>
              </w:rPr>
              <w:t>异常籽、瘪籽及轻杂物。</w:t>
            </w:r>
          </w:p>
          <w:p w14:paraId="673873BD">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eastAsia"/>
                <w:color w:val="000000"/>
                <w:lang w:val="en-US" w:eastAsia="zh-CN"/>
              </w:rPr>
            </w:pPr>
            <w:r>
              <w:rPr>
                <w:rFonts w:hint="eastAsia"/>
                <w:color w:val="000000"/>
                <w:lang w:val="en-US" w:eastAsia="zh-CN"/>
              </w:rPr>
              <w:t>包衣：将种子与种子包衣剂充分混合，送入包衣机进行包衣。</w:t>
            </w:r>
            <w:r>
              <w:rPr>
                <w:rFonts w:hint="default" w:ascii="Times New Roman" w:hAnsi="Times New Roman" w:eastAsia="宋体" w:cs="Times New Roman"/>
                <w:color w:val="000000"/>
                <w:kern w:val="0"/>
                <w:sz w:val="24"/>
                <w:szCs w:val="24"/>
                <w:lang w:val="en-US" w:eastAsia="zh-CN" w:bidi="ar"/>
              </w:rPr>
              <w:t>本工序主要污染源为设备运行噪声</w:t>
            </w:r>
            <w:r>
              <w:rPr>
                <w:rFonts w:hint="eastAsia" w:cs="Times New Roman"/>
                <w:color w:val="000000"/>
                <w:kern w:val="0"/>
                <w:sz w:val="24"/>
                <w:szCs w:val="24"/>
                <w:lang w:val="en-US" w:eastAsia="zh-CN" w:bidi="ar"/>
              </w:rPr>
              <w:t>。</w:t>
            </w:r>
          </w:p>
          <w:p w14:paraId="7044E91C">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eastAsia"/>
                <w:color w:val="000000"/>
                <w:lang w:val="en-US" w:eastAsia="zh-CN"/>
              </w:rPr>
            </w:pPr>
            <w:r>
              <w:rPr>
                <w:rFonts w:hint="eastAsia"/>
                <w:color w:val="000000"/>
                <w:lang w:val="en-US" w:eastAsia="zh-CN"/>
              </w:rPr>
              <w:t>包装入库：包衣后的种子最后经过定量包装输送入库。</w:t>
            </w:r>
          </w:p>
          <w:p w14:paraId="7DD3A91D">
            <w:pPr>
              <w:pStyle w:val="77"/>
              <w:keepNext w:val="0"/>
              <w:keepLines w:val="0"/>
              <w:suppressLineNumbers w:val="0"/>
              <w:spacing w:before="0" w:beforeAutospacing="0" w:after="0" w:afterAutospacing="0"/>
              <w:ind w:left="0" w:right="0" w:firstLine="482"/>
              <w:rPr>
                <w:rFonts w:hint="eastAsia"/>
                <w:b/>
                <w:bCs/>
              </w:rPr>
            </w:pPr>
            <w:r>
              <w:rPr>
                <w:rFonts w:hint="eastAsia"/>
                <w:b/>
                <w:bCs/>
              </w:rPr>
              <w:t>低氮燃烧器工艺简述：</w:t>
            </w:r>
          </w:p>
          <w:p w14:paraId="28B381FB">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leftChars="0" w:right="0" w:firstLine="480" w:firstLineChars="200"/>
              <w:textAlignment w:val="auto"/>
              <w:rPr>
                <w:rFonts w:hint="eastAsia"/>
                <w:color w:val="000000"/>
                <w:lang w:val="en-US" w:eastAsia="zh-CN"/>
              </w:rPr>
            </w:pPr>
            <w:r>
              <w:rPr>
                <w:rFonts w:hint="eastAsia"/>
                <w:color w:val="000000"/>
                <w:lang w:val="en-US" w:eastAsia="zh-CN"/>
              </w:rPr>
              <w:t>低氮燃烧器主要通过选用低氮、全自动比例调节燃烧器，自动控制燃烧过程，严格控制过量空气系数和炉内温度，使燃气充分燃烧，减少NOx的生成，它通过特殊设计的燃烧器结构，改变通过燃烧器的风气比例，使在燃烧器内部或出口射流的空气分级，以控制燃烧器中燃料与空气的混合过程，尽可能降低着火区的温度和降低着火区的氧浓度，在保证燃气着火和燃烧的同时能有效地抑制NOx的生成。</w:t>
            </w:r>
          </w:p>
          <w:p w14:paraId="27CA2B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eastAsia"/>
                <w:b/>
                <w:bCs/>
                <w:sz w:val="21"/>
                <w:szCs w:val="21"/>
                <w:highlight w:val="none"/>
              </w:rPr>
            </w:pPr>
            <w:r>
              <w:rPr>
                <w:rFonts w:hint="eastAsia"/>
                <w:b/>
                <w:bCs/>
                <w:sz w:val="21"/>
                <w:szCs w:val="21"/>
                <w:highlight w:val="none"/>
              </w:rPr>
              <w:t>表2-</w:t>
            </w:r>
            <w:r>
              <w:rPr>
                <w:rFonts w:hint="eastAsia"/>
                <w:b/>
                <w:bCs/>
                <w:sz w:val="21"/>
                <w:szCs w:val="21"/>
                <w:highlight w:val="none"/>
                <w:lang w:val="en-US" w:eastAsia="zh-CN"/>
              </w:rPr>
              <w:t>7</w:t>
            </w:r>
            <w:r>
              <w:rPr>
                <w:rFonts w:hint="eastAsia"/>
                <w:b/>
                <w:bCs/>
                <w:sz w:val="21"/>
                <w:szCs w:val="21"/>
                <w:highlight w:val="none"/>
              </w:rPr>
              <w:t xml:space="preserve">    </w:t>
            </w:r>
            <w:r>
              <w:rPr>
                <w:rFonts w:hint="eastAsia"/>
                <w:b/>
                <w:bCs/>
                <w:sz w:val="21"/>
                <w:szCs w:val="21"/>
                <w:highlight w:val="none"/>
                <w:lang w:val="en-US" w:eastAsia="zh-CN"/>
              </w:rPr>
              <w:t xml:space="preserve">               </w:t>
            </w:r>
            <w:r>
              <w:rPr>
                <w:rFonts w:hint="eastAsia"/>
                <w:b/>
                <w:bCs/>
                <w:sz w:val="21"/>
                <w:szCs w:val="21"/>
                <w:highlight w:val="none"/>
              </w:rPr>
              <w:t>主要污染</w:t>
            </w:r>
            <w:r>
              <w:rPr>
                <w:rFonts w:hint="eastAsia"/>
                <w:b/>
                <w:bCs/>
                <w:sz w:val="21"/>
                <w:szCs w:val="21"/>
                <w:highlight w:val="none"/>
                <w:lang w:val="en-US" w:eastAsia="zh-CN"/>
              </w:rPr>
              <w:t>及治理措施</w:t>
            </w:r>
            <w:r>
              <w:rPr>
                <w:rFonts w:hint="eastAsia"/>
                <w:b/>
                <w:bCs/>
                <w:sz w:val="21"/>
                <w:szCs w:val="21"/>
                <w:highlight w:val="none"/>
              </w:rPr>
              <w:t>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98"/>
              <w:gridCol w:w="800"/>
              <w:gridCol w:w="873"/>
              <w:gridCol w:w="1325"/>
              <w:gridCol w:w="838"/>
              <w:gridCol w:w="625"/>
              <w:gridCol w:w="2268"/>
            </w:tblGrid>
            <w:tr w14:paraId="3F9CF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noWrap w:val="0"/>
                  <w:vAlign w:val="center"/>
                </w:tcPr>
                <w:p w14:paraId="55A63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污染类别</w:t>
                  </w:r>
                </w:p>
              </w:tc>
              <w:tc>
                <w:tcPr>
                  <w:tcW w:w="698" w:type="dxa"/>
                  <w:noWrap w:val="0"/>
                  <w:vAlign w:val="center"/>
                </w:tcPr>
                <w:p w14:paraId="5E9B05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800" w:type="dxa"/>
                  <w:noWrap w:val="0"/>
                  <w:vAlign w:val="center"/>
                </w:tcPr>
                <w:p w14:paraId="01BFA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工艺</w:t>
                  </w:r>
                </w:p>
              </w:tc>
              <w:tc>
                <w:tcPr>
                  <w:tcW w:w="873" w:type="dxa"/>
                  <w:noWrap w:val="0"/>
                  <w:vAlign w:val="center"/>
                </w:tcPr>
                <w:p w14:paraId="02AA4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污染物种类</w:t>
                  </w:r>
                </w:p>
              </w:tc>
              <w:tc>
                <w:tcPr>
                  <w:tcW w:w="1325" w:type="dxa"/>
                  <w:noWrap w:val="0"/>
                  <w:vAlign w:val="center"/>
                </w:tcPr>
                <w:p w14:paraId="3DBAE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治理设置</w:t>
                  </w:r>
                </w:p>
              </w:tc>
              <w:tc>
                <w:tcPr>
                  <w:tcW w:w="838" w:type="dxa"/>
                  <w:noWrap w:val="0"/>
                  <w:vAlign w:val="center"/>
                </w:tcPr>
                <w:p w14:paraId="671EF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排放口编号</w:t>
                  </w:r>
                </w:p>
              </w:tc>
              <w:tc>
                <w:tcPr>
                  <w:tcW w:w="625" w:type="dxa"/>
                  <w:noWrap w:val="0"/>
                  <w:vAlign w:val="center"/>
                </w:tcPr>
                <w:p w14:paraId="55903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排放方式</w:t>
                  </w:r>
                </w:p>
              </w:tc>
              <w:tc>
                <w:tcPr>
                  <w:tcW w:w="2268" w:type="dxa"/>
                  <w:noWrap w:val="0"/>
                  <w:vAlign w:val="center"/>
                </w:tcPr>
                <w:p w14:paraId="328FE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执行标准</w:t>
                  </w:r>
                </w:p>
              </w:tc>
            </w:tr>
            <w:tr w14:paraId="3897C3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vMerge w:val="restart"/>
                  <w:shd w:val="clear" w:color="auto" w:fill="auto"/>
                  <w:noWrap w:val="0"/>
                  <w:vAlign w:val="center"/>
                </w:tcPr>
                <w:p w14:paraId="2A47E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废气</w:t>
                  </w:r>
                </w:p>
              </w:tc>
              <w:tc>
                <w:tcPr>
                  <w:tcW w:w="698" w:type="dxa"/>
                  <w:shd w:val="clear" w:color="auto" w:fill="auto"/>
                  <w:noWrap w:val="0"/>
                  <w:vAlign w:val="center"/>
                </w:tcPr>
                <w:p w14:paraId="42C5C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800" w:type="dxa"/>
                  <w:vMerge w:val="restart"/>
                  <w:noWrap w:val="0"/>
                  <w:vAlign w:val="center"/>
                </w:tcPr>
                <w:p w14:paraId="07BFB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棉种生产</w:t>
                  </w:r>
                </w:p>
              </w:tc>
              <w:tc>
                <w:tcPr>
                  <w:tcW w:w="873" w:type="dxa"/>
                  <w:noWrap w:val="0"/>
                  <w:vAlign w:val="center"/>
                </w:tcPr>
                <w:p w14:paraId="6C9D2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硫酸雾</w:t>
                  </w:r>
                </w:p>
              </w:tc>
              <w:tc>
                <w:tcPr>
                  <w:tcW w:w="1325" w:type="dxa"/>
                  <w:vMerge w:val="restart"/>
                  <w:noWrap w:val="0"/>
                  <w:vAlign w:val="center"/>
                </w:tcPr>
                <w:p w14:paraId="2CA6A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旋风除尘器+沉降室+碱洗喷淋塔</w:t>
                  </w:r>
                </w:p>
              </w:tc>
              <w:tc>
                <w:tcPr>
                  <w:tcW w:w="838" w:type="dxa"/>
                  <w:vMerge w:val="restart"/>
                  <w:noWrap w:val="0"/>
                  <w:vAlign w:val="center"/>
                </w:tcPr>
                <w:p w14:paraId="612FA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w:t>
                  </w:r>
                  <w:r>
                    <w:rPr>
                      <w:rFonts w:hint="eastAsia" w:cs="Times New Roman"/>
                      <w:sz w:val="21"/>
                      <w:szCs w:val="21"/>
                      <w:lang w:val="en-US" w:eastAsia="zh-CN"/>
                    </w:rPr>
                    <w:t>001</w:t>
                  </w:r>
                </w:p>
              </w:tc>
              <w:tc>
                <w:tcPr>
                  <w:tcW w:w="625" w:type="dxa"/>
                  <w:noWrap w:val="0"/>
                  <w:vAlign w:val="center"/>
                </w:tcPr>
                <w:p w14:paraId="5D90D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有</w:t>
                  </w:r>
                  <w:r>
                    <w:rPr>
                      <w:rFonts w:hint="default" w:ascii="Times New Roman" w:hAnsi="Times New Roman" w:eastAsia="宋体" w:cs="Times New Roman"/>
                      <w:sz w:val="21"/>
                      <w:szCs w:val="21"/>
                    </w:rPr>
                    <w:t>组织</w:t>
                  </w:r>
                </w:p>
              </w:tc>
              <w:tc>
                <w:tcPr>
                  <w:tcW w:w="2268" w:type="dxa"/>
                  <w:noWrap w:val="0"/>
                  <w:vAlign w:val="center"/>
                </w:tcPr>
                <w:p w14:paraId="62DDD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shd w:val="clear" w:color="auto" w:fill="auto"/>
                    </w:rPr>
                    <w:t>《大气污染物综合排放标准》（GB16297-1996）表2</w:t>
                  </w:r>
                </w:p>
              </w:tc>
            </w:tr>
            <w:tr w14:paraId="02CA3A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425" w:type="dxa"/>
                  <w:vMerge w:val="continue"/>
                  <w:shd w:val="clear" w:color="auto" w:fill="auto"/>
                  <w:noWrap w:val="0"/>
                  <w:vAlign w:val="center"/>
                </w:tcPr>
                <w:p w14:paraId="7DEE0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698" w:type="dxa"/>
                  <w:shd w:val="clear" w:color="auto" w:fill="auto"/>
                  <w:noWrap w:val="0"/>
                  <w:vAlign w:val="center"/>
                </w:tcPr>
                <w:p w14:paraId="65209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2</w:t>
                  </w:r>
                </w:p>
              </w:tc>
              <w:tc>
                <w:tcPr>
                  <w:tcW w:w="800" w:type="dxa"/>
                  <w:vMerge w:val="continue"/>
                  <w:noWrap w:val="0"/>
                  <w:vAlign w:val="center"/>
                </w:tcPr>
                <w:p w14:paraId="23919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p>
              </w:tc>
              <w:tc>
                <w:tcPr>
                  <w:tcW w:w="873" w:type="dxa"/>
                  <w:noWrap w:val="0"/>
                  <w:vAlign w:val="center"/>
                </w:tcPr>
                <w:p w14:paraId="507A3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颗粒物、</w:t>
                  </w:r>
                  <w:r>
                    <w:rPr>
                      <w:rFonts w:hint="default" w:ascii="Times New Roman" w:hAnsi="Times New Roman" w:eastAsia="宋体" w:cs="Times New Roman"/>
                      <w:sz w:val="21"/>
                      <w:szCs w:val="21"/>
                      <w:lang w:val="en-US" w:eastAsia="zh-CN"/>
                    </w:rPr>
                    <w:t>SO</w:t>
                  </w:r>
                  <w:r>
                    <w:rPr>
                      <w:rFonts w:hint="default" w:ascii="Times New Roman" w:hAnsi="Times New Roman" w:eastAsia="宋体" w:cs="Times New Roman"/>
                      <w:sz w:val="21"/>
                      <w:szCs w:val="21"/>
                      <w:vertAlign w:val="subscript"/>
                      <w:lang w:val="en-US" w:eastAsia="zh-CN"/>
                    </w:rPr>
                    <w:t>2</w:t>
                  </w:r>
                </w:p>
              </w:tc>
              <w:tc>
                <w:tcPr>
                  <w:tcW w:w="1325" w:type="dxa"/>
                  <w:vMerge w:val="continue"/>
                  <w:noWrap w:val="0"/>
                  <w:vAlign w:val="center"/>
                </w:tcPr>
                <w:p w14:paraId="4FC6F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p>
              </w:tc>
              <w:tc>
                <w:tcPr>
                  <w:tcW w:w="838" w:type="dxa"/>
                  <w:vMerge w:val="continue"/>
                  <w:noWrap w:val="0"/>
                  <w:vAlign w:val="center"/>
                </w:tcPr>
                <w:p w14:paraId="4150D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p>
              </w:tc>
              <w:tc>
                <w:tcPr>
                  <w:tcW w:w="625" w:type="dxa"/>
                  <w:vMerge w:val="restart"/>
                  <w:noWrap w:val="0"/>
                  <w:vAlign w:val="center"/>
                </w:tcPr>
                <w:p w14:paraId="248EF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w:t>
                  </w:r>
                  <w:r>
                    <w:rPr>
                      <w:rFonts w:hint="default" w:ascii="Times New Roman" w:hAnsi="Times New Roman" w:eastAsia="宋体" w:cs="Times New Roman"/>
                      <w:sz w:val="21"/>
                      <w:szCs w:val="21"/>
                    </w:rPr>
                    <w:t>组织</w:t>
                  </w:r>
                </w:p>
              </w:tc>
              <w:tc>
                <w:tcPr>
                  <w:tcW w:w="2268" w:type="dxa"/>
                  <w:vMerge w:val="restart"/>
                  <w:noWrap w:val="0"/>
                  <w:vAlign w:val="center"/>
                </w:tcPr>
                <w:p w14:paraId="3A504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《关于印发自治州工业窑炉大气污染综合治理实施方案的通知》中重点区域工业窑炉大气污染物排放特别限值参照</w:t>
                  </w:r>
                </w:p>
              </w:tc>
            </w:tr>
            <w:tr w14:paraId="1886F5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vMerge w:val="continue"/>
                  <w:shd w:val="clear" w:color="auto" w:fill="auto"/>
                  <w:noWrap w:val="0"/>
                  <w:vAlign w:val="center"/>
                </w:tcPr>
                <w:p w14:paraId="4CDBA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698" w:type="dxa"/>
                  <w:shd w:val="clear" w:color="auto" w:fill="auto"/>
                  <w:noWrap w:val="0"/>
                  <w:vAlign w:val="center"/>
                </w:tcPr>
                <w:p w14:paraId="4367B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sz w:val="21"/>
                      <w:szCs w:val="21"/>
                      <w:lang w:val="en-US" w:eastAsia="zh-CN"/>
                    </w:rPr>
                  </w:pPr>
                  <w:r>
                    <w:rPr>
                      <w:rFonts w:hint="eastAsia" w:cs="Times New Roman"/>
                      <w:sz w:val="21"/>
                      <w:szCs w:val="21"/>
                      <w:lang w:val="en-US" w:eastAsia="zh-CN"/>
                    </w:rPr>
                    <w:t>3</w:t>
                  </w:r>
                </w:p>
              </w:tc>
              <w:tc>
                <w:tcPr>
                  <w:tcW w:w="800" w:type="dxa"/>
                  <w:vMerge w:val="continue"/>
                  <w:noWrap w:val="0"/>
                  <w:vAlign w:val="center"/>
                </w:tcPr>
                <w:p w14:paraId="49085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sz w:val="21"/>
                      <w:szCs w:val="21"/>
                      <w:lang w:val="en-US" w:eastAsia="zh-CN"/>
                    </w:rPr>
                  </w:pPr>
                </w:p>
              </w:tc>
              <w:tc>
                <w:tcPr>
                  <w:tcW w:w="873" w:type="dxa"/>
                  <w:noWrap w:val="0"/>
                  <w:vAlign w:val="center"/>
                </w:tcPr>
                <w:p w14:paraId="0E499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NOx</w:t>
                  </w:r>
                </w:p>
              </w:tc>
              <w:tc>
                <w:tcPr>
                  <w:tcW w:w="1325" w:type="dxa"/>
                  <w:noWrap w:val="0"/>
                  <w:vAlign w:val="center"/>
                </w:tcPr>
                <w:p w14:paraId="27353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低氮燃烧器</w:t>
                  </w:r>
                </w:p>
              </w:tc>
              <w:tc>
                <w:tcPr>
                  <w:tcW w:w="838" w:type="dxa"/>
                  <w:vMerge w:val="continue"/>
                  <w:noWrap w:val="0"/>
                  <w:vAlign w:val="center"/>
                </w:tcPr>
                <w:p w14:paraId="5C0E9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625" w:type="dxa"/>
                  <w:vMerge w:val="continue"/>
                  <w:noWrap w:val="0"/>
                  <w:vAlign w:val="center"/>
                </w:tcPr>
                <w:p w14:paraId="12C33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268" w:type="dxa"/>
                  <w:vMerge w:val="continue"/>
                  <w:noWrap w:val="0"/>
                  <w:vAlign w:val="center"/>
                </w:tcPr>
                <w:p w14:paraId="75F1C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p>
              </w:tc>
            </w:tr>
            <w:tr w14:paraId="008FB7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noWrap w:val="0"/>
                  <w:vAlign w:val="center"/>
                </w:tcPr>
                <w:p w14:paraId="44209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498" w:type="dxa"/>
                  <w:gridSpan w:val="2"/>
                  <w:noWrap w:val="0"/>
                  <w:vAlign w:val="center"/>
                </w:tcPr>
                <w:p w14:paraId="5029B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w:t>
                  </w:r>
                </w:p>
              </w:tc>
              <w:tc>
                <w:tcPr>
                  <w:tcW w:w="3036" w:type="dxa"/>
                  <w:gridSpan w:val="3"/>
                  <w:noWrap w:val="0"/>
                  <w:vAlign w:val="center"/>
                </w:tcPr>
                <w:p w14:paraId="4AFF7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Leq</w:t>
                  </w:r>
                  <w:r>
                    <w:rPr>
                      <w:rFonts w:hint="eastAsia" w:cs="Times New Roman"/>
                      <w:sz w:val="21"/>
                      <w:szCs w:val="21"/>
                      <w:lang w:eastAsia="zh-CN"/>
                    </w:rPr>
                    <w:t>(</w:t>
                  </w:r>
                  <w:r>
                    <w:rPr>
                      <w:rFonts w:hint="default" w:ascii="Times New Roman" w:hAnsi="Times New Roman" w:eastAsia="宋体" w:cs="Times New Roman"/>
                      <w:sz w:val="21"/>
                      <w:szCs w:val="21"/>
                    </w:rPr>
                    <w:t>A</w:t>
                  </w:r>
                  <w:r>
                    <w:rPr>
                      <w:rFonts w:hint="eastAsia" w:cs="Times New Roman"/>
                      <w:sz w:val="21"/>
                      <w:szCs w:val="21"/>
                      <w:lang w:eastAsia="zh-CN"/>
                    </w:rPr>
                    <w:t>)</w:t>
                  </w:r>
                </w:p>
              </w:tc>
              <w:tc>
                <w:tcPr>
                  <w:tcW w:w="625" w:type="dxa"/>
                  <w:noWrap w:val="0"/>
                  <w:vAlign w:val="center"/>
                </w:tcPr>
                <w:p w14:paraId="78AB3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2268" w:type="dxa"/>
                  <w:noWrap w:val="0"/>
                  <w:vAlign w:val="center"/>
                </w:tcPr>
                <w:p w14:paraId="23DB3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工业企业厂界环境噪声排放标准》（GB 12348-2008）3类标准</w:t>
                  </w:r>
                </w:p>
              </w:tc>
            </w:tr>
            <w:tr w14:paraId="36227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vMerge w:val="restart"/>
                  <w:noWrap w:val="0"/>
                  <w:vAlign w:val="center"/>
                </w:tcPr>
                <w:p w14:paraId="5894B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1498" w:type="dxa"/>
                  <w:gridSpan w:val="2"/>
                  <w:vMerge w:val="restart"/>
                  <w:noWrap w:val="0"/>
                  <w:vAlign w:val="center"/>
                </w:tcPr>
                <w:p w14:paraId="65AC3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生产加工</w:t>
                  </w:r>
                </w:p>
              </w:tc>
              <w:tc>
                <w:tcPr>
                  <w:tcW w:w="3036" w:type="dxa"/>
                  <w:gridSpan w:val="3"/>
                  <w:noWrap w:val="0"/>
                  <w:vAlign w:val="center"/>
                </w:tcPr>
                <w:p w14:paraId="72C3E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sz w:val="21"/>
                      <w:szCs w:val="21"/>
                      <w:highlight w:val="none"/>
                      <w:lang w:val="en-US" w:eastAsia="zh-CN"/>
                    </w:rPr>
                    <w:t>废棉尘、铁磁性杂质、异常籽、瘪籽及轻杂物</w:t>
                  </w:r>
                </w:p>
              </w:tc>
              <w:tc>
                <w:tcPr>
                  <w:tcW w:w="625" w:type="dxa"/>
                  <w:noWrap w:val="0"/>
                  <w:vAlign w:val="center"/>
                </w:tcPr>
                <w:p w14:paraId="3219A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2268" w:type="dxa"/>
                  <w:noWrap w:val="0"/>
                  <w:vAlign w:val="center"/>
                </w:tcPr>
                <w:p w14:paraId="6DB62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rPr>
                    <w:t>《</w:t>
                  </w:r>
                  <w:r>
                    <w:rPr>
                      <w:rFonts w:hint="default"/>
                      <w:sz w:val="21"/>
                      <w:szCs w:val="21"/>
                      <w:lang w:val="en-US" w:eastAsia="zh-CN"/>
                    </w:rPr>
                    <w:t>中华人民共和国固体废物污染环境防治法</w:t>
                  </w:r>
                  <w:r>
                    <w:rPr>
                      <w:rFonts w:hint="default"/>
                      <w:sz w:val="21"/>
                      <w:szCs w:val="21"/>
                    </w:rPr>
                    <w:t>》</w:t>
                  </w:r>
                </w:p>
              </w:tc>
            </w:tr>
            <w:tr w14:paraId="5FDE7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5" w:type="dxa"/>
                  <w:vMerge w:val="continue"/>
                  <w:noWrap w:val="0"/>
                  <w:vAlign w:val="center"/>
                </w:tcPr>
                <w:p w14:paraId="4DDC8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498" w:type="dxa"/>
                  <w:gridSpan w:val="2"/>
                  <w:vMerge w:val="continue"/>
                  <w:noWrap w:val="0"/>
                  <w:vAlign w:val="center"/>
                </w:tcPr>
                <w:p w14:paraId="3FEB9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3036" w:type="dxa"/>
                  <w:gridSpan w:val="3"/>
                  <w:noWrap w:val="0"/>
                  <w:vAlign w:val="center"/>
                </w:tcPr>
                <w:p w14:paraId="361A6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氢氧化钠包装袋、</w:t>
                  </w:r>
                  <w:r>
                    <w:rPr>
                      <w:rFonts w:hint="default" w:ascii="Times New Roman" w:hAnsi="Times New Roman" w:eastAsia="宋体" w:cs="Times New Roman"/>
                      <w:sz w:val="21"/>
                      <w:szCs w:val="21"/>
                      <w:highlight w:val="none"/>
                      <w:lang w:eastAsia="zh-CN"/>
                    </w:rPr>
                    <w:t>废润滑油</w:t>
                  </w:r>
                  <w:r>
                    <w:rPr>
                      <w:rFonts w:hint="eastAsia"/>
                      <w:sz w:val="21"/>
                      <w:szCs w:val="21"/>
                      <w:highlight w:val="none"/>
                      <w:lang w:eastAsia="zh-CN"/>
                    </w:rPr>
                    <w:t>、</w:t>
                  </w:r>
                  <w:r>
                    <w:rPr>
                      <w:rFonts w:hint="eastAsia"/>
                      <w:sz w:val="21"/>
                      <w:szCs w:val="21"/>
                      <w:highlight w:val="none"/>
                      <w:lang w:val="en-US" w:eastAsia="zh-CN"/>
                    </w:rPr>
                    <w:t>废油桶、含油抹布、手套</w:t>
                  </w:r>
                </w:p>
              </w:tc>
              <w:tc>
                <w:tcPr>
                  <w:tcW w:w="625" w:type="dxa"/>
                  <w:noWrap w:val="0"/>
                  <w:vAlign w:val="center"/>
                </w:tcPr>
                <w:p w14:paraId="768BA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间歇</w:t>
                  </w:r>
                </w:p>
              </w:tc>
              <w:tc>
                <w:tcPr>
                  <w:tcW w:w="2268" w:type="dxa"/>
                  <w:noWrap w:val="0"/>
                  <w:vAlign w:val="center"/>
                </w:tcPr>
                <w:p w14:paraId="29926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《危险废物贮存污染控制标准》（GB18597-2023）</w:t>
                  </w:r>
                </w:p>
              </w:tc>
            </w:tr>
          </w:tbl>
          <w:p w14:paraId="53D5CD0B">
            <w:pPr>
              <w:keepNext w:val="0"/>
              <w:keepLines w:val="0"/>
              <w:widowControl/>
              <w:suppressLineNumbers w:val="0"/>
              <w:adjustRightInd w:val="0"/>
              <w:snapToGrid w:val="0"/>
              <w:spacing w:before="157" w:beforeLines="50" w:beforeAutospacing="0" w:after="0" w:afterAutospacing="0" w:line="240" w:lineRule="auto"/>
              <w:ind w:left="0" w:right="0" w:firstLine="422" w:firstLineChars="200"/>
              <w:rPr>
                <w:rFonts w:hint="eastAsia"/>
                <w:lang w:val="en-US" w:eastAsia="zh-CN"/>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eastAsia" w:cs="Times New Roman"/>
                <w:b/>
                <w:bCs/>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生产</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物料平衡一览表</w:t>
            </w:r>
          </w:p>
          <w:tbl>
            <w:tblPr>
              <w:tblStyle w:val="35"/>
              <w:tblW w:w="494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48"/>
              <w:gridCol w:w="2318"/>
              <w:gridCol w:w="1268"/>
              <w:gridCol w:w="1739"/>
              <w:gridCol w:w="1229"/>
            </w:tblGrid>
            <w:tr w14:paraId="538E41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363" w:type="pct"/>
                  <w:vMerge w:val="restart"/>
                  <w:noWrap w:val="0"/>
                  <w:vAlign w:val="center"/>
                </w:tcPr>
                <w:p w14:paraId="7758C75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417" w:type="pct"/>
                  <w:vMerge w:val="restart"/>
                  <w:noWrap w:val="0"/>
                  <w:vAlign w:val="center"/>
                </w:tcPr>
                <w:p w14:paraId="247E813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生产设施</w:t>
                  </w:r>
                </w:p>
              </w:tc>
              <w:tc>
                <w:tcPr>
                  <w:tcW w:w="2308" w:type="pct"/>
                  <w:gridSpan w:val="2"/>
                  <w:noWrap w:val="0"/>
                  <w:vAlign w:val="center"/>
                </w:tcPr>
                <w:p w14:paraId="7A6BE14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投入</w:t>
                  </w:r>
                </w:p>
              </w:tc>
              <w:tc>
                <w:tcPr>
                  <w:tcW w:w="1910" w:type="pct"/>
                  <w:gridSpan w:val="2"/>
                  <w:noWrap w:val="0"/>
                  <w:vAlign w:val="center"/>
                </w:tcPr>
                <w:p w14:paraId="7B36E059">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产出</w:t>
                  </w:r>
                </w:p>
              </w:tc>
            </w:tr>
            <w:tr w14:paraId="5BD7B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noWrap w:val="0"/>
                  <w:vAlign w:val="center"/>
                </w:tcPr>
                <w:p w14:paraId="7688B882">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17" w:type="pct"/>
                  <w:vMerge w:val="continue"/>
                  <w:noWrap w:val="0"/>
                  <w:vAlign w:val="center"/>
                </w:tcPr>
                <w:p w14:paraId="4086FE5A">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492" w:type="pct"/>
                  <w:noWrap w:val="0"/>
                  <w:vAlign w:val="center"/>
                </w:tcPr>
                <w:p w14:paraId="642DE36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816" w:type="pct"/>
                  <w:noWrap w:val="0"/>
                  <w:vAlign w:val="center"/>
                </w:tcPr>
                <w:p w14:paraId="56DB030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c>
                <w:tcPr>
                  <w:tcW w:w="1119" w:type="pct"/>
                  <w:noWrap w:val="0"/>
                  <w:vAlign w:val="center"/>
                </w:tcPr>
                <w:p w14:paraId="72AE480C">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791" w:type="pct"/>
                  <w:noWrap w:val="0"/>
                  <w:vAlign w:val="center"/>
                </w:tcPr>
                <w:p w14:paraId="62D1D5A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r>
            <w:tr w14:paraId="68F9EB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0B07056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一期粉剂水溶肥</w:t>
                  </w:r>
                </w:p>
              </w:tc>
            </w:tr>
            <w:tr w14:paraId="6FA7F5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0BCCE89A">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417" w:type="pct"/>
                  <w:vMerge w:val="restart"/>
                  <w:shd w:val="clear" w:color="auto" w:fill="auto"/>
                  <w:noWrap w:val="0"/>
                  <w:vAlign w:val="center"/>
                </w:tcPr>
                <w:p w14:paraId="17C2744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1#厂房</w:t>
                  </w:r>
                </w:p>
              </w:tc>
              <w:tc>
                <w:tcPr>
                  <w:tcW w:w="1492" w:type="pct"/>
                  <w:shd w:val="clear" w:color="auto" w:fill="auto"/>
                  <w:noWrap w:val="0"/>
                  <w:vAlign w:val="center"/>
                </w:tcPr>
                <w:p w14:paraId="498E5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kern w:val="0"/>
                      <w:sz w:val="21"/>
                      <w:szCs w:val="21"/>
                      <w:shd w:val="clear" w:color="auto" w:fill="auto"/>
                    </w:rPr>
                    <w:t>毛籽</w:t>
                  </w:r>
                </w:p>
              </w:tc>
              <w:tc>
                <w:tcPr>
                  <w:tcW w:w="816" w:type="pct"/>
                  <w:shd w:val="clear" w:color="auto" w:fill="auto"/>
                  <w:noWrap w:val="0"/>
                  <w:vAlign w:val="center"/>
                </w:tcPr>
                <w:p w14:paraId="692FBB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8000</w:t>
                  </w:r>
                </w:p>
              </w:tc>
              <w:tc>
                <w:tcPr>
                  <w:tcW w:w="1119" w:type="pct"/>
                  <w:noWrap w:val="0"/>
                  <w:vAlign w:val="center"/>
                </w:tcPr>
                <w:p w14:paraId="45A145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棉种</w:t>
                  </w:r>
                </w:p>
              </w:tc>
              <w:tc>
                <w:tcPr>
                  <w:tcW w:w="791" w:type="pct"/>
                  <w:noWrap w:val="0"/>
                  <w:vAlign w:val="center"/>
                </w:tcPr>
                <w:p w14:paraId="68AAF1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6422.317</w:t>
                  </w:r>
                </w:p>
              </w:tc>
            </w:tr>
            <w:tr w14:paraId="45B2C8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14:paraId="5128DB4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417" w:type="pct"/>
                  <w:vMerge w:val="continue"/>
                  <w:shd w:val="clear" w:color="auto" w:fill="auto"/>
                  <w:noWrap w:val="0"/>
                  <w:vAlign w:val="center"/>
                </w:tcPr>
                <w:p w14:paraId="21D8C96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7B159F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kern w:val="0"/>
                      <w:sz w:val="21"/>
                      <w:szCs w:val="21"/>
                      <w:shd w:val="clear" w:color="auto" w:fill="auto"/>
                    </w:rPr>
                    <w:t>包衣剂</w:t>
                  </w:r>
                </w:p>
              </w:tc>
              <w:tc>
                <w:tcPr>
                  <w:tcW w:w="816" w:type="pct"/>
                  <w:shd w:val="clear" w:color="auto" w:fill="auto"/>
                  <w:noWrap w:val="0"/>
                  <w:vAlign w:val="center"/>
                </w:tcPr>
                <w:p w14:paraId="7C7368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200</w:t>
                  </w:r>
                </w:p>
              </w:tc>
              <w:tc>
                <w:tcPr>
                  <w:tcW w:w="1119" w:type="pct"/>
                  <w:noWrap w:val="0"/>
                  <w:vAlign w:val="center"/>
                </w:tcPr>
                <w:p w14:paraId="6DA654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有组织粉尘排放</w:t>
                  </w:r>
                </w:p>
              </w:tc>
              <w:tc>
                <w:tcPr>
                  <w:tcW w:w="791" w:type="pct"/>
                  <w:noWrap w:val="0"/>
                  <w:vAlign w:val="center"/>
                </w:tcPr>
                <w:p w14:paraId="690E5F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0.223</w:t>
                  </w:r>
                </w:p>
              </w:tc>
            </w:tr>
            <w:tr w14:paraId="46DE65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1F38C78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417" w:type="pct"/>
                  <w:vMerge w:val="continue"/>
                  <w:shd w:val="clear" w:color="auto" w:fill="auto"/>
                  <w:noWrap w:val="0"/>
                  <w:vAlign w:val="center"/>
                </w:tcPr>
                <w:p w14:paraId="0A30A339">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162A5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default" w:ascii="Times New Roman" w:hAnsi="Times New Roman" w:eastAsia="宋体" w:cs="Times New Roman"/>
                      <w:color w:val="000000"/>
                      <w:kern w:val="0"/>
                      <w:sz w:val="21"/>
                      <w:szCs w:val="21"/>
                      <w:shd w:val="clear" w:color="auto" w:fill="auto"/>
                      <w:lang w:val="en-US" w:eastAsia="zh-CN" w:bidi="ar"/>
                    </w:rPr>
                  </w:pPr>
                  <w:r>
                    <w:rPr>
                      <w:rFonts w:hint="default" w:ascii="Times New Roman" w:hAnsi="Times New Roman" w:eastAsia="宋体" w:cs="Times New Roman"/>
                      <w:color w:val="000000"/>
                      <w:kern w:val="0"/>
                      <w:sz w:val="21"/>
                      <w:szCs w:val="21"/>
                      <w:shd w:val="clear" w:color="auto" w:fill="auto"/>
                      <w:lang w:bidi="ar"/>
                    </w:rPr>
                    <w:t>硫酸</w:t>
                  </w:r>
                </w:p>
              </w:tc>
              <w:tc>
                <w:tcPr>
                  <w:tcW w:w="816" w:type="pct"/>
                  <w:shd w:val="clear" w:color="auto" w:fill="auto"/>
                  <w:noWrap w:val="0"/>
                  <w:vAlign w:val="center"/>
                </w:tcPr>
                <w:p w14:paraId="7DBD6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default" w:ascii="Times New Roman" w:hAnsi="Times New Roman" w:eastAsia="宋体" w:cs="Times New Roman"/>
                      <w:color w:val="000000"/>
                      <w:kern w:val="0"/>
                      <w:sz w:val="21"/>
                      <w:szCs w:val="21"/>
                      <w:shd w:val="clear" w:color="auto" w:fill="auto"/>
                      <w:lang w:val="en-US" w:eastAsia="zh-CN" w:bidi="ar"/>
                    </w:rPr>
                  </w:pPr>
                  <w:r>
                    <w:rPr>
                      <w:rFonts w:hint="eastAsia" w:cs="Times New Roman"/>
                      <w:color w:val="000000"/>
                      <w:kern w:val="0"/>
                      <w:sz w:val="21"/>
                      <w:szCs w:val="21"/>
                      <w:shd w:val="clear" w:color="auto" w:fill="auto"/>
                      <w:lang w:val="en-US" w:eastAsia="zh-CN" w:bidi="ar"/>
                    </w:rPr>
                    <w:t>150</w:t>
                  </w:r>
                </w:p>
              </w:tc>
              <w:tc>
                <w:tcPr>
                  <w:tcW w:w="1119" w:type="pct"/>
                  <w:noWrap w:val="0"/>
                  <w:vAlign w:val="center"/>
                </w:tcPr>
                <w:p w14:paraId="082EF7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sz w:val="21"/>
                      <w:szCs w:val="21"/>
                      <w:highlight w:val="none"/>
                      <w:lang w:val="en-US" w:eastAsia="zh-CN"/>
                    </w:rPr>
                    <w:t>废棉尘</w:t>
                  </w:r>
                </w:p>
              </w:tc>
              <w:tc>
                <w:tcPr>
                  <w:tcW w:w="791" w:type="pct"/>
                  <w:noWrap w:val="0"/>
                  <w:vAlign w:val="center"/>
                </w:tcPr>
                <w:p w14:paraId="016688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7.96</w:t>
                  </w:r>
                </w:p>
              </w:tc>
            </w:tr>
            <w:tr w14:paraId="0FA428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1AC14737">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w:t>
                  </w:r>
                </w:p>
              </w:tc>
              <w:tc>
                <w:tcPr>
                  <w:tcW w:w="417" w:type="pct"/>
                  <w:vMerge w:val="continue"/>
                  <w:shd w:val="clear" w:color="auto" w:fill="auto"/>
                  <w:noWrap w:val="0"/>
                  <w:vAlign w:val="center"/>
                </w:tcPr>
                <w:p w14:paraId="3F13EC2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0A4DD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0"/>
                      <w:sz w:val="21"/>
                      <w:szCs w:val="21"/>
                      <w:shd w:val="clear" w:color="auto" w:fill="auto"/>
                      <w:lang w:val="en-US" w:eastAsia="zh-CN" w:bidi="ar-SA"/>
                    </w:rPr>
                  </w:pPr>
                  <w:r>
                    <w:rPr>
                      <w:rFonts w:hint="default" w:ascii="Times New Roman" w:hAnsi="Times New Roman" w:eastAsia="宋体" w:cs="Times New Roman"/>
                      <w:kern w:val="0"/>
                      <w:sz w:val="21"/>
                      <w:szCs w:val="21"/>
                      <w:shd w:val="clear" w:color="auto" w:fill="auto"/>
                    </w:rPr>
                    <w:t>渗透剂</w:t>
                  </w:r>
                </w:p>
              </w:tc>
              <w:tc>
                <w:tcPr>
                  <w:tcW w:w="816" w:type="pct"/>
                  <w:shd w:val="clear" w:color="auto" w:fill="auto"/>
                  <w:noWrap w:val="0"/>
                  <w:vAlign w:val="center"/>
                </w:tcPr>
                <w:p w14:paraId="7FF28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default" w:ascii="Times New Roman" w:hAnsi="Times New Roman" w:eastAsia="宋体" w:cs="Times New Roman"/>
                      <w:color w:val="000000"/>
                      <w:kern w:val="0"/>
                      <w:sz w:val="21"/>
                      <w:szCs w:val="21"/>
                      <w:shd w:val="clear" w:color="auto" w:fill="auto"/>
                      <w:lang w:val="en-US" w:eastAsia="zh-CN" w:bidi="ar-SA"/>
                    </w:rPr>
                  </w:pPr>
                  <w:r>
                    <w:rPr>
                      <w:rFonts w:hint="eastAsia" w:ascii="Times New Roman" w:hAnsi="Times New Roman" w:eastAsia="宋体" w:cs="Times New Roman"/>
                      <w:color w:val="000000"/>
                      <w:kern w:val="0"/>
                      <w:sz w:val="21"/>
                      <w:szCs w:val="21"/>
                      <w:shd w:val="clear" w:color="auto" w:fill="auto"/>
                      <w:lang w:val="en-US" w:eastAsia="zh-CN"/>
                    </w:rPr>
                    <w:t>8</w:t>
                  </w:r>
                </w:p>
              </w:tc>
              <w:tc>
                <w:tcPr>
                  <w:tcW w:w="1119" w:type="pct"/>
                  <w:noWrap w:val="0"/>
                  <w:vAlign w:val="center"/>
                </w:tcPr>
                <w:p w14:paraId="200643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sz w:val="21"/>
                      <w:szCs w:val="21"/>
                      <w:highlight w:val="none"/>
                      <w:lang w:val="en-US" w:eastAsia="zh-CN"/>
                    </w:rPr>
                    <w:t>铁磁性杂质</w:t>
                  </w:r>
                </w:p>
              </w:tc>
              <w:tc>
                <w:tcPr>
                  <w:tcW w:w="791" w:type="pct"/>
                  <w:noWrap w:val="0"/>
                  <w:vAlign w:val="center"/>
                </w:tcPr>
                <w:p w14:paraId="37EDB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80</w:t>
                  </w:r>
                </w:p>
              </w:tc>
            </w:tr>
            <w:tr w14:paraId="3F4EEA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68B82BA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w:t>
                  </w:r>
                </w:p>
              </w:tc>
              <w:tc>
                <w:tcPr>
                  <w:tcW w:w="417" w:type="pct"/>
                  <w:vMerge w:val="continue"/>
                  <w:shd w:val="clear" w:color="auto" w:fill="auto"/>
                  <w:noWrap w:val="0"/>
                  <w:vAlign w:val="center"/>
                </w:tcPr>
                <w:p w14:paraId="7713CEA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0AF345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spacing w:val="7"/>
                      <w:kern w:val="2"/>
                      <w:sz w:val="21"/>
                      <w:szCs w:val="21"/>
                      <w:lang w:val="en-US" w:eastAsia="zh-CN" w:bidi="ar-SA"/>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16" w:type="pct"/>
                  <w:shd w:val="clear" w:color="auto" w:fill="auto"/>
                  <w:noWrap w:val="0"/>
                  <w:vAlign w:val="center"/>
                </w:tcPr>
                <w:p w14:paraId="16F3FF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000000" w:themeColor="text1"/>
                      <w:spacing w:val="11"/>
                      <w:kern w:val="2"/>
                      <w:sz w:val="21"/>
                      <w:szCs w:val="21"/>
                      <w:lang w:val="en-US" w:eastAsia="zh-CN" w:bidi="ar-SA"/>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1119" w:type="pct"/>
                  <w:noWrap w:val="0"/>
                  <w:vAlign w:val="center"/>
                </w:tcPr>
                <w:p w14:paraId="1957B3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sz w:val="21"/>
                      <w:szCs w:val="21"/>
                      <w:highlight w:val="none"/>
                      <w:lang w:val="en-US" w:eastAsia="zh-CN"/>
                    </w:rPr>
                    <w:t>异常籽、瘪籽及轻杂物</w:t>
                  </w:r>
                </w:p>
              </w:tc>
              <w:tc>
                <w:tcPr>
                  <w:tcW w:w="791" w:type="pct"/>
                  <w:noWrap w:val="0"/>
                  <w:vAlign w:val="center"/>
                </w:tcPr>
                <w:p w14:paraId="517621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800</w:t>
                  </w:r>
                </w:p>
              </w:tc>
            </w:tr>
            <w:tr w14:paraId="4D7AF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07D2BAE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6</w:t>
                  </w:r>
                </w:p>
              </w:tc>
              <w:tc>
                <w:tcPr>
                  <w:tcW w:w="417" w:type="pct"/>
                  <w:vMerge w:val="continue"/>
                  <w:shd w:val="clear" w:color="auto" w:fill="auto"/>
                  <w:noWrap w:val="0"/>
                  <w:vAlign w:val="center"/>
                </w:tcPr>
                <w:p w14:paraId="13D0DFF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779D0B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pacing w:val="7"/>
                      <w:sz w:val="21"/>
                      <w:szCs w:val="21"/>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16" w:type="pct"/>
                  <w:shd w:val="clear" w:color="auto" w:fill="auto"/>
                  <w:noWrap w:val="0"/>
                  <w:vAlign w:val="center"/>
                </w:tcPr>
                <w:p w14:paraId="7F38C8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pacing w:val="11"/>
                      <w:sz w:val="21"/>
                      <w:szCs w:val="21"/>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1119" w:type="pct"/>
                  <w:shd w:val="clear" w:color="auto" w:fill="auto"/>
                  <w:noWrap w:val="0"/>
                  <w:vAlign w:val="center"/>
                </w:tcPr>
                <w:p w14:paraId="4661F7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蒸发水份</w:t>
                  </w:r>
                </w:p>
              </w:tc>
              <w:tc>
                <w:tcPr>
                  <w:tcW w:w="791" w:type="pct"/>
                  <w:shd w:val="clear" w:color="auto" w:fill="auto"/>
                  <w:noWrap w:val="0"/>
                  <w:vAlign w:val="center"/>
                </w:tcPr>
                <w:p w14:paraId="1CE348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1040</w:t>
                  </w:r>
                </w:p>
              </w:tc>
            </w:tr>
            <w:tr w14:paraId="741B1A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31DB360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7</w:t>
                  </w:r>
                </w:p>
              </w:tc>
              <w:tc>
                <w:tcPr>
                  <w:tcW w:w="417" w:type="pct"/>
                  <w:vMerge w:val="continue"/>
                  <w:shd w:val="clear" w:color="auto" w:fill="auto"/>
                  <w:noWrap w:val="0"/>
                  <w:vAlign w:val="center"/>
                </w:tcPr>
                <w:p w14:paraId="393EEEE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492" w:type="pct"/>
                  <w:shd w:val="clear" w:color="auto" w:fill="auto"/>
                  <w:noWrap w:val="0"/>
                  <w:vAlign w:val="center"/>
                </w:tcPr>
                <w:p w14:paraId="691FD6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16" w:type="pct"/>
                  <w:shd w:val="clear" w:color="auto" w:fill="auto"/>
                  <w:noWrap w:val="0"/>
                  <w:vAlign w:val="center"/>
                </w:tcPr>
                <w:p w14:paraId="3088B9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000000"/>
                      <w:kern w:val="0"/>
                      <w:sz w:val="21"/>
                      <w:szCs w:val="21"/>
                      <w:shd w:val="clear" w:color="auto" w:fill="auto"/>
                      <w:lang w:val="en-US" w:eastAsia="zh-CN" w:bidi="ar"/>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1119" w:type="pct"/>
                  <w:shd w:val="clear" w:color="auto" w:fill="auto"/>
                  <w:noWrap w:val="0"/>
                  <w:vAlign w:val="center"/>
                </w:tcPr>
                <w:p w14:paraId="7B05A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ottom"/>
                    <w:rPr>
                      <w:rFonts w:hint="default" w:ascii="Times New Roman" w:hAnsi="Times New Roman" w:eastAsia="宋体" w:cs="Times New Roman"/>
                      <w:color w:val="000000"/>
                      <w:kern w:val="0"/>
                      <w:sz w:val="21"/>
                      <w:szCs w:val="21"/>
                      <w:shd w:val="clear" w:color="auto" w:fill="auto"/>
                      <w:lang w:val="en-US" w:eastAsia="zh-CN" w:bidi="ar"/>
                    </w:rPr>
                  </w:pPr>
                  <w:r>
                    <w:rPr>
                      <w:rFonts w:hint="eastAsia" w:cs="Times New Roman"/>
                      <w:color w:val="000000"/>
                      <w:kern w:val="0"/>
                      <w:sz w:val="21"/>
                      <w:szCs w:val="21"/>
                      <w:shd w:val="clear" w:color="auto" w:fill="auto"/>
                      <w:lang w:val="en-US" w:eastAsia="zh-CN" w:bidi="ar"/>
                    </w:rPr>
                    <w:t>硫酸雾</w:t>
                  </w:r>
                </w:p>
              </w:tc>
              <w:tc>
                <w:tcPr>
                  <w:tcW w:w="791" w:type="pct"/>
                  <w:shd w:val="clear" w:color="auto" w:fill="auto"/>
                  <w:noWrap w:val="0"/>
                  <w:vAlign w:val="center"/>
                </w:tcPr>
                <w:p w14:paraId="18C0F3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7.5</w:t>
                  </w:r>
                </w:p>
              </w:tc>
            </w:tr>
            <w:tr w14:paraId="477C3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3AE96FC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eastAsia"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合计</w:t>
                  </w:r>
                </w:p>
              </w:tc>
              <w:tc>
                <w:tcPr>
                  <w:tcW w:w="417" w:type="pct"/>
                  <w:vMerge w:val="continue"/>
                  <w:shd w:val="clear" w:color="auto" w:fill="auto"/>
                  <w:noWrap w:val="0"/>
                  <w:vAlign w:val="center"/>
                </w:tcPr>
                <w:p w14:paraId="1BCFE52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492" w:type="pct"/>
                  <w:shd w:val="clear" w:color="auto" w:fill="auto"/>
                  <w:noWrap w:val="0"/>
                  <w:vAlign w:val="center"/>
                </w:tcPr>
                <w:p w14:paraId="361AB0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000000" w:themeColor="text1"/>
                      <w:spacing w:val="7"/>
                      <w:sz w:val="21"/>
                      <w:szCs w:val="21"/>
                      <w:lang w:val="en-US" w:eastAsia="zh-CN"/>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16" w:type="pct"/>
                  <w:shd w:val="clear" w:color="auto" w:fill="auto"/>
                  <w:noWrap w:val="0"/>
                  <w:vAlign w:val="center"/>
                </w:tcPr>
                <w:p w14:paraId="093DE7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pacing w:val="-2"/>
                      <w:position w:val="4"/>
                      <w:sz w:val="21"/>
                      <w:szCs w:val="21"/>
                      <w:lang w:val="en-US" w:eastAsia="zh-CN"/>
                      <w14:textFill>
                        <w14:solidFill>
                          <w14:schemeClr w14:val="tx1"/>
                        </w14:solidFill>
                      </w14:textFill>
                    </w:rPr>
                  </w:pPr>
                  <w:r>
                    <w:rPr>
                      <w:rFonts w:hint="eastAsia" w:cs="Times New Roman"/>
                      <w:b w:val="0"/>
                      <w:bCs w:val="0"/>
                      <w:color w:val="000000" w:themeColor="text1"/>
                      <w:spacing w:val="-2"/>
                      <w:position w:val="4"/>
                      <w:sz w:val="21"/>
                      <w:szCs w:val="21"/>
                      <w:lang w:val="en-US" w:eastAsia="zh-CN"/>
                      <w14:textFill>
                        <w14:solidFill>
                          <w14:schemeClr w14:val="tx1"/>
                        </w14:solidFill>
                      </w14:textFill>
                    </w:rPr>
                    <w:t>8358</w:t>
                  </w:r>
                </w:p>
              </w:tc>
              <w:tc>
                <w:tcPr>
                  <w:tcW w:w="1119" w:type="pct"/>
                  <w:noWrap w:val="0"/>
                  <w:vAlign w:val="center"/>
                </w:tcPr>
                <w:p w14:paraId="5F0854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791" w:type="pct"/>
                  <w:noWrap w:val="0"/>
                  <w:vAlign w:val="center"/>
                </w:tcPr>
                <w:p w14:paraId="0DA56B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pacing w:val="-2"/>
                      <w:position w:val="4"/>
                      <w:sz w:val="21"/>
                      <w:szCs w:val="21"/>
                      <w:lang w:val="en-US" w:eastAsia="zh-CN"/>
                      <w14:textFill>
                        <w14:solidFill>
                          <w14:schemeClr w14:val="tx1"/>
                        </w14:solidFill>
                      </w14:textFill>
                    </w:rPr>
                    <w:t>8358</w:t>
                  </w:r>
                </w:p>
              </w:tc>
            </w:tr>
          </w:tbl>
          <w:p w14:paraId="63EC890F">
            <w:pPr>
              <w:pStyle w:val="16"/>
              <w:keepNext w:val="0"/>
              <w:keepLines w:val="0"/>
              <w:numPr>
                <w:ilvl w:val="0"/>
                <w:numId w:val="0"/>
              </w:numPr>
              <w:suppressLineNumbers w:val="0"/>
              <w:adjustRightInd w:val="0"/>
              <w:snapToGrid w:val="0"/>
              <w:spacing w:before="0" w:beforeAutospacing="0" w:after="0" w:afterAutospacing="0"/>
              <w:ind w:left="0" w:right="0"/>
              <w:rPr>
                <w:rFonts w:hint="eastAsia"/>
                <w:b/>
                <w:bCs/>
                <w:color w:val="000000"/>
                <w:kern w:val="0"/>
                <w:sz w:val="21"/>
                <w:szCs w:val="21"/>
                <w:lang w:val="en-US" w:eastAsia="zh-CN"/>
              </w:rPr>
            </w:pPr>
          </w:p>
        </w:tc>
      </w:tr>
      <w:tr w14:paraId="0BF83D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8" w:type="dxa"/>
            <w:tcBorders>
              <w:tl2br w:val="nil"/>
              <w:tr2bl w:val="nil"/>
            </w:tcBorders>
            <w:noWrap w:val="0"/>
            <w:vAlign w:val="center"/>
          </w:tcPr>
          <w:p w14:paraId="65370255">
            <w:pPr>
              <w:keepNext w:val="0"/>
              <w:keepLines w:val="0"/>
              <w:suppressLineNumbers w:val="0"/>
              <w:adjustRightInd w:val="0"/>
              <w:snapToGrid w:val="0"/>
              <w:spacing w:before="0" w:beforeAutospacing="0" w:after="0" w:afterAutospacing="0" w:line="240" w:lineRule="auto"/>
              <w:ind w:left="0" w:right="0"/>
              <w:rPr>
                <w:rFonts w:hint="default"/>
                <w:b/>
                <w:bCs/>
                <w:color w:val="000000"/>
                <w:kern w:val="0"/>
              </w:rPr>
            </w:pPr>
            <w:r>
              <w:rPr>
                <w:rFonts w:hint="default"/>
                <w:b/>
                <w:bCs/>
                <w:color w:val="000000"/>
                <w:kern w:val="0"/>
              </w:rPr>
              <w:t>与项目有关的原有环境污染问题</w:t>
            </w:r>
          </w:p>
        </w:tc>
        <w:tc>
          <w:tcPr>
            <w:tcW w:w="8068" w:type="dxa"/>
            <w:tcBorders>
              <w:tl2br w:val="nil"/>
              <w:tr2bl w:val="nil"/>
            </w:tcBorders>
            <w:noWrap w:val="0"/>
            <w:vAlign w:val="top"/>
          </w:tcPr>
          <w:p w14:paraId="0FAA84F1">
            <w:pPr>
              <w:keepNext w:val="0"/>
              <w:keepLines w:val="0"/>
              <w:suppressLineNumbers w:val="0"/>
              <w:spacing w:before="0" w:beforeAutospacing="0" w:after="0" w:afterAutospacing="0"/>
              <w:ind w:left="0" w:right="0" w:firstLine="480" w:firstLineChars="200"/>
              <w:rPr>
                <w:rFonts w:hint="default"/>
                <w:lang w:val="en-US" w:eastAsia="zh-CN"/>
              </w:rPr>
            </w:pPr>
            <w:r>
              <w:rPr>
                <w:rFonts w:hint="default" w:ascii="Times New Roman" w:hAnsi="Times New Roman" w:eastAsia="宋体" w:cs="Times New Roman"/>
                <w:b w:val="0"/>
                <w:bCs/>
                <w:lang w:val="en-US" w:eastAsia="zh-CN"/>
              </w:rPr>
              <w:t>新疆鼎棉农业科技有限公司棉花种子生产建设项目</w:t>
            </w:r>
            <w:r>
              <w:rPr>
                <w:rFonts w:hint="default" w:ascii="Times New Roman" w:hAnsi="Times New Roman" w:cs="Times New Roman"/>
                <w:b w:val="0"/>
                <w:bCs/>
                <w:color w:val="000000"/>
                <w:sz w:val="24"/>
                <w:szCs w:val="24"/>
                <w:highlight w:val="none"/>
                <w:lang w:val="en-US" w:eastAsia="zh-CN"/>
              </w:rPr>
              <w:t>租赁巴州皓天农业科技开发有限公司</w:t>
            </w:r>
            <w:r>
              <w:rPr>
                <w:rFonts w:hint="default" w:ascii="Times New Roman" w:hAnsi="Times New Roman" w:cs="Times New Roman"/>
                <w:b w:val="0"/>
                <w:bCs/>
                <w:highlight w:val="none"/>
                <w:lang w:val="en-US" w:eastAsia="zh-CN"/>
              </w:rPr>
              <w:t>2座现有厂房</w:t>
            </w:r>
            <w:r>
              <w:rPr>
                <w:rFonts w:hint="eastAsia" w:cs="Times New Roman"/>
                <w:b w:val="0"/>
                <w:bCs/>
                <w:highlight w:val="none"/>
                <w:lang w:val="en-US" w:eastAsia="zh-CN"/>
              </w:rPr>
              <w:t>及</w:t>
            </w:r>
            <w:r>
              <w:rPr>
                <w:rFonts w:hint="default" w:ascii="Times New Roman" w:hAnsi="Times New Roman" w:cs="Times New Roman"/>
                <w:b w:val="0"/>
                <w:bCs/>
                <w:highlight w:val="none"/>
                <w:lang w:val="en-US" w:eastAsia="zh-CN"/>
              </w:rPr>
              <w:t>其他辅助工程新建棉花种子生产线一条，</w:t>
            </w:r>
            <w:r>
              <w:rPr>
                <w:rFonts w:hint="default"/>
                <w:lang w:val="en-US" w:eastAsia="zh-CN"/>
              </w:rPr>
              <w:t>巴州皓天农业科技开发有限公司</w:t>
            </w:r>
            <w:r>
              <w:rPr>
                <w:rFonts w:hint="eastAsia"/>
                <w:lang w:val="en-US" w:eastAsia="zh-CN"/>
              </w:rPr>
              <w:t>厂区内目前</w:t>
            </w:r>
            <w:r>
              <w:rPr>
                <w:rFonts w:hint="eastAsia"/>
                <w:color w:val="000000"/>
                <w:sz w:val="24"/>
                <w:szCs w:val="24"/>
                <w:highlight w:val="none"/>
                <w:lang w:val="en-US" w:eastAsia="zh-CN"/>
              </w:rPr>
              <w:t>无项目生产，且无环保手续履行情况，其他两座厂房目前闲置，计划外租，</w:t>
            </w:r>
            <w:r>
              <w:rPr>
                <w:rFonts w:hint="eastAsia" w:cs="Times New Roman"/>
                <w:color w:val="000000"/>
                <w:lang w:val="en-US" w:eastAsia="zh-CN"/>
              </w:rPr>
              <w:t>不存在原有环境污染问题。</w:t>
            </w:r>
          </w:p>
          <w:p w14:paraId="4224C0BA">
            <w:pPr>
              <w:keepNext w:val="0"/>
              <w:keepLines w:val="0"/>
              <w:suppressLineNumbers w:val="0"/>
              <w:spacing w:before="0" w:beforeAutospacing="0" w:after="0" w:afterAutospacing="0"/>
              <w:ind w:left="0" w:right="0"/>
              <w:rPr>
                <w:rFonts w:hint="eastAsia" w:cs="Times New Roman"/>
                <w:color w:val="000000"/>
                <w:lang w:val="en-US" w:eastAsia="zh-CN"/>
              </w:rPr>
            </w:pPr>
          </w:p>
          <w:p w14:paraId="2EDEA171">
            <w:pPr>
              <w:keepNext w:val="0"/>
              <w:keepLines w:val="0"/>
              <w:suppressLineNumbers w:val="0"/>
              <w:spacing w:before="0" w:beforeAutospacing="0" w:after="0" w:afterAutospacing="0"/>
              <w:ind w:left="0" w:right="0"/>
              <w:rPr>
                <w:rFonts w:hint="default"/>
              </w:rPr>
            </w:pPr>
          </w:p>
          <w:p w14:paraId="6E6E97F8">
            <w:pPr>
              <w:keepNext w:val="0"/>
              <w:keepLines w:val="0"/>
              <w:suppressLineNumbers w:val="0"/>
              <w:spacing w:before="0" w:beforeAutospacing="0" w:after="0" w:afterAutospacing="0"/>
              <w:ind w:left="0" w:right="0"/>
              <w:rPr>
                <w:rFonts w:hint="default"/>
              </w:rPr>
            </w:pPr>
          </w:p>
          <w:p w14:paraId="62C89E87">
            <w:pPr>
              <w:keepNext w:val="0"/>
              <w:keepLines w:val="0"/>
              <w:suppressLineNumbers w:val="0"/>
              <w:bidi w:val="0"/>
              <w:spacing w:before="0" w:beforeAutospacing="0" w:after="0" w:afterAutospacing="0"/>
              <w:ind w:left="0" w:right="0"/>
              <w:rPr>
                <w:rFonts w:hint="default"/>
              </w:rPr>
            </w:pPr>
          </w:p>
          <w:p w14:paraId="684782CE">
            <w:pPr>
              <w:keepNext w:val="0"/>
              <w:keepLines w:val="0"/>
              <w:suppressLineNumbers w:val="0"/>
              <w:bidi w:val="0"/>
              <w:spacing w:before="0" w:beforeAutospacing="0" w:after="0" w:afterAutospacing="0"/>
              <w:ind w:left="0" w:right="0"/>
              <w:rPr>
                <w:rFonts w:hint="default"/>
              </w:rPr>
            </w:pPr>
          </w:p>
          <w:p w14:paraId="41FA61D0">
            <w:pPr>
              <w:keepNext w:val="0"/>
              <w:keepLines w:val="0"/>
              <w:suppressLineNumbers w:val="0"/>
              <w:spacing w:before="0" w:beforeAutospacing="0" w:after="0" w:afterAutospacing="0"/>
              <w:ind w:left="0" w:right="0"/>
              <w:rPr>
                <w:rFonts w:hint="default"/>
              </w:rPr>
            </w:pPr>
          </w:p>
          <w:p w14:paraId="39BD440E">
            <w:pPr>
              <w:pStyle w:val="2"/>
              <w:keepNext w:val="0"/>
              <w:keepLines w:val="0"/>
              <w:suppressLineNumbers w:val="0"/>
              <w:spacing w:before="0" w:beforeAutospacing="0" w:after="0" w:afterAutospacing="0"/>
              <w:ind w:left="0" w:right="0"/>
              <w:rPr>
                <w:rFonts w:hint="default"/>
              </w:rPr>
            </w:pPr>
          </w:p>
          <w:p w14:paraId="130D7C08">
            <w:pPr>
              <w:pStyle w:val="3"/>
              <w:keepNext w:val="0"/>
              <w:keepLines w:val="0"/>
              <w:suppressLineNumbers w:val="0"/>
              <w:spacing w:before="0" w:beforeAutospacing="0" w:after="0" w:afterAutospacing="0"/>
              <w:ind w:left="0" w:right="0"/>
              <w:rPr>
                <w:rFonts w:hint="default"/>
              </w:rPr>
            </w:pPr>
          </w:p>
          <w:p w14:paraId="37BCF5A4">
            <w:pPr>
              <w:pStyle w:val="4"/>
              <w:keepNext w:val="0"/>
              <w:keepLines w:val="0"/>
              <w:suppressLineNumbers w:val="0"/>
              <w:spacing w:before="0" w:beforeAutospacing="0" w:afterAutospacing="0"/>
              <w:ind w:left="0" w:right="0"/>
              <w:rPr>
                <w:rFonts w:hint="default"/>
              </w:rPr>
            </w:pPr>
          </w:p>
          <w:p w14:paraId="1F14E666">
            <w:pPr>
              <w:keepNext w:val="0"/>
              <w:keepLines w:val="0"/>
              <w:suppressLineNumbers w:val="0"/>
              <w:spacing w:before="0" w:beforeAutospacing="0" w:after="0" w:afterAutospacing="0"/>
              <w:ind w:left="0" w:right="0"/>
              <w:rPr>
                <w:rFonts w:hint="default"/>
              </w:rPr>
            </w:pPr>
          </w:p>
          <w:p w14:paraId="6E8B21AB">
            <w:pPr>
              <w:pStyle w:val="2"/>
              <w:keepNext w:val="0"/>
              <w:keepLines w:val="0"/>
              <w:suppressLineNumbers w:val="0"/>
              <w:spacing w:before="0" w:beforeAutospacing="0" w:after="0" w:afterAutospacing="0"/>
              <w:ind w:left="0" w:right="0"/>
              <w:rPr>
                <w:rFonts w:hint="default"/>
              </w:rPr>
            </w:pPr>
          </w:p>
          <w:p w14:paraId="7F4DAA51">
            <w:pPr>
              <w:pStyle w:val="3"/>
              <w:keepNext w:val="0"/>
              <w:keepLines w:val="0"/>
              <w:suppressLineNumbers w:val="0"/>
              <w:spacing w:before="0" w:beforeAutospacing="0" w:after="0" w:afterAutospacing="0"/>
              <w:ind w:left="0" w:right="0"/>
              <w:rPr>
                <w:rFonts w:hint="default"/>
              </w:rPr>
            </w:pPr>
          </w:p>
          <w:p w14:paraId="1060F1F6">
            <w:pPr>
              <w:pStyle w:val="4"/>
              <w:keepNext w:val="0"/>
              <w:keepLines w:val="0"/>
              <w:suppressLineNumbers w:val="0"/>
              <w:spacing w:before="0" w:beforeAutospacing="0" w:afterAutospacing="0"/>
              <w:ind w:left="0" w:right="0"/>
              <w:rPr>
                <w:rFonts w:hint="default"/>
              </w:rPr>
            </w:pPr>
          </w:p>
          <w:p w14:paraId="131F23CA">
            <w:pPr>
              <w:keepNext w:val="0"/>
              <w:keepLines w:val="0"/>
              <w:suppressLineNumbers w:val="0"/>
              <w:spacing w:before="0" w:beforeAutospacing="0" w:after="0" w:afterAutospacing="0"/>
              <w:ind w:left="0" w:right="0"/>
              <w:rPr>
                <w:rFonts w:hint="default"/>
              </w:rPr>
            </w:pPr>
          </w:p>
          <w:p w14:paraId="45D9D475">
            <w:pPr>
              <w:pStyle w:val="2"/>
              <w:keepNext w:val="0"/>
              <w:keepLines w:val="0"/>
              <w:suppressLineNumbers w:val="0"/>
              <w:spacing w:before="0" w:beforeAutospacing="0" w:after="0" w:afterAutospacing="0"/>
              <w:ind w:left="0" w:right="0"/>
              <w:rPr>
                <w:rFonts w:hint="default"/>
              </w:rPr>
            </w:pPr>
          </w:p>
          <w:p w14:paraId="093E93A5">
            <w:pPr>
              <w:pStyle w:val="3"/>
              <w:keepNext w:val="0"/>
              <w:keepLines w:val="0"/>
              <w:suppressLineNumbers w:val="0"/>
              <w:spacing w:before="0" w:beforeAutospacing="0" w:after="0" w:afterAutospacing="0"/>
              <w:ind w:left="0" w:right="0"/>
              <w:rPr>
                <w:rFonts w:hint="default"/>
              </w:rPr>
            </w:pPr>
          </w:p>
          <w:p w14:paraId="37DEA708">
            <w:pPr>
              <w:pStyle w:val="4"/>
              <w:keepNext w:val="0"/>
              <w:keepLines w:val="0"/>
              <w:suppressLineNumbers w:val="0"/>
              <w:spacing w:before="0" w:beforeAutospacing="0" w:afterAutospacing="0"/>
              <w:ind w:left="0" w:right="0"/>
              <w:rPr>
                <w:rFonts w:hint="default"/>
              </w:rPr>
            </w:pPr>
          </w:p>
          <w:p w14:paraId="357C9424">
            <w:pPr>
              <w:keepNext w:val="0"/>
              <w:keepLines w:val="0"/>
              <w:suppressLineNumbers w:val="0"/>
              <w:spacing w:before="0" w:beforeAutospacing="0" w:after="0" w:afterAutospacing="0"/>
              <w:ind w:left="0" w:right="0"/>
              <w:rPr>
                <w:rFonts w:hint="default"/>
              </w:rPr>
            </w:pPr>
          </w:p>
          <w:p w14:paraId="0DC42527">
            <w:pPr>
              <w:pStyle w:val="2"/>
              <w:keepNext w:val="0"/>
              <w:keepLines w:val="0"/>
              <w:suppressLineNumbers w:val="0"/>
              <w:spacing w:before="0" w:beforeAutospacing="0" w:after="0" w:afterAutospacing="0"/>
              <w:ind w:left="0" w:right="0"/>
              <w:rPr>
                <w:rFonts w:hint="default"/>
              </w:rPr>
            </w:pPr>
          </w:p>
          <w:p w14:paraId="18806038">
            <w:pPr>
              <w:pStyle w:val="3"/>
              <w:keepNext w:val="0"/>
              <w:keepLines w:val="0"/>
              <w:suppressLineNumbers w:val="0"/>
              <w:spacing w:before="0" w:beforeAutospacing="0" w:after="0" w:afterAutospacing="0"/>
              <w:ind w:left="0" w:right="0"/>
              <w:rPr>
                <w:rFonts w:hint="default"/>
              </w:rPr>
            </w:pPr>
          </w:p>
          <w:p w14:paraId="21F938BB">
            <w:pPr>
              <w:pStyle w:val="4"/>
              <w:keepNext w:val="0"/>
              <w:keepLines w:val="0"/>
              <w:suppressLineNumbers w:val="0"/>
              <w:spacing w:before="0" w:beforeAutospacing="0" w:afterAutospacing="0"/>
              <w:ind w:left="0" w:right="0"/>
              <w:rPr>
                <w:rFonts w:hint="default"/>
              </w:rPr>
            </w:pPr>
          </w:p>
          <w:p w14:paraId="7E5540EF">
            <w:pPr>
              <w:keepNext w:val="0"/>
              <w:keepLines w:val="0"/>
              <w:suppressLineNumbers w:val="0"/>
              <w:spacing w:before="0" w:beforeAutospacing="0" w:after="0" w:afterAutospacing="0"/>
              <w:ind w:left="0" w:right="0"/>
              <w:rPr>
                <w:rFonts w:hint="default"/>
              </w:rPr>
            </w:pPr>
          </w:p>
          <w:p w14:paraId="3A7FAD09">
            <w:pPr>
              <w:pStyle w:val="2"/>
              <w:keepNext w:val="0"/>
              <w:keepLines w:val="0"/>
              <w:suppressLineNumbers w:val="0"/>
              <w:spacing w:before="0" w:beforeAutospacing="0" w:after="0" w:afterAutospacing="0"/>
              <w:ind w:left="0" w:right="0"/>
              <w:rPr>
                <w:rFonts w:hint="default"/>
              </w:rPr>
            </w:pPr>
          </w:p>
          <w:p w14:paraId="51CC10DD">
            <w:pPr>
              <w:pStyle w:val="3"/>
              <w:keepNext w:val="0"/>
              <w:keepLines w:val="0"/>
              <w:suppressLineNumbers w:val="0"/>
              <w:spacing w:before="0" w:beforeAutospacing="0" w:after="0" w:afterAutospacing="0"/>
              <w:ind w:left="0" w:right="0"/>
              <w:rPr>
                <w:rFonts w:hint="default"/>
              </w:rPr>
            </w:pPr>
          </w:p>
          <w:p w14:paraId="21802CC3">
            <w:pPr>
              <w:pStyle w:val="4"/>
              <w:keepNext w:val="0"/>
              <w:keepLines w:val="0"/>
              <w:suppressLineNumbers w:val="0"/>
              <w:spacing w:before="0" w:beforeAutospacing="0" w:afterAutospacing="0"/>
              <w:ind w:left="0" w:right="0"/>
              <w:rPr>
                <w:rFonts w:hint="default"/>
              </w:rPr>
            </w:pPr>
          </w:p>
          <w:p w14:paraId="50E3670F">
            <w:pPr>
              <w:keepNext w:val="0"/>
              <w:keepLines w:val="0"/>
              <w:suppressLineNumbers w:val="0"/>
              <w:spacing w:before="0" w:beforeAutospacing="0" w:after="0" w:afterAutospacing="0"/>
              <w:ind w:left="0" w:right="0"/>
              <w:rPr>
                <w:rFonts w:hint="default"/>
              </w:rPr>
            </w:pPr>
          </w:p>
          <w:p w14:paraId="166EC384">
            <w:pPr>
              <w:pStyle w:val="2"/>
              <w:keepNext w:val="0"/>
              <w:keepLines w:val="0"/>
              <w:suppressLineNumbers w:val="0"/>
              <w:spacing w:before="0" w:beforeAutospacing="0" w:after="0" w:afterAutospacing="0"/>
              <w:ind w:left="0" w:right="0"/>
              <w:rPr>
                <w:rFonts w:hint="default"/>
              </w:rPr>
            </w:pPr>
          </w:p>
          <w:p w14:paraId="67DEBFDC">
            <w:pPr>
              <w:pStyle w:val="3"/>
              <w:keepNext w:val="0"/>
              <w:keepLines w:val="0"/>
              <w:suppressLineNumbers w:val="0"/>
              <w:spacing w:before="0" w:beforeAutospacing="0" w:after="0" w:afterAutospacing="0"/>
              <w:ind w:left="0" w:right="0"/>
              <w:rPr>
                <w:rFonts w:hint="default"/>
              </w:rPr>
            </w:pPr>
          </w:p>
          <w:p w14:paraId="17646CE1">
            <w:pPr>
              <w:pStyle w:val="4"/>
              <w:keepNext w:val="0"/>
              <w:keepLines w:val="0"/>
              <w:suppressLineNumbers w:val="0"/>
              <w:spacing w:before="0" w:beforeAutospacing="0" w:afterAutospacing="0"/>
              <w:ind w:left="0" w:right="0"/>
              <w:rPr>
                <w:rFonts w:hint="default"/>
              </w:rPr>
            </w:pPr>
          </w:p>
          <w:p w14:paraId="02960CF8">
            <w:pPr>
              <w:keepNext w:val="0"/>
              <w:keepLines w:val="0"/>
              <w:suppressLineNumbers w:val="0"/>
              <w:spacing w:before="0" w:beforeAutospacing="0" w:after="0" w:afterAutospacing="0"/>
              <w:ind w:left="0" w:right="0"/>
              <w:rPr>
                <w:rFonts w:hint="default"/>
              </w:rPr>
            </w:pPr>
          </w:p>
        </w:tc>
      </w:tr>
    </w:tbl>
    <w:p w14:paraId="0A6AEED2">
      <w:pPr>
        <w:pStyle w:val="30"/>
        <w:jc w:val="center"/>
        <w:rPr>
          <w:rFonts w:ascii="Times New Roman" w:hAnsi="Times New Roman" w:eastAsia="黑体"/>
          <w:snapToGrid w:val="0"/>
          <w:sz w:val="36"/>
          <w:szCs w:val="36"/>
        </w:rPr>
        <w:sectPr>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14:paraId="4EADFED1">
      <w:pPr>
        <w:pStyle w:val="5"/>
        <w:rPr>
          <w:color w:val="auto"/>
        </w:rPr>
      </w:pPr>
      <w:bookmarkStart w:id="5" w:name="_Toc30740"/>
      <w:r>
        <w:rPr>
          <w:color w:val="auto"/>
        </w:rPr>
        <w:t>三、区域环境质量现状、环境保护目标及评价标准</w:t>
      </w:r>
      <w:bookmarkEnd w:id="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85"/>
        <w:gridCol w:w="8576"/>
      </w:tblGrid>
      <w:tr w14:paraId="1C3423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485" w:type="dxa"/>
            <w:tcBorders>
              <w:tl2br w:val="nil"/>
              <w:tr2bl w:val="nil"/>
            </w:tcBorders>
            <w:noWrap w:val="0"/>
            <w:vAlign w:val="center"/>
          </w:tcPr>
          <w:p w14:paraId="13CAC0FC">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区域</w:t>
            </w:r>
          </w:p>
          <w:p w14:paraId="7DFCAEE3">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环境</w:t>
            </w:r>
          </w:p>
          <w:p w14:paraId="322AA7F1">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质量</w:t>
            </w:r>
          </w:p>
          <w:p w14:paraId="7B4B8D7D">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现状</w:t>
            </w:r>
          </w:p>
        </w:tc>
        <w:tc>
          <w:tcPr>
            <w:tcW w:w="8576" w:type="dxa"/>
            <w:tcBorders>
              <w:tl2br w:val="nil"/>
              <w:tr2bl w:val="nil"/>
            </w:tcBorders>
            <w:noWrap w:val="0"/>
            <w:vAlign w:val="center"/>
          </w:tcPr>
          <w:p w14:paraId="291DE4AF">
            <w:pPr>
              <w:keepNext w:val="0"/>
              <w:keepLines w:val="0"/>
              <w:suppressLineNumbers w:val="0"/>
              <w:adjustRightInd w:val="0"/>
              <w:snapToGrid w:val="0"/>
              <w:spacing w:before="0" w:beforeAutospacing="0" w:after="0" w:afterAutospacing="0"/>
              <w:ind w:left="0" w:right="0"/>
              <w:rPr>
                <w:rFonts w:hint="default"/>
                <w:b/>
                <w:bCs/>
                <w:color w:val="000000"/>
              </w:rPr>
            </w:pPr>
            <w:r>
              <w:rPr>
                <w:rFonts w:hint="default"/>
                <w:b/>
                <w:bCs/>
                <w:color w:val="000000"/>
              </w:rPr>
              <w:t>1环境空气</w:t>
            </w:r>
          </w:p>
          <w:p w14:paraId="3F7C0ACB">
            <w:pPr>
              <w:keepNext w:val="0"/>
              <w:keepLines w:val="0"/>
              <w:suppressLineNumbers w:val="0"/>
              <w:spacing w:before="0" w:beforeAutospacing="0" w:after="0" w:afterAutospacing="0"/>
              <w:ind w:left="0" w:right="0" w:firstLine="482" w:firstLineChars="200"/>
              <w:rPr>
                <w:rFonts w:hint="eastAsia"/>
                <w:b/>
                <w:bCs/>
                <w:color w:val="000000"/>
              </w:rPr>
            </w:pPr>
            <w:r>
              <w:rPr>
                <w:rFonts w:hint="eastAsia"/>
                <w:b/>
                <w:bCs/>
                <w:color w:val="000000"/>
              </w:rPr>
              <w:t>1.1达标区判定</w:t>
            </w:r>
          </w:p>
          <w:p w14:paraId="0463E2F6">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本次环境空气质量现状采用202</w:t>
            </w:r>
            <w:r>
              <w:rPr>
                <w:rFonts w:hint="eastAsia" w:cs="Times New Roman"/>
                <w:color w:val="000000" w:themeColor="text1"/>
                <w:spacing w:val="0"/>
                <w:kern w:val="0"/>
                <w:position w:val="0"/>
                <w:lang w:val="en-US" w:eastAsia="zh-CN" w:bidi="zh-CN"/>
                <w14:textFill>
                  <w14:solidFill>
                    <w14:schemeClr w14:val="tx1"/>
                  </w14:solidFill>
                </w14:textFill>
              </w:rPr>
              <w:t>4</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年巴音郭楞蒙古自治州</w:t>
            </w:r>
            <w:r>
              <w:rPr>
                <w:rFonts w:hint="eastAsia" w:cs="Times New Roman"/>
                <w:color w:val="000000" w:themeColor="text1"/>
                <w:spacing w:val="0"/>
                <w:kern w:val="0"/>
                <w:position w:val="0"/>
                <w:lang w:val="en-US" w:eastAsia="zh-CN" w:bidi="zh-CN"/>
                <w14:textFill>
                  <w14:solidFill>
                    <w14:schemeClr w14:val="tx1"/>
                  </w14:solidFill>
                </w14:textFill>
              </w:rPr>
              <w:t>尉犁</w:t>
            </w:r>
            <w:r>
              <w:rPr>
                <w:rFonts w:hint="eastAsia" w:ascii="Times New Roman" w:hAnsi="Times New Roman" w:eastAsia="宋体" w:cs="Times New Roman"/>
                <w:color w:val="000000" w:themeColor="text1"/>
                <w:spacing w:val="0"/>
                <w:kern w:val="0"/>
                <w:position w:val="0"/>
                <w:lang w:val="en-US" w:eastAsia="zh-CN" w:bidi="zh-CN"/>
                <w14:textFill>
                  <w14:solidFill>
                    <w14:schemeClr w14:val="tx1"/>
                  </w14:solidFill>
                </w14:textFill>
              </w:rPr>
              <w:t>县</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环境空气质量监测站中公布的</w:t>
            </w:r>
            <w:r>
              <w:rPr>
                <w:rFonts w:hint="eastAsia" w:cs="Times New Roman"/>
                <w:color w:val="000000" w:themeColor="text1"/>
                <w:spacing w:val="0"/>
                <w:kern w:val="0"/>
                <w:position w:val="0"/>
                <w:highlight w:val="none"/>
                <w:lang w:val="en-US" w:eastAsia="zh-CN" w:bidi="zh-CN"/>
                <w14:textFill>
                  <w14:solidFill>
                    <w14:schemeClr w14:val="tx1"/>
                  </w14:solidFill>
                </w14:textFill>
              </w:rPr>
              <w:t>尉犁</w:t>
            </w:r>
            <w:r>
              <w:rPr>
                <w:rFonts w:hint="eastAsia" w:ascii="Times New Roman" w:hAnsi="Times New Roman" w:eastAsia="宋体" w:cs="Times New Roman"/>
                <w:color w:val="000000" w:themeColor="text1"/>
                <w:spacing w:val="0"/>
                <w:kern w:val="0"/>
                <w:position w:val="0"/>
                <w:highlight w:val="none"/>
                <w:lang w:val="en-US" w:eastAsia="zh-CN" w:bidi="zh-CN"/>
                <w14:textFill>
                  <w14:solidFill>
                    <w14:schemeClr w14:val="tx1"/>
                  </w14:solidFill>
                </w14:textFill>
              </w:rPr>
              <w:t>县</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202</w:t>
            </w:r>
            <w:r>
              <w:rPr>
                <w:rFonts w:hint="eastAsia" w:cs="Times New Roman"/>
                <w:color w:val="000000" w:themeColor="text1"/>
                <w:spacing w:val="0"/>
                <w:kern w:val="0"/>
                <w:position w:val="0"/>
                <w:lang w:val="en-US" w:eastAsia="zh-CN" w:bidi="zh-CN"/>
                <w14:textFill>
                  <w14:solidFill>
                    <w14:schemeClr w14:val="tx1"/>
                  </w14:solidFill>
                </w14:textFill>
              </w:rPr>
              <w:t>4</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年SO</w:t>
            </w:r>
            <w:r>
              <w:rPr>
                <w:rFonts w:hint="default" w:ascii="Times New Roman" w:hAnsi="Times New Roman" w:eastAsia="宋体" w:cs="Times New Roman"/>
                <w:color w:val="000000" w:themeColor="text1"/>
                <w:spacing w:val="0"/>
                <w:kern w:val="0"/>
                <w:position w:val="0"/>
                <w:vertAlign w:val="subscript"/>
                <w:lang w:val="en-US" w:eastAsia="zh-CN" w:bidi="zh-CN"/>
                <w14:textFill>
                  <w14:solidFill>
                    <w14:schemeClr w14:val="tx1"/>
                  </w14:solidFill>
                </w14:textFill>
              </w:rPr>
              <w:t>2</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、NO</w:t>
            </w:r>
            <w:r>
              <w:rPr>
                <w:rFonts w:hint="default" w:ascii="Times New Roman" w:hAnsi="Times New Roman" w:eastAsia="宋体" w:cs="Times New Roman"/>
                <w:color w:val="000000" w:themeColor="text1"/>
                <w:spacing w:val="0"/>
                <w:kern w:val="0"/>
                <w:position w:val="0"/>
                <w:vertAlign w:val="subscript"/>
                <w:lang w:val="en-US" w:eastAsia="zh-CN" w:bidi="zh-CN"/>
                <w14:textFill>
                  <w14:solidFill>
                    <w14:schemeClr w14:val="tx1"/>
                  </w14:solidFill>
                </w14:textFill>
              </w:rPr>
              <w:t>2</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、CO、O</w:t>
            </w:r>
            <w:r>
              <w:rPr>
                <w:rFonts w:hint="default" w:ascii="Times New Roman" w:hAnsi="Times New Roman" w:eastAsia="宋体" w:cs="Times New Roman"/>
                <w:color w:val="000000" w:themeColor="text1"/>
                <w:spacing w:val="0"/>
                <w:kern w:val="0"/>
                <w:position w:val="0"/>
                <w:vertAlign w:val="subscript"/>
                <w:lang w:val="en-US" w:eastAsia="zh-CN" w:bidi="zh-CN"/>
                <w14:textFill>
                  <w14:solidFill>
                    <w14:schemeClr w14:val="tx1"/>
                  </w14:solidFill>
                </w14:textFill>
              </w:rPr>
              <w:t>3</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、PM</w:t>
            </w:r>
            <w:r>
              <w:rPr>
                <w:rFonts w:hint="default" w:ascii="Times New Roman" w:hAnsi="Times New Roman" w:eastAsia="宋体" w:cs="Times New Roman"/>
                <w:color w:val="000000" w:themeColor="text1"/>
                <w:spacing w:val="0"/>
                <w:kern w:val="0"/>
                <w:position w:val="0"/>
                <w:vertAlign w:val="subscript"/>
                <w:lang w:val="en-US" w:eastAsia="zh-CN" w:bidi="zh-CN"/>
                <w14:textFill>
                  <w14:solidFill>
                    <w14:schemeClr w14:val="tx1"/>
                  </w14:solidFill>
                </w14:textFill>
              </w:rPr>
              <w:t>10</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、PM</w:t>
            </w:r>
            <w:r>
              <w:rPr>
                <w:rFonts w:hint="default" w:ascii="Times New Roman" w:hAnsi="Times New Roman" w:eastAsia="宋体" w:cs="Times New Roman"/>
                <w:color w:val="000000" w:themeColor="text1"/>
                <w:spacing w:val="0"/>
                <w:kern w:val="0"/>
                <w:position w:val="0"/>
                <w:vertAlign w:val="subscript"/>
                <w:lang w:val="en-US" w:eastAsia="zh-CN" w:bidi="zh-CN"/>
                <w14:textFill>
                  <w14:solidFill>
                    <w14:schemeClr w14:val="tx1"/>
                  </w14:solidFill>
                </w14:textFill>
              </w:rPr>
              <w:t>2.5</w:t>
            </w:r>
            <w:r>
              <w:rPr>
                <w:rFonts w:hint="default" w:ascii="Times New Roman" w:hAnsi="Times New Roman" w:eastAsia="宋体" w:cs="Times New Roman"/>
                <w:color w:val="000000" w:themeColor="text1"/>
                <w:spacing w:val="0"/>
                <w:kern w:val="0"/>
                <w:position w:val="0"/>
                <w:lang w:val="en-US" w:eastAsia="zh-CN" w:bidi="zh-CN"/>
                <w14:textFill>
                  <w14:solidFill>
                    <w14:schemeClr w14:val="tx1"/>
                  </w14:solidFill>
                </w14:textFill>
              </w:rPr>
              <w:t>等六项基本污染物环境空气质量现状数据。</w:t>
            </w:r>
          </w:p>
          <w:p w14:paraId="3714ADA8">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422" w:firstLineChars="200"/>
              <w:jc w:val="both"/>
              <w:textAlignment w:val="auto"/>
              <w:rPr>
                <w:rFonts w:hint="default" w:ascii="Times New Roman" w:hAnsi="Times New Roman" w:eastAsia="宋体" w:cs="Times New Roman"/>
                <w:b/>
                <w:bCs/>
                <w:color w:val="000000" w:themeColor="text1"/>
                <w:spacing w:val="0"/>
                <w:kern w:val="0"/>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表</w:t>
            </w:r>
            <w:r>
              <w:rPr>
                <w:rFonts w:hint="eastAsia" w:cs="Times New Roman"/>
                <w:b/>
                <w:bCs/>
                <w:color w:val="000000" w:themeColor="text1"/>
                <w:spacing w:val="0"/>
                <w:kern w:val="0"/>
                <w:position w:val="0"/>
                <w:sz w:val="21"/>
                <w:szCs w:val="21"/>
                <w:highlight w:val="none"/>
                <w:lang w:val="en-US" w:eastAsia="zh-CN" w:bidi="ar"/>
                <w14:textFill>
                  <w14:solidFill>
                    <w14:schemeClr w14:val="tx1"/>
                  </w14:solidFill>
                </w14:textFill>
              </w:rPr>
              <w:t>3-1</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 xml:space="preserve">  </w:t>
            </w:r>
            <w:r>
              <w:rPr>
                <w:rFonts w:hint="eastAsia"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 xml:space="preserve">  </w:t>
            </w:r>
            <w:r>
              <w:rPr>
                <w:rFonts w:hint="eastAsia" w:cs="Times New Roman"/>
                <w:b/>
                <w:bCs/>
                <w:color w:val="000000" w:themeColor="text1"/>
                <w:spacing w:val="0"/>
                <w:kern w:val="0"/>
                <w:position w:val="0"/>
                <w:sz w:val="21"/>
                <w:szCs w:val="21"/>
                <w:highlight w:val="none"/>
                <w:lang w:val="en-US" w:eastAsia="zh-CN" w:bidi="ar"/>
                <w14:textFill>
                  <w14:solidFill>
                    <w14:schemeClr w14:val="tx1"/>
                  </w14:solidFill>
                </w14:textFill>
              </w:rPr>
              <w:t>尉犁</w:t>
            </w:r>
            <w:r>
              <w:rPr>
                <w:rFonts w:hint="eastAsia"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县202</w:t>
            </w:r>
            <w:r>
              <w:rPr>
                <w:rFonts w:hint="eastAsia" w:cs="Times New Roman"/>
                <w:b/>
                <w:bCs/>
                <w:color w:val="000000" w:themeColor="text1"/>
                <w:spacing w:val="0"/>
                <w:kern w:val="0"/>
                <w:position w:val="0"/>
                <w:sz w:val="21"/>
                <w:szCs w:val="21"/>
                <w:highlight w:val="none"/>
                <w:lang w:val="en-US" w:eastAsia="zh-CN" w:bidi="ar"/>
                <w14:textFill>
                  <w14:solidFill>
                    <w14:schemeClr w14:val="tx1"/>
                  </w14:solidFill>
                </w14:textFill>
              </w:rPr>
              <w:t>4</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
                <w14:textFill>
                  <w14:solidFill>
                    <w14:schemeClr w14:val="tx1"/>
                  </w14:solidFill>
                </w14:textFill>
              </w:rPr>
              <w:t>年环境空气质量数据</w:t>
            </w:r>
          </w:p>
          <w:tbl>
            <w:tblPr>
              <w:tblStyle w:val="36"/>
              <w:tblW w:w="5000"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464"/>
              <w:gridCol w:w="1285"/>
              <w:gridCol w:w="1780"/>
              <w:gridCol w:w="820"/>
              <w:gridCol w:w="758"/>
            </w:tblGrid>
            <w:tr w14:paraId="4CC1E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14:paraId="262745EE">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污染物</w:t>
                  </w:r>
                </w:p>
              </w:tc>
              <w:tc>
                <w:tcPr>
                  <w:tcW w:w="1473" w:type="pct"/>
                  <w:tcBorders>
                    <w:tl2br w:val="nil"/>
                    <w:tr2bl w:val="nil"/>
                  </w:tcBorders>
                  <w:noWrap w:val="0"/>
                  <w:vAlign w:val="center"/>
                </w:tcPr>
                <w:p w14:paraId="52CA271C">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评价项目</w:t>
                  </w:r>
                </w:p>
              </w:tc>
              <w:tc>
                <w:tcPr>
                  <w:tcW w:w="768" w:type="pct"/>
                  <w:tcBorders>
                    <w:tl2br w:val="nil"/>
                    <w:tr2bl w:val="nil"/>
                  </w:tcBorders>
                  <w:noWrap w:val="0"/>
                  <w:vAlign w:val="center"/>
                </w:tcPr>
                <w:p w14:paraId="4F55BE02">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default" w:ascii="Times New Roman" w:hAnsi="Times New Roman" w:eastAsia="宋体" w:cs="Times New Roman"/>
                      <w:b w:val="0"/>
                      <w:bCs w:val="0"/>
                      <w:spacing w:val="0"/>
                      <w:kern w:val="2"/>
                      <w:position w:val="0"/>
                      <w:sz w:val="21"/>
                      <w:szCs w:val="21"/>
                      <w:lang w:val="en-US" w:bidi="ar-SA"/>
                    </w:rPr>
                    <w:t>浓度（μ</w:t>
                  </w:r>
                  <w:r>
                    <w:rPr>
                      <w:rFonts w:hint="eastAsia" w:ascii="Times New Roman" w:hAnsi="Times New Roman" w:eastAsia="宋体" w:cs="Times New Roman"/>
                      <w:b w:val="0"/>
                      <w:bCs w:val="0"/>
                      <w:spacing w:val="0"/>
                      <w:kern w:val="2"/>
                      <w:position w:val="0"/>
                      <w:sz w:val="21"/>
                      <w:szCs w:val="21"/>
                      <w:lang w:val="en-US" w:eastAsia="zh-CN" w:bidi="ar-SA"/>
                    </w:rPr>
                    <w:t>g</w:t>
                  </w:r>
                  <w:r>
                    <w:rPr>
                      <w:rFonts w:hint="default" w:ascii="Times New Roman" w:hAnsi="Times New Roman" w:eastAsia="宋体" w:cs="Times New Roman"/>
                      <w:b w:val="0"/>
                      <w:bCs w:val="0"/>
                      <w:spacing w:val="0"/>
                      <w:kern w:val="2"/>
                      <w:position w:val="0"/>
                      <w:sz w:val="21"/>
                      <w:szCs w:val="21"/>
                      <w:lang w:val="en-US" w:bidi="ar-SA"/>
                    </w:rPr>
                    <w:t>/m</w:t>
                  </w:r>
                  <w:r>
                    <w:rPr>
                      <w:rFonts w:hint="default" w:ascii="Times New Roman" w:hAnsi="Times New Roman" w:eastAsia="宋体" w:cs="Times New Roman"/>
                      <w:b w:val="0"/>
                      <w:bCs w:val="0"/>
                      <w:spacing w:val="0"/>
                      <w:kern w:val="2"/>
                      <w:position w:val="0"/>
                      <w:sz w:val="21"/>
                      <w:szCs w:val="21"/>
                      <w:vertAlign w:val="superscript"/>
                      <w:lang w:val="en-US" w:bidi="ar-SA"/>
                    </w:rPr>
                    <w:t>3</w:t>
                  </w:r>
                  <w:r>
                    <w:rPr>
                      <w:rFonts w:hint="default" w:ascii="Times New Roman" w:hAnsi="Times New Roman" w:eastAsia="宋体" w:cs="Times New Roman"/>
                      <w:b w:val="0"/>
                      <w:bCs w:val="0"/>
                      <w:spacing w:val="0"/>
                      <w:kern w:val="2"/>
                      <w:position w:val="0"/>
                      <w:sz w:val="21"/>
                      <w:szCs w:val="21"/>
                      <w:lang w:val="en-US" w:bidi="ar-SA"/>
                    </w:rPr>
                    <w:t>）</w:t>
                  </w:r>
                </w:p>
              </w:tc>
              <w:tc>
                <w:tcPr>
                  <w:tcW w:w="1064" w:type="pct"/>
                  <w:tcBorders>
                    <w:tl2br w:val="nil"/>
                    <w:tr2bl w:val="nil"/>
                  </w:tcBorders>
                  <w:noWrap w:val="0"/>
                  <w:vAlign w:val="center"/>
                </w:tcPr>
                <w:p w14:paraId="77A5D4A1">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标准（二级）</w:t>
                  </w:r>
                  <w:r>
                    <w:rPr>
                      <w:rFonts w:hint="default" w:ascii="Times New Roman" w:hAnsi="Times New Roman" w:eastAsia="宋体" w:cs="Times New Roman"/>
                      <w:b w:val="0"/>
                      <w:bCs w:val="0"/>
                      <w:spacing w:val="0"/>
                      <w:kern w:val="2"/>
                      <w:position w:val="0"/>
                      <w:sz w:val="21"/>
                      <w:szCs w:val="21"/>
                      <w:lang w:val="en-US" w:bidi="ar-SA"/>
                    </w:rPr>
                    <w:t>（μ</w:t>
                  </w:r>
                  <w:r>
                    <w:rPr>
                      <w:rFonts w:hint="eastAsia" w:ascii="Times New Roman" w:hAnsi="Times New Roman" w:eastAsia="宋体" w:cs="Times New Roman"/>
                      <w:b w:val="0"/>
                      <w:bCs w:val="0"/>
                      <w:spacing w:val="0"/>
                      <w:kern w:val="2"/>
                      <w:position w:val="0"/>
                      <w:sz w:val="21"/>
                      <w:szCs w:val="21"/>
                      <w:lang w:val="en-US" w:eastAsia="zh-CN" w:bidi="ar-SA"/>
                    </w:rPr>
                    <w:t>g</w:t>
                  </w:r>
                  <w:r>
                    <w:rPr>
                      <w:rFonts w:hint="default" w:ascii="Times New Roman" w:hAnsi="Times New Roman" w:eastAsia="宋体" w:cs="Times New Roman"/>
                      <w:b w:val="0"/>
                      <w:bCs w:val="0"/>
                      <w:spacing w:val="0"/>
                      <w:kern w:val="2"/>
                      <w:position w:val="0"/>
                      <w:sz w:val="21"/>
                      <w:szCs w:val="21"/>
                      <w:lang w:val="en-US" w:bidi="ar-SA"/>
                    </w:rPr>
                    <w:t>/m</w:t>
                  </w:r>
                  <w:r>
                    <w:rPr>
                      <w:rFonts w:hint="default" w:ascii="Times New Roman" w:hAnsi="Times New Roman" w:eastAsia="宋体" w:cs="Times New Roman"/>
                      <w:b w:val="0"/>
                      <w:bCs w:val="0"/>
                      <w:spacing w:val="0"/>
                      <w:kern w:val="2"/>
                      <w:position w:val="0"/>
                      <w:sz w:val="21"/>
                      <w:szCs w:val="21"/>
                      <w:vertAlign w:val="superscript"/>
                      <w:lang w:val="en-US" w:bidi="ar-SA"/>
                    </w:rPr>
                    <w:t>3</w:t>
                  </w:r>
                  <w:r>
                    <w:rPr>
                      <w:rFonts w:hint="default" w:ascii="Times New Roman" w:hAnsi="Times New Roman" w:eastAsia="宋体" w:cs="Times New Roman"/>
                      <w:b w:val="0"/>
                      <w:bCs w:val="0"/>
                      <w:spacing w:val="0"/>
                      <w:kern w:val="2"/>
                      <w:position w:val="0"/>
                      <w:sz w:val="21"/>
                      <w:szCs w:val="21"/>
                      <w:lang w:val="en-US" w:bidi="ar-SA"/>
                    </w:rPr>
                    <w:t>）</w:t>
                  </w:r>
                </w:p>
              </w:tc>
              <w:tc>
                <w:tcPr>
                  <w:tcW w:w="490" w:type="pct"/>
                  <w:tcBorders>
                    <w:tl2br w:val="nil"/>
                    <w:tr2bl w:val="nil"/>
                  </w:tcBorders>
                  <w:noWrap w:val="0"/>
                  <w:vAlign w:val="center"/>
                </w:tcPr>
                <w:p w14:paraId="0A276777">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占标率%</w:t>
                  </w:r>
                </w:p>
              </w:tc>
              <w:tc>
                <w:tcPr>
                  <w:tcW w:w="453" w:type="pct"/>
                  <w:tcBorders>
                    <w:tl2br w:val="nil"/>
                    <w:tr2bl w:val="nil"/>
                  </w:tcBorders>
                  <w:noWrap w:val="0"/>
                  <w:vAlign w:val="center"/>
                </w:tcPr>
                <w:p w14:paraId="3C2EBCD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达标情况</w:t>
                  </w:r>
                </w:p>
              </w:tc>
            </w:tr>
            <w:tr w14:paraId="5B469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restart"/>
                  <w:tcBorders>
                    <w:tl2br w:val="nil"/>
                    <w:tr2bl w:val="nil"/>
                  </w:tcBorders>
                  <w:noWrap w:val="0"/>
                  <w:vAlign w:val="center"/>
                </w:tcPr>
                <w:p w14:paraId="48047C39">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SO</w:t>
                  </w:r>
                  <w:r>
                    <w:rPr>
                      <w:rFonts w:hint="eastAsia" w:ascii="Times New Roman" w:hAnsi="Times New Roman" w:eastAsia="宋体" w:cs="Times New Roman"/>
                      <w:b w:val="0"/>
                      <w:bCs w:val="0"/>
                      <w:spacing w:val="0"/>
                      <w:kern w:val="2"/>
                      <w:position w:val="0"/>
                      <w:sz w:val="21"/>
                      <w:szCs w:val="21"/>
                      <w:vertAlign w:val="subscript"/>
                      <w:lang w:val="en-US" w:bidi="ar-SA"/>
                    </w:rPr>
                    <w:t>2</w:t>
                  </w:r>
                </w:p>
              </w:tc>
              <w:tc>
                <w:tcPr>
                  <w:tcW w:w="1473" w:type="pct"/>
                  <w:tcBorders>
                    <w:tl2br w:val="nil"/>
                    <w:tr2bl w:val="nil"/>
                  </w:tcBorders>
                  <w:noWrap w:val="0"/>
                  <w:vAlign w:val="center"/>
                </w:tcPr>
                <w:p w14:paraId="6F508989">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年平均</w:t>
                  </w:r>
                </w:p>
              </w:tc>
              <w:tc>
                <w:tcPr>
                  <w:tcW w:w="1285" w:type="dxa"/>
                  <w:tcBorders>
                    <w:tl2br w:val="nil"/>
                    <w:tr2bl w:val="nil"/>
                  </w:tcBorders>
                  <w:noWrap w:val="0"/>
                  <w:vAlign w:val="center"/>
                </w:tcPr>
                <w:p w14:paraId="0106DC28">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2</w:t>
                  </w:r>
                </w:p>
              </w:tc>
              <w:tc>
                <w:tcPr>
                  <w:tcW w:w="1064" w:type="pct"/>
                  <w:tcBorders>
                    <w:tl2br w:val="nil"/>
                    <w:tr2bl w:val="nil"/>
                  </w:tcBorders>
                  <w:noWrap w:val="0"/>
                  <w:vAlign w:val="center"/>
                </w:tcPr>
                <w:p w14:paraId="5D63F573">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60</w:t>
                  </w:r>
                </w:p>
              </w:tc>
              <w:tc>
                <w:tcPr>
                  <w:tcW w:w="820" w:type="dxa"/>
                  <w:tcBorders>
                    <w:tl2br w:val="nil"/>
                    <w:tr2bl w:val="nil"/>
                  </w:tcBorders>
                  <w:noWrap w:val="0"/>
                  <w:vAlign w:val="center"/>
                </w:tcPr>
                <w:p w14:paraId="46EC5CF8">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3.3</w:t>
                  </w:r>
                </w:p>
              </w:tc>
              <w:tc>
                <w:tcPr>
                  <w:tcW w:w="758" w:type="dxa"/>
                  <w:tcBorders>
                    <w:tl2br w:val="nil"/>
                    <w:tr2bl w:val="nil"/>
                  </w:tcBorders>
                  <w:noWrap w:val="0"/>
                  <w:vAlign w:val="center"/>
                </w:tcPr>
                <w:p w14:paraId="56381FC1">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0A589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14:paraId="41BFB6D4">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p>
              </w:tc>
              <w:tc>
                <w:tcPr>
                  <w:tcW w:w="1473" w:type="pct"/>
                  <w:tcBorders>
                    <w:tl2br w:val="nil"/>
                    <w:tr2bl w:val="nil"/>
                  </w:tcBorders>
                  <w:noWrap w:val="0"/>
                  <w:vAlign w:val="center"/>
                </w:tcPr>
                <w:p w14:paraId="0275CBC4">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24h平均第98百分位数</w:t>
                  </w:r>
                </w:p>
              </w:tc>
              <w:tc>
                <w:tcPr>
                  <w:tcW w:w="1285" w:type="dxa"/>
                  <w:tcBorders>
                    <w:tl2br w:val="nil"/>
                    <w:tr2bl w:val="nil"/>
                  </w:tcBorders>
                  <w:noWrap w:val="0"/>
                  <w:vAlign w:val="center"/>
                </w:tcPr>
                <w:p w14:paraId="3BAF0B33">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8</w:t>
                  </w:r>
                </w:p>
              </w:tc>
              <w:tc>
                <w:tcPr>
                  <w:tcW w:w="1064" w:type="pct"/>
                  <w:tcBorders>
                    <w:tl2br w:val="nil"/>
                    <w:tr2bl w:val="nil"/>
                  </w:tcBorders>
                  <w:noWrap w:val="0"/>
                  <w:vAlign w:val="center"/>
                </w:tcPr>
                <w:p w14:paraId="46216A12">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150</w:t>
                  </w:r>
                </w:p>
              </w:tc>
              <w:tc>
                <w:tcPr>
                  <w:tcW w:w="820" w:type="dxa"/>
                  <w:tcBorders>
                    <w:tl2br w:val="nil"/>
                    <w:tr2bl w:val="nil"/>
                  </w:tcBorders>
                  <w:noWrap w:val="0"/>
                  <w:vAlign w:val="center"/>
                </w:tcPr>
                <w:p w14:paraId="723F6A93">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5.3</w:t>
                  </w:r>
                </w:p>
              </w:tc>
              <w:tc>
                <w:tcPr>
                  <w:tcW w:w="758" w:type="dxa"/>
                  <w:tcBorders>
                    <w:tl2br w:val="nil"/>
                    <w:tr2bl w:val="nil"/>
                  </w:tcBorders>
                  <w:noWrap w:val="0"/>
                  <w:vAlign w:val="center"/>
                </w:tcPr>
                <w:p w14:paraId="4EDCB78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4B174D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restart"/>
                  <w:tcBorders>
                    <w:tl2br w:val="nil"/>
                    <w:tr2bl w:val="nil"/>
                  </w:tcBorders>
                  <w:noWrap w:val="0"/>
                  <w:vAlign w:val="center"/>
                </w:tcPr>
                <w:p w14:paraId="4671AA89">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NO</w:t>
                  </w:r>
                  <w:r>
                    <w:rPr>
                      <w:rFonts w:hint="eastAsia" w:ascii="Times New Roman" w:hAnsi="Times New Roman" w:eastAsia="宋体" w:cs="Times New Roman"/>
                      <w:b w:val="0"/>
                      <w:bCs w:val="0"/>
                      <w:spacing w:val="0"/>
                      <w:kern w:val="2"/>
                      <w:position w:val="0"/>
                      <w:sz w:val="21"/>
                      <w:szCs w:val="21"/>
                      <w:vertAlign w:val="subscript"/>
                      <w:lang w:val="en-US" w:bidi="ar-SA"/>
                    </w:rPr>
                    <w:t>2</w:t>
                  </w:r>
                </w:p>
              </w:tc>
              <w:tc>
                <w:tcPr>
                  <w:tcW w:w="1473" w:type="pct"/>
                  <w:tcBorders>
                    <w:tl2br w:val="nil"/>
                    <w:tr2bl w:val="nil"/>
                  </w:tcBorders>
                  <w:noWrap w:val="0"/>
                  <w:vAlign w:val="center"/>
                </w:tcPr>
                <w:p w14:paraId="6DE90A80">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年平均</w:t>
                  </w:r>
                </w:p>
              </w:tc>
              <w:tc>
                <w:tcPr>
                  <w:tcW w:w="1285" w:type="dxa"/>
                  <w:tcBorders>
                    <w:tl2br w:val="nil"/>
                    <w:tr2bl w:val="nil"/>
                  </w:tcBorders>
                  <w:noWrap w:val="0"/>
                  <w:vAlign w:val="center"/>
                </w:tcPr>
                <w:p w14:paraId="581A17C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18</w:t>
                  </w:r>
                </w:p>
              </w:tc>
              <w:tc>
                <w:tcPr>
                  <w:tcW w:w="1064" w:type="pct"/>
                  <w:tcBorders>
                    <w:tl2br w:val="nil"/>
                    <w:tr2bl w:val="nil"/>
                  </w:tcBorders>
                  <w:noWrap w:val="0"/>
                  <w:vAlign w:val="center"/>
                </w:tcPr>
                <w:p w14:paraId="0B7F4ECF">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40</w:t>
                  </w:r>
                </w:p>
              </w:tc>
              <w:tc>
                <w:tcPr>
                  <w:tcW w:w="820" w:type="dxa"/>
                  <w:tcBorders>
                    <w:tl2br w:val="nil"/>
                    <w:tr2bl w:val="nil"/>
                  </w:tcBorders>
                  <w:noWrap w:val="0"/>
                  <w:vAlign w:val="center"/>
                </w:tcPr>
                <w:p w14:paraId="4518F1EC">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45</w:t>
                  </w:r>
                </w:p>
              </w:tc>
              <w:tc>
                <w:tcPr>
                  <w:tcW w:w="758" w:type="dxa"/>
                  <w:tcBorders>
                    <w:tl2br w:val="nil"/>
                    <w:tr2bl w:val="nil"/>
                  </w:tcBorders>
                  <w:noWrap w:val="0"/>
                  <w:vAlign w:val="center"/>
                </w:tcPr>
                <w:p w14:paraId="3A2164E8">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0B7F95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14:paraId="76CE8FC0">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p>
              </w:tc>
              <w:tc>
                <w:tcPr>
                  <w:tcW w:w="1473" w:type="pct"/>
                  <w:tcBorders>
                    <w:tl2br w:val="nil"/>
                    <w:tr2bl w:val="nil"/>
                  </w:tcBorders>
                  <w:noWrap w:val="0"/>
                  <w:vAlign w:val="center"/>
                </w:tcPr>
                <w:p w14:paraId="7F844A07">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24h平均第98百分位数</w:t>
                  </w:r>
                </w:p>
              </w:tc>
              <w:tc>
                <w:tcPr>
                  <w:tcW w:w="1285" w:type="dxa"/>
                  <w:tcBorders>
                    <w:tl2br w:val="nil"/>
                    <w:tr2bl w:val="nil"/>
                  </w:tcBorders>
                  <w:noWrap w:val="0"/>
                  <w:vAlign w:val="center"/>
                </w:tcPr>
                <w:p w14:paraId="6D86622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46</w:t>
                  </w:r>
                </w:p>
              </w:tc>
              <w:tc>
                <w:tcPr>
                  <w:tcW w:w="1064" w:type="pct"/>
                  <w:tcBorders>
                    <w:tl2br w:val="nil"/>
                    <w:tr2bl w:val="nil"/>
                  </w:tcBorders>
                  <w:noWrap w:val="0"/>
                  <w:vAlign w:val="center"/>
                </w:tcPr>
                <w:p w14:paraId="26E2CF0F">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80</w:t>
                  </w:r>
                </w:p>
              </w:tc>
              <w:tc>
                <w:tcPr>
                  <w:tcW w:w="820" w:type="dxa"/>
                  <w:tcBorders>
                    <w:tl2br w:val="nil"/>
                    <w:tr2bl w:val="nil"/>
                  </w:tcBorders>
                  <w:noWrap w:val="0"/>
                  <w:vAlign w:val="center"/>
                </w:tcPr>
                <w:p w14:paraId="00AE59B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57.5</w:t>
                  </w:r>
                </w:p>
              </w:tc>
              <w:tc>
                <w:tcPr>
                  <w:tcW w:w="758" w:type="dxa"/>
                  <w:tcBorders>
                    <w:tl2br w:val="nil"/>
                    <w:tr2bl w:val="nil"/>
                  </w:tcBorders>
                  <w:noWrap w:val="0"/>
                  <w:vAlign w:val="center"/>
                </w:tcPr>
                <w:p w14:paraId="5738F33C">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23454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14:paraId="14A15519">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CO</w:t>
                  </w:r>
                  <w:r>
                    <w:rPr>
                      <w:rFonts w:hint="eastAsia" w:cs="Times New Roman"/>
                      <w:b w:val="0"/>
                      <w:bCs w:val="0"/>
                      <w:spacing w:val="0"/>
                      <w:kern w:val="2"/>
                      <w:position w:val="0"/>
                      <w:sz w:val="21"/>
                      <w:szCs w:val="21"/>
                      <w:lang w:val="en-US" w:eastAsia="zh-CN" w:bidi="ar-SA"/>
                    </w:rPr>
                    <w:t>(</w:t>
                  </w:r>
                  <w:r>
                    <w:rPr>
                      <w:rFonts w:hint="eastAsia" w:ascii="Times New Roman" w:hAnsi="Times New Roman" w:eastAsia="宋体" w:cs="Times New Roman"/>
                      <w:b w:val="0"/>
                      <w:bCs w:val="0"/>
                      <w:spacing w:val="0"/>
                      <w:kern w:val="2"/>
                      <w:position w:val="0"/>
                      <w:sz w:val="21"/>
                      <w:szCs w:val="21"/>
                      <w:lang w:val="en-US" w:bidi="ar-SA"/>
                    </w:rPr>
                    <w:t>mg/m</w:t>
                  </w:r>
                  <w:r>
                    <w:rPr>
                      <w:rFonts w:hint="eastAsia" w:ascii="Times New Roman" w:hAnsi="Times New Roman" w:eastAsia="宋体" w:cs="Times New Roman"/>
                      <w:b w:val="0"/>
                      <w:bCs w:val="0"/>
                      <w:spacing w:val="0"/>
                      <w:kern w:val="2"/>
                      <w:position w:val="0"/>
                      <w:sz w:val="21"/>
                      <w:szCs w:val="21"/>
                      <w:vertAlign w:val="superscript"/>
                      <w:lang w:val="en-US" w:bidi="ar-SA"/>
                    </w:rPr>
                    <w:t>3</w:t>
                  </w:r>
                  <w:r>
                    <w:rPr>
                      <w:rFonts w:hint="eastAsia" w:cs="Times New Roman"/>
                      <w:b w:val="0"/>
                      <w:bCs w:val="0"/>
                      <w:spacing w:val="0"/>
                      <w:kern w:val="2"/>
                      <w:position w:val="0"/>
                      <w:sz w:val="21"/>
                      <w:szCs w:val="21"/>
                      <w:vertAlign w:val="superscript"/>
                      <w:lang w:val="en-US" w:eastAsia="zh-CN" w:bidi="ar-SA"/>
                    </w:rPr>
                    <w:t>)</w:t>
                  </w:r>
                </w:p>
              </w:tc>
              <w:tc>
                <w:tcPr>
                  <w:tcW w:w="1473" w:type="pct"/>
                  <w:tcBorders>
                    <w:tl2br w:val="nil"/>
                    <w:tr2bl w:val="nil"/>
                  </w:tcBorders>
                  <w:noWrap w:val="0"/>
                  <w:vAlign w:val="center"/>
                </w:tcPr>
                <w:p w14:paraId="262BB4BD">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24h平均第95百分位数</w:t>
                  </w:r>
                </w:p>
              </w:tc>
              <w:tc>
                <w:tcPr>
                  <w:tcW w:w="1285" w:type="dxa"/>
                  <w:tcBorders>
                    <w:tl2br w:val="nil"/>
                    <w:tr2bl w:val="nil"/>
                  </w:tcBorders>
                  <w:noWrap w:val="0"/>
                  <w:vAlign w:val="center"/>
                </w:tcPr>
                <w:p w14:paraId="670615E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1.18</w:t>
                  </w:r>
                </w:p>
              </w:tc>
              <w:tc>
                <w:tcPr>
                  <w:tcW w:w="1064" w:type="pct"/>
                  <w:tcBorders>
                    <w:tl2br w:val="nil"/>
                    <w:tr2bl w:val="nil"/>
                  </w:tcBorders>
                  <w:noWrap w:val="0"/>
                  <w:vAlign w:val="center"/>
                </w:tcPr>
                <w:p w14:paraId="1101292F">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4</w:t>
                  </w:r>
                </w:p>
              </w:tc>
              <w:tc>
                <w:tcPr>
                  <w:tcW w:w="820" w:type="dxa"/>
                  <w:tcBorders>
                    <w:tl2br w:val="nil"/>
                    <w:tr2bl w:val="nil"/>
                  </w:tcBorders>
                  <w:noWrap w:val="0"/>
                  <w:vAlign w:val="center"/>
                </w:tcPr>
                <w:p w14:paraId="0A459D71">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29.5</w:t>
                  </w:r>
                </w:p>
              </w:tc>
              <w:tc>
                <w:tcPr>
                  <w:tcW w:w="758" w:type="dxa"/>
                  <w:tcBorders>
                    <w:tl2br w:val="nil"/>
                    <w:tr2bl w:val="nil"/>
                  </w:tcBorders>
                  <w:noWrap w:val="0"/>
                  <w:vAlign w:val="center"/>
                </w:tcPr>
                <w:p w14:paraId="54173957">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2FDF7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tcBorders>
                    <w:tl2br w:val="nil"/>
                    <w:tr2bl w:val="nil"/>
                  </w:tcBorders>
                  <w:noWrap w:val="0"/>
                  <w:vAlign w:val="center"/>
                </w:tcPr>
                <w:p w14:paraId="4ED0853D">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O</w:t>
                  </w:r>
                  <w:r>
                    <w:rPr>
                      <w:rFonts w:hint="eastAsia" w:ascii="Times New Roman" w:hAnsi="Times New Roman" w:eastAsia="宋体" w:cs="Times New Roman"/>
                      <w:b w:val="0"/>
                      <w:bCs w:val="0"/>
                      <w:spacing w:val="0"/>
                      <w:kern w:val="2"/>
                      <w:position w:val="0"/>
                      <w:sz w:val="21"/>
                      <w:szCs w:val="21"/>
                      <w:vertAlign w:val="subscript"/>
                      <w:lang w:val="en-US" w:bidi="ar-SA"/>
                    </w:rPr>
                    <w:t>3</w:t>
                  </w:r>
                </w:p>
              </w:tc>
              <w:tc>
                <w:tcPr>
                  <w:tcW w:w="1473" w:type="pct"/>
                  <w:tcBorders>
                    <w:tl2br w:val="nil"/>
                    <w:tr2bl w:val="nil"/>
                  </w:tcBorders>
                  <w:noWrap w:val="0"/>
                  <w:vAlign w:val="center"/>
                </w:tcPr>
                <w:p w14:paraId="22AE7E8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default" w:ascii="Times New Roman" w:hAnsi="Times New Roman" w:eastAsia="宋体" w:cs="Times New Roman"/>
                      <w:b w:val="0"/>
                      <w:bCs w:val="0"/>
                      <w:spacing w:val="0"/>
                      <w:kern w:val="2"/>
                      <w:position w:val="0"/>
                      <w:sz w:val="21"/>
                      <w:szCs w:val="21"/>
                      <w:lang w:val="en-US" w:eastAsia="zh-CN" w:bidi="ar-SA"/>
                    </w:rPr>
                    <w:t>最大8小时滑动平均值的第90百分位数</w:t>
                  </w:r>
                </w:p>
              </w:tc>
              <w:tc>
                <w:tcPr>
                  <w:tcW w:w="1285" w:type="dxa"/>
                  <w:tcBorders>
                    <w:tl2br w:val="nil"/>
                    <w:tr2bl w:val="nil"/>
                  </w:tcBorders>
                  <w:noWrap w:val="0"/>
                  <w:vAlign w:val="center"/>
                </w:tcPr>
                <w:p w14:paraId="7D40CE68">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124</w:t>
                  </w:r>
                </w:p>
              </w:tc>
              <w:tc>
                <w:tcPr>
                  <w:tcW w:w="1064" w:type="pct"/>
                  <w:tcBorders>
                    <w:tl2br w:val="nil"/>
                    <w:tr2bl w:val="nil"/>
                  </w:tcBorders>
                  <w:noWrap w:val="0"/>
                  <w:vAlign w:val="center"/>
                </w:tcPr>
                <w:p w14:paraId="2A141B5C">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160</w:t>
                  </w:r>
                </w:p>
              </w:tc>
              <w:tc>
                <w:tcPr>
                  <w:tcW w:w="820" w:type="dxa"/>
                  <w:tcBorders>
                    <w:tl2br w:val="nil"/>
                    <w:tr2bl w:val="nil"/>
                  </w:tcBorders>
                  <w:noWrap w:val="0"/>
                  <w:vAlign w:val="center"/>
                </w:tcPr>
                <w:p w14:paraId="29A0558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77.5</w:t>
                  </w:r>
                </w:p>
              </w:tc>
              <w:tc>
                <w:tcPr>
                  <w:tcW w:w="758" w:type="dxa"/>
                  <w:tcBorders>
                    <w:tl2br w:val="nil"/>
                    <w:tr2bl w:val="nil"/>
                  </w:tcBorders>
                  <w:noWrap w:val="0"/>
                  <w:vAlign w:val="center"/>
                </w:tcPr>
                <w:p w14:paraId="1E1625B2">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7EC480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50" w:type="pct"/>
                  <w:vMerge w:val="restart"/>
                  <w:tcBorders>
                    <w:tl2br w:val="nil"/>
                    <w:tr2bl w:val="nil"/>
                  </w:tcBorders>
                  <w:noWrap w:val="0"/>
                  <w:vAlign w:val="center"/>
                </w:tcPr>
                <w:p w14:paraId="50ACF26E">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PM</w:t>
                  </w:r>
                  <w:r>
                    <w:rPr>
                      <w:rFonts w:hint="eastAsia" w:ascii="Times New Roman" w:hAnsi="Times New Roman" w:eastAsia="宋体" w:cs="Times New Roman"/>
                      <w:b w:val="0"/>
                      <w:bCs w:val="0"/>
                      <w:spacing w:val="0"/>
                      <w:kern w:val="2"/>
                      <w:position w:val="0"/>
                      <w:sz w:val="21"/>
                      <w:szCs w:val="21"/>
                      <w:vertAlign w:val="subscript"/>
                      <w:lang w:val="en-US" w:bidi="ar-SA"/>
                    </w:rPr>
                    <w:t>10</w:t>
                  </w:r>
                </w:p>
              </w:tc>
              <w:tc>
                <w:tcPr>
                  <w:tcW w:w="1473" w:type="pct"/>
                  <w:tcBorders>
                    <w:tl2br w:val="nil"/>
                    <w:tr2bl w:val="nil"/>
                  </w:tcBorders>
                  <w:noWrap w:val="0"/>
                  <w:vAlign w:val="center"/>
                </w:tcPr>
                <w:p w14:paraId="084EF76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年平均</w:t>
                  </w:r>
                </w:p>
              </w:tc>
              <w:tc>
                <w:tcPr>
                  <w:tcW w:w="1285" w:type="dxa"/>
                  <w:tcBorders>
                    <w:tl2br w:val="nil"/>
                    <w:tr2bl w:val="nil"/>
                  </w:tcBorders>
                  <w:noWrap w:val="0"/>
                  <w:vAlign w:val="center"/>
                </w:tcPr>
                <w:p w14:paraId="3C144E0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104</w:t>
                  </w:r>
                </w:p>
              </w:tc>
              <w:tc>
                <w:tcPr>
                  <w:tcW w:w="1064" w:type="pct"/>
                  <w:tcBorders>
                    <w:tl2br w:val="nil"/>
                    <w:tr2bl w:val="nil"/>
                  </w:tcBorders>
                  <w:noWrap w:val="0"/>
                  <w:vAlign w:val="center"/>
                </w:tcPr>
                <w:p w14:paraId="59E269F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70</w:t>
                  </w:r>
                </w:p>
              </w:tc>
              <w:tc>
                <w:tcPr>
                  <w:tcW w:w="820" w:type="dxa"/>
                  <w:tcBorders>
                    <w:tl2br w:val="nil"/>
                    <w:tr2bl w:val="nil"/>
                  </w:tcBorders>
                  <w:noWrap w:val="0"/>
                  <w:vAlign w:val="center"/>
                </w:tcPr>
                <w:p w14:paraId="55EAA2A3">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148.6</w:t>
                  </w:r>
                </w:p>
              </w:tc>
              <w:tc>
                <w:tcPr>
                  <w:tcW w:w="758" w:type="dxa"/>
                  <w:tcBorders>
                    <w:tl2br w:val="nil"/>
                    <w:tr2bl w:val="nil"/>
                  </w:tcBorders>
                  <w:noWrap w:val="0"/>
                  <w:vAlign w:val="center"/>
                </w:tcPr>
                <w:p w14:paraId="3C9A0EA8">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不达标</w:t>
                  </w:r>
                </w:p>
              </w:tc>
            </w:tr>
            <w:tr w14:paraId="47859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14:paraId="063F5621">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p>
              </w:tc>
              <w:tc>
                <w:tcPr>
                  <w:tcW w:w="1473" w:type="pct"/>
                  <w:tcBorders>
                    <w:tl2br w:val="nil"/>
                    <w:tr2bl w:val="nil"/>
                  </w:tcBorders>
                  <w:noWrap w:val="0"/>
                  <w:vAlign w:val="center"/>
                </w:tcPr>
                <w:p w14:paraId="12DF7BA3">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24h平均第95百分位数</w:t>
                  </w:r>
                </w:p>
              </w:tc>
              <w:tc>
                <w:tcPr>
                  <w:tcW w:w="1285" w:type="dxa"/>
                  <w:tcBorders>
                    <w:tl2br w:val="nil"/>
                    <w:tr2bl w:val="nil"/>
                  </w:tcBorders>
                  <w:noWrap w:val="0"/>
                  <w:vAlign w:val="center"/>
                </w:tcPr>
                <w:p w14:paraId="16EE0839">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454</w:t>
                  </w:r>
                </w:p>
              </w:tc>
              <w:tc>
                <w:tcPr>
                  <w:tcW w:w="1064" w:type="pct"/>
                  <w:tcBorders>
                    <w:tl2br w:val="nil"/>
                    <w:tr2bl w:val="nil"/>
                  </w:tcBorders>
                  <w:noWrap w:val="0"/>
                  <w:vAlign w:val="center"/>
                </w:tcPr>
                <w:p w14:paraId="16516E1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150</w:t>
                  </w:r>
                </w:p>
              </w:tc>
              <w:tc>
                <w:tcPr>
                  <w:tcW w:w="820" w:type="dxa"/>
                  <w:tcBorders>
                    <w:tl2br w:val="nil"/>
                    <w:tr2bl w:val="nil"/>
                  </w:tcBorders>
                  <w:noWrap w:val="0"/>
                  <w:vAlign w:val="center"/>
                </w:tcPr>
                <w:p w14:paraId="0655EB11">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302.7</w:t>
                  </w:r>
                </w:p>
              </w:tc>
              <w:tc>
                <w:tcPr>
                  <w:tcW w:w="758" w:type="dxa"/>
                  <w:tcBorders>
                    <w:tl2br w:val="nil"/>
                    <w:tr2bl w:val="nil"/>
                  </w:tcBorders>
                  <w:noWrap w:val="0"/>
                  <w:vAlign w:val="center"/>
                </w:tcPr>
                <w:p w14:paraId="69F1B4ED">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不达标</w:t>
                  </w:r>
                </w:p>
              </w:tc>
            </w:tr>
            <w:tr w14:paraId="518C81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restart"/>
                  <w:tcBorders>
                    <w:tl2br w:val="nil"/>
                    <w:tr2bl w:val="nil"/>
                  </w:tcBorders>
                  <w:noWrap w:val="0"/>
                  <w:vAlign w:val="center"/>
                </w:tcPr>
                <w:p w14:paraId="023FBAA5">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bidi="ar-SA"/>
                    </w:rPr>
                    <w:t>PM</w:t>
                  </w:r>
                  <w:r>
                    <w:rPr>
                      <w:rFonts w:hint="eastAsia" w:ascii="Times New Roman" w:hAnsi="Times New Roman" w:eastAsia="宋体" w:cs="Times New Roman"/>
                      <w:b w:val="0"/>
                      <w:bCs w:val="0"/>
                      <w:spacing w:val="0"/>
                      <w:kern w:val="2"/>
                      <w:position w:val="0"/>
                      <w:sz w:val="21"/>
                      <w:szCs w:val="21"/>
                      <w:vertAlign w:val="subscript"/>
                      <w:lang w:val="en-US" w:bidi="ar-SA"/>
                    </w:rPr>
                    <w:t>2.5</w:t>
                  </w:r>
                </w:p>
              </w:tc>
              <w:tc>
                <w:tcPr>
                  <w:tcW w:w="1473" w:type="pct"/>
                  <w:tcBorders>
                    <w:tl2br w:val="nil"/>
                    <w:tr2bl w:val="nil"/>
                  </w:tcBorders>
                  <w:noWrap w:val="0"/>
                  <w:vAlign w:val="center"/>
                </w:tcPr>
                <w:p w14:paraId="13CDAB2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年平均</w:t>
                  </w:r>
                </w:p>
              </w:tc>
              <w:tc>
                <w:tcPr>
                  <w:tcW w:w="1285" w:type="dxa"/>
                  <w:tcBorders>
                    <w:tl2br w:val="nil"/>
                    <w:tr2bl w:val="nil"/>
                  </w:tcBorders>
                  <w:noWrap w:val="0"/>
                  <w:vAlign w:val="center"/>
                </w:tcPr>
                <w:p w14:paraId="169D1F4D">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33</w:t>
                  </w:r>
                </w:p>
              </w:tc>
              <w:tc>
                <w:tcPr>
                  <w:tcW w:w="1064" w:type="pct"/>
                  <w:tcBorders>
                    <w:tl2br w:val="nil"/>
                    <w:tr2bl w:val="nil"/>
                  </w:tcBorders>
                  <w:noWrap w:val="0"/>
                  <w:vAlign w:val="center"/>
                </w:tcPr>
                <w:p w14:paraId="5748F9A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35</w:t>
                  </w:r>
                </w:p>
              </w:tc>
              <w:tc>
                <w:tcPr>
                  <w:tcW w:w="820" w:type="dxa"/>
                  <w:tcBorders>
                    <w:tl2br w:val="nil"/>
                    <w:tr2bl w:val="nil"/>
                  </w:tcBorders>
                  <w:noWrap w:val="0"/>
                  <w:vAlign w:val="center"/>
                </w:tcPr>
                <w:p w14:paraId="41833FF2">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94.3</w:t>
                  </w:r>
                </w:p>
              </w:tc>
              <w:tc>
                <w:tcPr>
                  <w:tcW w:w="758" w:type="dxa"/>
                  <w:tcBorders>
                    <w:tl2br w:val="nil"/>
                    <w:tr2bl w:val="nil"/>
                  </w:tcBorders>
                  <w:noWrap w:val="0"/>
                  <w:vAlign w:val="center"/>
                </w:tcPr>
                <w:p w14:paraId="0CF38A8E">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达标</w:t>
                  </w:r>
                </w:p>
              </w:tc>
            </w:tr>
            <w:tr w14:paraId="41328C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0" w:type="pct"/>
                  <w:vMerge w:val="continue"/>
                  <w:tcBorders>
                    <w:tl2br w:val="nil"/>
                    <w:tr2bl w:val="nil"/>
                  </w:tcBorders>
                  <w:noWrap w:val="0"/>
                  <w:vAlign w:val="center"/>
                </w:tcPr>
                <w:p w14:paraId="4365E85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bidi="ar-SA"/>
                    </w:rPr>
                  </w:pPr>
                </w:p>
              </w:tc>
              <w:tc>
                <w:tcPr>
                  <w:tcW w:w="1473" w:type="pct"/>
                  <w:tcBorders>
                    <w:tl2br w:val="nil"/>
                    <w:tr2bl w:val="nil"/>
                  </w:tcBorders>
                  <w:noWrap w:val="0"/>
                  <w:vAlign w:val="center"/>
                </w:tcPr>
                <w:p w14:paraId="098E8C87">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lang w:val="en-US" w:eastAsia="zh-CN" w:bidi="ar-SA"/>
                    </w:rPr>
                  </w:pPr>
                  <w:r>
                    <w:rPr>
                      <w:rFonts w:hint="eastAsia" w:ascii="Times New Roman" w:hAnsi="Times New Roman" w:eastAsia="宋体" w:cs="Times New Roman"/>
                      <w:b w:val="0"/>
                      <w:bCs w:val="0"/>
                      <w:spacing w:val="0"/>
                      <w:kern w:val="2"/>
                      <w:position w:val="0"/>
                      <w:sz w:val="21"/>
                      <w:szCs w:val="21"/>
                      <w:lang w:val="en-US" w:eastAsia="zh-CN" w:bidi="ar-SA"/>
                    </w:rPr>
                    <w:t>24h平均第95百分位数</w:t>
                  </w:r>
                </w:p>
              </w:tc>
              <w:tc>
                <w:tcPr>
                  <w:tcW w:w="1285" w:type="dxa"/>
                  <w:tcBorders>
                    <w:tl2br w:val="nil"/>
                    <w:tr2bl w:val="nil"/>
                  </w:tcBorders>
                  <w:noWrap w:val="0"/>
                  <w:vAlign w:val="center"/>
                </w:tcPr>
                <w:p w14:paraId="6CB5A186">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128</w:t>
                  </w:r>
                </w:p>
              </w:tc>
              <w:tc>
                <w:tcPr>
                  <w:tcW w:w="1064" w:type="pct"/>
                  <w:tcBorders>
                    <w:tl2br w:val="nil"/>
                    <w:tr2bl w:val="nil"/>
                  </w:tcBorders>
                  <w:noWrap w:val="0"/>
                  <w:vAlign w:val="center"/>
                </w:tcPr>
                <w:p w14:paraId="767240CC">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bidi="ar-SA"/>
                    </w:rPr>
                  </w:pPr>
                  <w:r>
                    <w:rPr>
                      <w:rFonts w:hint="eastAsia" w:ascii="Times New Roman" w:hAnsi="Times New Roman" w:eastAsia="宋体" w:cs="Times New Roman"/>
                      <w:b w:val="0"/>
                      <w:bCs w:val="0"/>
                      <w:spacing w:val="0"/>
                      <w:kern w:val="2"/>
                      <w:position w:val="0"/>
                      <w:sz w:val="21"/>
                      <w:szCs w:val="21"/>
                      <w:highlight w:val="none"/>
                      <w:lang w:val="en-US" w:bidi="ar-SA"/>
                    </w:rPr>
                    <w:t>75</w:t>
                  </w:r>
                </w:p>
              </w:tc>
              <w:tc>
                <w:tcPr>
                  <w:tcW w:w="820" w:type="dxa"/>
                  <w:tcBorders>
                    <w:tl2br w:val="nil"/>
                    <w:tr2bl w:val="nil"/>
                  </w:tcBorders>
                  <w:noWrap w:val="0"/>
                  <w:vAlign w:val="center"/>
                </w:tcPr>
                <w:p w14:paraId="5F843C9D">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pacing w:val="0"/>
                      <w:kern w:val="2"/>
                      <w:position w:val="0"/>
                      <w:sz w:val="21"/>
                      <w:szCs w:val="21"/>
                      <w:highlight w:val="none"/>
                      <w:lang w:val="en-US" w:eastAsia="zh-CN" w:bidi="ar-SA"/>
                    </w:rPr>
                  </w:pPr>
                  <w:r>
                    <w:rPr>
                      <w:rFonts w:hint="eastAsia" w:ascii="Times New Roman" w:hAnsi="Times New Roman" w:eastAsia="宋体" w:cs="Times New Roman"/>
                      <w:b w:val="0"/>
                      <w:bCs w:val="0"/>
                      <w:spacing w:val="0"/>
                      <w:kern w:val="2"/>
                      <w:position w:val="0"/>
                      <w:sz w:val="21"/>
                      <w:szCs w:val="21"/>
                      <w:highlight w:val="none"/>
                      <w:lang w:val="en-US" w:eastAsia="zh-CN" w:bidi="ar-SA"/>
                    </w:rPr>
                    <w:t>170.7</w:t>
                  </w:r>
                </w:p>
              </w:tc>
              <w:tc>
                <w:tcPr>
                  <w:tcW w:w="758" w:type="dxa"/>
                  <w:tcBorders>
                    <w:tl2br w:val="nil"/>
                    <w:tr2bl w:val="nil"/>
                  </w:tcBorders>
                  <w:noWrap w:val="0"/>
                  <w:vAlign w:val="center"/>
                </w:tcPr>
                <w:p w14:paraId="1041E0FA">
                  <w:pPr>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Times New Roman" w:hAnsi="Times New Roman" w:eastAsia="宋体" w:cs="Times New Roman"/>
                      <w:b w:val="0"/>
                      <w:bCs w:val="0"/>
                      <w:spacing w:val="0"/>
                      <w:kern w:val="2"/>
                      <w:position w:val="0"/>
                      <w:sz w:val="21"/>
                      <w:szCs w:val="21"/>
                      <w:lang w:val="en-US" w:bidi="ar-SA"/>
                    </w:rPr>
                  </w:pPr>
                  <w:r>
                    <w:rPr>
                      <w:rFonts w:hint="eastAsia" w:ascii="Times New Roman" w:hAnsi="Times New Roman" w:eastAsia="宋体" w:cs="Times New Roman"/>
                      <w:b w:val="0"/>
                      <w:bCs w:val="0"/>
                      <w:spacing w:val="0"/>
                      <w:kern w:val="2"/>
                      <w:position w:val="0"/>
                      <w:sz w:val="21"/>
                      <w:szCs w:val="21"/>
                      <w:lang w:val="en-US" w:eastAsia="zh-CN" w:bidi="ar-SA"/>
                    </w:rPr>
                    <w:t>不达标</w:t>
                  </w:r>
                </w:p>
              </w:tc>
            </w:tr>
          </w:tbl>
          <w:p w14:paraId="3C09B36F">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cente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202</w:t>
            </w:r>
            <w:r>
              <w:rPr>
                <w:rFonts w:hint="eastAsia" w:cs="Times New Roman"/>
                <w:color w:val="000000" w:themeColor="text1"/>
                <w:spacing w:val="0"/>
                <w:kern w:val="0"/>
                <w:position w:val="0"/>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年，</w:t>
            </w:r>
            <w:r>
              <w:rPr>
                <w:rFonts w:hint="eastAsia" w:cs="Times New Roman"/>
                <w:color w:val="000000" w:themeColor="text1"/>
                <w:spacing w:val="0"/>
                <w:kern w:val="0"/>
                <w:position w:val="0"/>
                <w:sz w:val="24"/>
                <w:szCs w:val="24"/>
                <w:lang w:val="en-US" w:eastAsia="zh-CN" w:bidi="ar-SA"/>
                <w14:textFill>
                  <w14:solidFill>
                    <w14:schemeClr w14:val="tx1"/>
                  </w14:solidFill>
                </w14:textFill>
              </w:rPr>
              <w:t>尉犁</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县空气质量监测总天数为36</w:t>
            </w:r>
            <w:r>
              <w:rPr>
                <w:rFonts w:hint="eastAsia" w:cs="Times New Roman"/>
                <w:color w:val="000000" w:themeColor="text1"/>
                <w:spacing w:val="0"/>
                <w:kern w:val="0"/>
                <w:position w:val="0"/>
                <w:sz w:val="24"/>
                <w:szCs w:val="24"/>
                <w:lang w:val="en-US" w:eastAsia="zh-CN" w:bidi="ar-SA"/>
                <w14:textFill>
                  <w14:solidFill>
                    <w14:schemeClr w14:val="tx1"/>
                  </w14:solidFill>
                </w14:textFill>
              </w:rPr>
              <w:t>6</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天，原因受沙尘天气影响，</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spacing w:val="0"/>
                <w:kern w:val="0"/>
                <w:position w:val="0"/>
                <w:sz w:val="24"/>
                <w:szCs w:val="24"/>
                <w:highlight w:val="none"/>
                <w:vertAlign w:val="subscript"/>
                <w:lang w:val="en-US" w:eastAsia="zh-CN" w:bidi="ar-SA"/>
                <w14:textFill>
                  <w14:solidFill>
                    <w14:schemeClr w14:val="tx1"/>
                  </w14:solidFill>
                </w14:textFill>
              </w:rPr>
              <w:t>10</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年平均</w:t>
            </w:r>
            <w:r>
              <w:rPr>
                <w:rFonts w:hint="eastAsia" w:cs="Times New Roman"/>
                <w:color w:val="000000" w:themeColor="text1"/>
                <w:spacing w:val="0"/>
                <w:kern w:val="0"/>
                <w:positio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24h平均第95百分位数浓度</w:t>
            </w:r>
            <w:r>
              <w:rPr>
                <w:rFonts w:hint="eastAsia" w:cs="Times New Roman"/>
                <w:color w:val="000000" w:themeColor="text1"/>
                <w:spacing w:val="0"/>
                <w:kern w:val="0"/>
                <w:position w:val="0"/>
                <w:sz w:val="24"/>
                <w:szCs w:val="24"/>
                <w:lang w:val="en-US" w:eastAsia="zh-CN" w:bidi="ar-SA"/>
                <w14:textFill>
                  <w14:solidFill>
                    <w14:schemeClr w14:val="tx1"/>
                  </w14:solidFill>
                </w14:textFill>
              </w:rPr>
              <w:t>及</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spacing w:val="0"/>
                <w:kern w:val="0"/>
                <w:position w:val="0"/>
                <w:sz w:val="24"/>
                <w:szCs w:val="24"/>
                <w:highlight w:val="none"/>
                <w:vertAlign w:val="subscript"/>
                <w:lang w:val="en-US" w:eastAsia="zh-CN" w:bidi="ar-SA"/>
                <w14:textFill>
                  <w14:solidFill>
                    <w14:schemeClr w14:val="tx1"/>
                  </w14:solidFill>
                </w14:textFill>
              </w:rPr>
              <w:t>2.5</w:t>
            </w:r>
            <w:r>
              <w:rPr>
                <w:rFonts w:hint="eastAsia"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的</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24h平均第95百分位数浓度超过《环境空气质量标准》（GB3095-2012）</w:t>
            </w:r>
            <w:r>
              <w:rPr>
                <w:rFonts w:hint="eastAsia" w:cs="Times New Roman"/>
                <w:color w:val="000000" w:themeColor="text1"/>
                <w:spacing w:val="0"/>
                <w:kern w:val="0"/>
                <w:position w:val="0"/>
                <w:sz w:val="24"/>
                <w:szCs w:val="24"/>
                <w:lang w:val="en-US" w:eastAsia="zh-CN" w:bidi="ar-SA"/>
                <w14:textFill>
                  <w14:solidFill>
                    <w14:schemeClr w14:val="tx1"/>
                  </w14:solidFill>
                </w14:textFill>
              </w:rPr>
              <w:t>及修改单中</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二级标准，SO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、NO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、CO、O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等其他监测指标均满足二级标准，因此判断本项目所在区域为不达标区。</w:t>
            </w:r>
          </w:p>
          <w:p w14:paraId="3319B94D">
            <w:pPr>
              <w:pStyle w:val="6"/>
              <w:suppressLineNumbers w:val="0"/>
              <w:adjustRightInd w:val="0"/>
              <w:snapToGrid w:val="0"/>
              <w:spacing w:before="0" w:beforeAutospacing="0" w:after="0" w:afterAutospacing="0"/>
              <w:ind w:left="0" w:right="0" w:firstLine="482" w:firstLineChars="200"/>
              <w:rPr>
                <w:rFonts w:hint="default"/>
                <w:color w:val="000000"/>
              </w:rPr>
            </w:pPr>
            <w:r>
              <w:rPr>
                <w:rFonts w:hint="eastAsia"/>
                <w:color w:val="000000"/>
              </w:rPr>
              <w:t>1.2</w:t>
            </w:r>
            <w:r>
              <w:rPr>
                <w:rFonts w:hint="default"/>
                <w:color w:val="000000"/>
              </w:rPr>
              <w:t>其他污染物质量现状</w:t>
            </w:r>
          </w:p>
          <w:p w14:paraId="7CC6B0CA">
            <w:pPr>
              <w:keepNext/>
              <w:keepLines w:val="0"/>
              <w:pageBreakBefore w:val="0"/>
              <w:widowControl w:val="0"/>
              <w:suppressLineNumbers w:val="0"/>
              <w:kinsoku/>
              <w:wordWrap/>
              <w:overflowPunct w:val="0"/>
              <w:topLinePunct w:val="0"/>
              <w:bidi w:val="0"/>
              <w:adjustRightInd w:val="0"/>
              <w:snapToGrid w:val="0"/>
              <w:spacing w:before="0" w:beforeAutospacing="0" w:after="0" w:afterAutospacing="0" w:line="360" w:lineRule="auto"/>
              <w:ind w:left="0" w:right="0" w:firstLine="482" w:firstLineChars="200"/>
              <w:jc w:val="both"/>
              <w:outlineLvl w:val="0"/>
              <w:rPr>
                <w:rFonts w:hint="default" w:ascii="Times New Roman" w:hAnsi="Times New Roman" w:eastAsia="宋体" w:cs="Times New Roman"/>
                <w:b/>
                <w:bCs/>
                <w:color w:val="000000"/>
                <w:kern w:val="44"/>
                <w:sz w:val="24"/>
                <w:szCs w:val="24"/>
                <w:highlight w:val="none"/>
                <w:lang w:val="en-US" w:eastAsia="zh-CN" w:bidi="ar-SA"/>
              </w:rPr>
            </w:pPr>
            <w:r>
              <w:rPr>
                <w:rFonts w:hint="default" w:ascii="Times New Roman" w:hAnsi="Times New Roman" w:eastAsia="宋体" w:cs="Times New Roman"/>
                <w:b/>
                <w:bCs/>
                <w:color w:val="000000"/>
                <w:kern w:val="44"/>
                <w:sz w:val="24"/>
                <w:szCs w:val="24"/>
                <w:highlight w:val="none"/>
                <w:lang w:val="en-US" w:eastAsia="zh-CN" w:bidi="ar-SA"/>
              </w:rPr>
              <w:t>1.2其他污染物环境现状调查</w:t>
            </w:r>
          </w:p>
          <w:p w14:paraId="7EC30F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highlight w:val="none"/>
                <w:lang w:val="en-US" w:eastAsia="zh-CN"/>
              </w:rPr>
            </w:pPr>
            <w:r>
              <w:rPr>
                <w:rFonts w:hint="default" w:ascii="Times New Roman" w:hAnsi="Times New Roman" w:eastAsia="宋体" w:cs="Times New Roman"/>
                <w:b w:val="0"/>
                <w:bCs w:val="0"/>
                <w:color w:val="000000"/>
                <w:sz w:val="24"/>
                <w:highlight w:val="none"/>
                <w:lang w:val="en-US" w:eastAsia="zh-CN"/>
              </w:rPr>
              <w:t>本次大气环境质量现状评价监测数据引用</w:t>
            </w:r>
            <w:r>
              <w:rPr>
                <w:rFonts w:hint="eastAsia" w:ascii="Times New Roman" w:hAnsi="Times New Roman" w:eastAsia="宋体" w:cs="Times New Roman"/>
                <w:b w:val="0"/>
                <w:bCs w:val="0"/>
                <w:color w:val="000000"/>
                <w:sz w:val="24"/>
                <w:highlight w:val="none"/>
                <w:lang w:val="en-US" w:eastAsia="zh-CN"/>
              </w:rPr>
              <w:t>新疆</w:t>
            </w:r>
            <w:r>
              <w:rPr>
                <w:rFonts w:hint="eastAsia" w:cs="Times New Roman"/>
                <w:b w:val="0"/>
                <w:bCs w:val="0"/>
                <w:color w:val="000000"/>
                <w:sz w:val="24"/>
                <w:highlight w:val="none"/>
                <w:lang w:val="en-US" w:eastAsia="zh-CN"/>
              </w:rPr>
              <w:t>中测测试有限责任公司</w:t>
            </w:r>
            <w:r>
              <w:rPr>
                <w:rFonts w:hint="default" w:ascii="Times New Roman" w:hAnsi="Times New Roman" w:eastAsia="宋体" w:cs="Times New Roman"/>
                <w:b w:val="0"/>
                <w:bCs w:val="0"/>
                <w:color w:val="000000"/>
                <w:sz w:val="24"/>
                <w:highlight w:val="none"/>
                <w:lang w:val="en-US" w:eastAsia="zh-CN"/>
              </w:rPr>
              <w:t>202</w:t>
            </w:r>
            <w:r>
              <w:rPr>
                <w:rFonts w:hint="eastAsia" w:cs="Times New Roman"/>
                <w:b w:val="0"/>
                <w:bCs w:val="0"/>
                <w:color w:val="000000"/>
                <w:sz w:val="24"/>
                <w:highlight w:val="none"/>
                <w:lang w:val="en-US" w:eastAsia="zh-CN"/>
              </w:rPr>
              <w:t>4</w:t>
            </w:r>
            <w:r>
              <w:rPr>
                <w:rFonts w:hint="default" w:ascii="Times New Roman" w:hAnsi="Times New Roman" w:eastAsia="宋体" w:cs="Times New Roman"/>
                <w:b w:val="0"/>
                <w:bCs w:val="0"/>
                <w:color w:val="000000"/>
                <w:sz w:val="24"/>
                <w:highlight w:val="none"/>
                <w:lang w:val="en-US" w:eastAsia="zh-CN"/>
              </w:rPr>
              <w:t>年</w:t>
            </w:r>
            <w:r>
              <w:rPr>
                <w:rFonts w:hint="eastAsia" w:ascii="Times New Roman" w:hAnsi="Times New Roman" w:eastAsia="宋体"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月</w:t>
            </w:r>
            <w:r>
              <w:rPr>
                <w:rFonts w:hint="eastAsia" w:ascii="Times New Roman" w:hAnsi="Times New Roman" w:eastAsia="宋体" w:cs="Times New Roman"/>
                <w:b w:val="0"/>
                <w:bCs w:val="0"/>
                <w:color w:val="000000"/>
                <w:sz w:val="24"/>
                <w:highlight w:val="none"/>
                <w:lang w:val="en-US" w:eastAsia="zh-CN"/>
              </w:rPr>
              <w:t>1</w:t>
            </w:r>
            <w:r>
              <w:rPr>
                <w:rFonts w:hint="eastAsia"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日~202</w:t>
            </w:r>
            <w:r>
              <w:rPr>
                <w:rFonts w:hint="eastAsia" w:cs="Times New Roman"/>
                <w:b w:val="0"/>
                <w:bCs w:val="0"/>
                <w:color w:val="000000"/>
                <w:sz w:val="24"/>
                <w:highlight w:val="none"/>
                <w:lang w:val="en-US" w:eastAsia="zh-CN"/>
              </w:rPr>
              <w:t>4</w:t>
            </w:r>
            <w:r>
              <w:rPr>
                <w:rFonts w:hint="default" w:ascii="Times New Roman" w:hAnsi="Times New Roman" w:eastAsia="宋体" w:cs="Times New Roman"/>
                <w:b w:val="0"/>
                <w:bCs w:val="0"/>
                <w:color w:val="000000"/>
                <w:sz w:val="24"/>
                <w:highlight w:val="none"/>
                <w:lang w:val="en-US" w:eastAsia="zh-CN"/>
              </w:rPr>
              <w:t>年</w:t>
            </w:r>
            <w:r>
              <w:rPr>
                <w:rFonts w:hint="eastAsia" w:ascii="Times New Roman" w:hAnsi="Times New Roman" w:eastAsia="宋体"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月</w:t>
            </w:r>
            <w:r>
              <w:rPr>
                <w:rFonts w:hint="eastAsia" w:ascii="Times New Roman" w:hAnsi="Times New Roman" w:eastAsia="宋体" w:cs="Times New Roman"/>
                <w:b w:val="0"/>
                <w:bCs w:val="0"/>
                <w:color w:val="000000"/>
                <w:sz w:val="24"/>
                <w:highlight w:val="none"/>
                <w:lang w:val="en-US" w:eastAsia="zh-CN"/>
              </w:rPr>
              <w:t>1</w:t>
            </w:r>
            <w:r>
              <w:rPr>
                <w:rFonts w:hint="eastAsia" w:cs="Times New Roman"/>
                <w:b w:val="0"/>
                <w:bCs w:val="0"/>
                <w:color w:val="000000"/>
                <w:sz w:val="24"/>
                <w:highlight w:val="none"/>
                <w:lang w:val="en-US" w:eastAsia="zh-CN"/>
              </w:rPr>
              <w:t>8</w:t>
            </w:r>
            <w:r>
              <w:rPr>
                <w:rFonts w:hint="default" w:ascii="Times New Roman" w:hAnsi="Times New Roman" w:eastAsia="宋体" w:cs="Times New Roman"/>
                <w:b w:val="0"/>
                <w:bCs w:val="0"/>
                <w:color w:val="000000"/>
                <w:sz w:val="24"/>
                <w:highlight w:val="none"/>
                <w:lang w:val="en-US" w:eastAsia="zh-CN"/>
              </w:rPr>
              <w:t>日对</w:t>
            </w:r>
            <w:r>
              <w:rPr>
                <w:rFonts w:hint="eastAsia" w:cs="Times New Roman"/>
                <w:b w:val="0"/>
                <w:bCs w:val="0"/>
                <w:color w:val="000000"/>
                <w:sz w:val="24"/>
                <w:highlight w:val="none"/>
                <w:lang w:val="en-US" w:eastAsia="zh-CN"/>
              </w:rPr>
              <w:t>巴</w:t>
            </w:r>
            <w:r>
              <w:rPr>
                <w:rFonts w:hint="default" w:ascii="Times New Roman" w:hAnsi="Times New Roman" w:eastAsia="宋体" w:cs="Times New Roman"/>
                <w:b w:val="0"/>
                <w:bCs w:val="0"/>
                <w:color w:val="000000"/>
                <w:sz w:val="24"/>
                <w:highlight w:val="none"/>
                <w:lang w:val="en-US" w:eastAsia="zh-CN"/>
              </w:rPr>
              <w:t>州尉晟塑业有限公司滴灌配套及工业胶带生产线建设项目的环境空气质量现状监测数据。</w:t>
            </w:r>
          </w:p>
          <w:p w14:paraId="5DFFC8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rPr>
              <w:t>监测地点、监测因子</w:t>
            </w:r>
          </w:p>
          <w:p w14:paraId="188633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val="0"/>
                <w:bCs w:val="0"/>
                <w:color w:val="000000"/>
                <w:kern w:val="0"/>
                <w:sz w:val="24"/>
                <w:szCs w:val="24"/>
                <w:highlight w:val="none"/>
                <w:u w:val="none" w:color="000000"/>
                <w:lang w:val="en-US" w:eastAsia="zh-CN" w:bidi="ar-SA"/>
              </w:rPr>
            </w:pPr>
            <w:r>
              <w:rPr>
                <w:rFonts w:hint="default" w:ascii="Times New Roman" w:hAnsi="Times New Roman" w:eastAsia="宋体" w:cs="Times New Roman"/>
                <w:b w:val="0"/>
                <w:bCs w:val="0"/>
                <w:color w:val="000000"/>
                <w:kern w:val="0"/>
                <w:sz w:val="24"/>
                <w:szCs w:val="24"/>
                <w:highlight w:val="none"/>
                <w:u w:val="none" w:color="000000"/>
                <w:lang w:val="en-US" w:eastAsia="zh-CN" w:bidi="ar-SA"/>
              </w:rPr>
              <w:t>位于</w:t>
            </w:r>
            <w:r>
              <w:rPr>
                <w:rFonts w:hint="eastAsia" w:cs="Times New Roman"/>
                <w:b w:val="0"/>
                <w:bCs w:val="0"/>
                <w:color w:val="000000"/>
                <w:kern w:val="0"/>
                <w:sz w:val="24"/>
                <w:szCs w:val="24"/>
                <w:highlight w:val="none"/>
                <w:u w:val="none" w:color="000000"/>
                <w:lang w:val="en-US" w:eastAsia="zh-CN" w:bidi="ar-SA"/>
              </w:rPr>
              <w:t>新疆鼎棉农业科技有限公司</w:t>
            </w:r>
            <w:r>
              <w:rPr>
                <w:rFonts w:hint="default" w:ascii="Times New Roman" w:hAnsi="Times New Roman" w:eastAsia="宋体" w:cs="Times New Roman"/>
                <w:b w:val="0"/>
                <w:bCs w:val="0"/>
                <w:color w:val="000000"/>
                <w:kern w:val="0"/>
                <w:sz w:val="24"/>
                <w:szCs w:val="24"/>
                <w:highlight w:val="none"/>
                <w:u w:val="none" w:color="000000"/>
                <w:lang w:val="en-US" w:eastAsia="zh-CN" w:bidi="ar-SA"/>
              </w:rPr>
              <w:t>西</w:t>
            </w:r>
            <w:r>
              <w:rPr>
                <w:rFonts w:hint="eastAsia" w:cs="Times New Roman"/>
                <w:b w:val="0"/>
                <w:bCs w:val="0"/>
                <w:color w:val="000000"/>
                <w:kern w:val="0"/>
                <w:sz w:val="24"/>
                <w:szCs w:val="24"/>
                <w:highlight w:val="none"/>
                <w:u w:val="none" w:color="000000"/>
                <w:lang w:val="en-US" w:eastAsia="zh-CN" w:bidi="ar-SA"/>
              </w:rPr>
              <w:t>南</w:t>
            </w:r>
            <w:r>
              <w:rPr>
                <w:rFonts w:hint="default" w:ascii="Times New Roman" w:hAnsi="Times New Roman" w:eastAsia="宋体" w:cs="Times New Roman"/>
                <w:b w:val="0"/>
                <w:bCs w:val="0"/>
                <w:color w:val="000000"/>
                <w:kern w:val="0"/>
                <w:sz w:val="24"/>
                <w:szCs w:val="24"/>
                <w:highlight w:val="none"/>
                <w:u w:val="none" w:color="000000"/>
                <w:lang w:val="en-US" w:eastAsia="zh-CN" w:bidi="ar-SA"/>
              </w:rPr>
              <w:t>方向</w:t>
            </w:r>
            <w:r>
              <w:rPr>
                <w:rFonts w:hint="eastAsia" w:cs="Times New Roman"/>
                <w:b w:val="0"/>
                <w:bCs w:val="0"/>
                <w:color w:val="000000"/>
                <w:kern w:val="0"/>
                <w:sz w:val="24"/>
                <w:szCs w:val="24"/>
                <w:highlight w:val="none"/>
                <w:u w:val="none" w:color="000000"/>
                <w:lang w:val="en-US" w:eastAsia="zh-CN" w:bidi="ar-SA"/>
              </w:rPr>
              <w:t>599</w:t>
            </w:r>
            <w:r>
              <w:rPr>
                <w:rFonts w:hint="default" w:ascii="Times New Roman" w:hAnsi="Times New Roman" w:eastAsia="宋体" w:cs="Times New Roman"/>
                <w:b w:val="0"/>
                <w:bCs w:val="0"/>
                <w:color w:val="000000"/>
                <w:kern w:val="0"/>
                <w:sz w:val="24"/>
                <w:szCs w:val="24"/>
                <w:highlight w:val="none"/>
                <w:u w:val="none" w:color="000000"/>
                <w:lang w:val="en-US" w:eastAsia="zh-CN" w:bidi="ar-SA"/>
              </w:rPr>
              <w:t>m</w:t>
            </w:r>
            <w:r>
              <w:rPr>
                <w:rFonts w:hint="eastAsia" w:ascii="Times New Roman" w:hAnsi="Times New Roman" w:eastAsia="宋体" w:cs="Times New Roman"/>
                <w:b w:val="0"/>
                <w:bCs w:val="0"/>
                <w:color w:val="000000"/>
                <w:kern w:val="0"/>
                <w:sz w:val="24"/>
                <w:szCs w:val="24"/>
                <w:highlight w:val="none"/>
                <w:u w:val="none" w:color="000000"/>
                <w:lang w:val="en-US" w:eastAsia="zh-CN" w:bidi="ar-SA"/>
              </w:rPr>
              <w:t>处</w:t>
            </w:r>
            <w:r>
              <w:rPr>
                <w:rFonts w:hint="default" w:ascii="Times New Roman" w:hAnsi="Times New Roman" w:eastAsia="宋体" w:cs="Times New Roman"/>
                <w:b w:val="0"/>
                <w:bCs w:val="0"/>
                <w:color w:val="000000"/>
                <w:kern w:val="0"/>
                <w:sz w:val="24"/>
                <w:szCs w:val="24"/>
                <w:highlight w:val="none"/>
                <w:u w:val="none" w:color="000000"/>
                <w:lang w:val="en-US" w:eastAsia="zh-CN" w:bidi="ar-SA"/>
              </w:rPr>
              <w:t>，坐标E：</w:t>
            </w:r>
            <w:r>
              <w:rPr>
                <w:rFonts w:hint="eastAsia" w:cs="Times New Roman"/>
                <w:b w:val="0"/>
                <w:bCs w:val="0"/>
                <w:color w:val="000000"/>
                <w:kern w:val="0"/>
                <w:sz w:val="24"/>
                <w:szCs w:val="24"/>
                <w:highlight w:val="none"/>
                <w:u w:val="none" w:color="000000"/>
                <w:lang w:val="en-US" w:eastAsia="zh-CN" w:bidi="ar-SA"/>
              </w:rPr>
              <w:t>86.242199</w:t>
            </w:r>
            <w:r>
              <w:rPr>
                <w:rFonts w:hint="eastAsia"/>
                <w:lang w:eastAsia="zh-CN"/>
              </w:rPr>
              <w:t>，</w:t>
            </w:r>
            <w:r>
              <w:rPr>
                <w:rFonts w:hint="default" w:ascii="Times New Roman" w:hAnsi="Times New Roman" w:eastAsia="宋体" w:cs="Times New Roman"/>
                <w:b w:val="0"/>
                <w:bCs w:val="0"/>
                <w:color w:val="000000"/>
                <w:kern w:val="0"/>
                <w:sz w:val="24"/>
                <w:szCs w:val="24"/>
                <w:highlight w:val="none"/>
                <w:u w:val="none" w:color="000000"/>
                <w:lang w:val="en-US" w:eastAsia="zh-CN" w:bidi="ar-SA"/>
              </w:rPr>
              <w:t>N：4</w:t>
            </w:r>
            <w:r>
              <w:rPr>
                <w:rFonts w:hint="eastAsia" w:ascii="Times New Roman" w:hAnsi="Times New Roman" w:eastAsia="宋体" w:cs="Times New Roman"/>
                <w:b w:val="0"/>
                <w:bCs w:val="0"/>
                <w:color w:val="000000"/>
                <w:kern w:val="0"/>
                <w:sz w:val="24"/>
                <w:szCs w:val="24"/>
                <w:highlight w:val="none"/>
                <w:u w:val="none" w:color="000000"/>
                <w:lang w:val="en-US" w:eastAsia="zh-CN" w:bidi="ar-SA"/>
              </w:rPr>
              <w:t>1</w:t>
            </w:r>
            <w:r>
              <w:rPr>
                <w:rFonts w:hint="eastAsia" w:cs="Times New Roman"/>
                <w:b w:val="0"/>
                <w:bCs w:val="0"/>
                <w:color w:val="000000"/>
                <w:kern w:val="0"/>
                <w:sz w:val="24"/>
                <w:szCs w:val="24"/>
                <w:highlight w:val="none"/>
                <w:u w:val="none" w:color="000000"/>
                <w:lang w:val="en-US" w:eastAsia="zh-CN" w:bidi="ar-SA"/>
              </w:rPr>
              <w:t>.361361</w:t>
            </w:r>
            <w:r>
              <w:rPr>
                <w:rFonts w:hint="default" w:ascii="Times New Roman" w:hAnsi="Times New Roman" w:eastAsia="宋体" w:cs="Times New Roman"/>
                <w:b w:val="0"/>
                <w:bCs w:val="0"/>
                <w:color w:val="000000"/>
                <w:kern w:val="0"/>
                <w:sz w:val="24"/>
                <w:szCs w:val="24"/>
                <w:highlight w:val="none"/>
                <w:u w:val="none" w:color="000000"/>
                <w:lang w:val="en-US" w:eastAsia="zh-CN" w:bidi="ar-SA"/>
              </w:rPr>
              <w:t>。监测点位详见附图</w:t>
            </w:r>
            <w:r>
              <w:rPr>
                <w:rFonts w:hint="eastAsia" w:cs="Times New Roman"/>
                <w:b w:val="0"/>
                <w:bCs w:val="0"/>
                <w:color w:val="000000"/>
                <w:kern w:val="0"/>
                <w:sz w:val="24"/>
                <w:szCs w:val="24"/>
                <w:highlight w:val="none"/>
                <w:u w:val="none" w:color="000000"/>
                <w:lang w:val="en-US" w:eastAsia="zh-CN" w:bidi="ar-SA"/>
              </w:rPr>
              <w:t>7</w:t>
            </w:r>
            <w:r>
              <w:rPr>
                <w:rFonts w:hint="default" w:ascii="Times New Roman" w:hAnsi="Times New Roman" w:eastAsia="宋体" w:cs="Times New Roman"/>
                <w:b w:val="0"/>
                <w:bCs w:val="0"/>
                <w:color w:val="000000"/>
                <w:kern w:val="0"/>
                <w:sz w:val="24"/>
                <w:szCs w:val="24"/>
                <w:highlight w:val="none"/>
                <w:u w:val="none" w:color="000000"/>
                <w:lang w:val="en-US" w:eastAsia="zh-CN" w:bidi="ar-SA"/>
              </w:rPr>
              <w:t>。</w:t>
            </w:r>
          </w:p>
          <w:p w14:paraId="6DCE8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val="0"/>
                <w:bCs w:val="0"/>
                <w:color w:val="000000"/>
                <w:kern w:val="0"/>
                <w:sz w:val="24"/>
                <w:szCs w:val="24"/>
                <w:highlight w:val="none"/>
                <w:u w:val="none" w:color="000000"/>
                <w:lang w:val="en-US" w:eastAsia="zh-CN" w:bidi="ar-SA"/>
              </w:rPr>
            </w:pPr>
            <w:r>
              <w:rPr>
                <w:rFonts w:hint="default" w:ascii="Times New Roman" w:hAnsi="Times New Roman" w:eastAsia="宋体" w:cs="Times New Roman"/>
                <w:b w:val="0"/>
                <w:bCs w:val="0"/>
                <w:color w:val="000000"/>
                <w:kern w:val="0"/>
                <w:sz w:val="24"/>
                <w:szCs w:val="24"/>
                <w:highlight w:val="none"/>
                <w:u w:val="none" w:color="000000"/>
                <w:lang w:val="en-US" w:eastAsia="zh-CN" w:bidi="ar-SA"/>
              </w:rPr>
              <w:t>其他污染因子：</w:t>
            </w:r>
            <w:r>
              <w:rPr>
                <w:rFonts w:hint="eastAsia" w:ascii="Times New Roman" w:hAnsi="Times New Roman" w:eastAsia="宋体" w:cs="Times New Roman"/>
                <w:b w:val="0"/>
                <w:bCs w:val="0"/>
                <w:color w:val="000000"/>
                <w:kern w:val="0"/>
                <w:sz w:val="24"/>
                <w:szCs w:val="24"/>
                <w:highlight w:val="none"/>
                <w:u w:val="none" w:color="000000"/>
                <w:lang w:val="en-US" w:eastAsia="zh-CN" w:bidi="ar-SA"/>
              </w:rPr>
              <w:t>TSP</w:t>
            </w:r>
          </w:p>
          <w:p w14:paraId="68849E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lang w:val="en-US" w:eastAsia="zh-CN"/>
              </w:rPr>
              <w:t>2</w:t>
            </w: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rPr>
              <w:t>采样及分析方法</w:t>
            </w:r>
          </w:p>
          <w:p w14:paraId="4563DA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szCs w:val="24"/>
                <w:highlight w:val="none"/>
              </w:rPr>
            </w:pPr>
            <w:r>
              <w:rPr>
                <w:rFonts w:hint="eastAsia" w:ascii="Times New Roman" w:hAnsi="Times New Roman" w:eastAsia="宋体" w:cs="Times New Roman"/>
                <w:b w:val="0"/>
                <w:bCs w:val="0"/>
                <w:color w:val="000000"/>
                <w:sz w:val="24"/>
                <w:highlight w:val="none"/>
                <w:lang w:val="en-US" w:eastAsia="zh-CN"/>
              </w:rPr>
              <w:t>TSP：</w:t>
            </w:r>
            <w:r>
              <w:rPr>
                <w:rFonts w:hint="default" w:ascii="Times New Roman" w:hAnsi="Times New Roman" w:eastAsia="宋体" w:cs="Times New Roman"/>
                <w:b w:val="0"/>
                <w:bCs w:val="0"/>
                <w:color w:val="000000"/>
                <w:sz w:val="24"/>
                <w:highlight w:val="none"/>
              </w:rPr>
              <w:t>采样方法和分析方法</w:t>
            </w:r>
            <w:r>
              <w:rPr>
                <w:rFonts w:hint="default" w:ascii="Times New Roman" w:hAnsi="Times New Roman" w:eastAsia="宋体" w:cs="Times New Roman"/>
                <w:color w:val="000000"/>
                <w:sz w:val="24"/>
                <w:szCs w:val="24"/>
                <w:lang w:val="en-US" w:eastAsia="zh-CN"/>
              </w:rPr>
              <w:t>《环境空气</w:t>
            </w:r>
            <w:r>
              <w:rPr>
                <w:rFonts w:hint="eastAsia" w:ascii="Times New Roman" w:hAnsi="Times New Roman" w:eastAsia="宋体" w:cs="Times New Roman"/>
                <w:color w:val="000000"/>
                <w:sz w:val="24"/>
                <w:szCs w:val="24"/>
                <w:lang w:val="en-US" w:eastAsia="zh-CN"/>
              </w:rPr>
              <w:t xml:space="preserve"> 总悬浮颗粒物</w:t>
            </w:r>
            <w:r>
              <w:rPr>
                <w:rFonts w:hint="default" w:ascii="Times New Roman" w:hAnsi="Times New Roman" w:eastAsia="宋体" w:cs="Times New Roman"/>
                <w:b w:val="0"/>
                <w:bCs w:val="0"/>
                <w:color w:val="000000"/>
                <w:sz w:val="24"/>
                <w:szCs w:val="24"/>
                <w:highlight w:val="none"/>
                <w:lang w:val="en-US" w:eastAsia="zh-CN"/>
              </w:rPr>
              <w:t>的测定</w:t>
            </w:r>
            <w:r>
              <w:rPr>
                <w:rFonts w:hint="eastAsia" w:ascii="Times New Roman" w:hAnsi="Times New Roman" w:eastAsia="宋体" w:cs="Times New Roman"/>
                <w:color w:val="000000"/>
                <w:sz w:val="24"/>
                <w:szCs w:val="24"/>
                <w:lang w:val="en-US" w:eastAsia="zh-CN"/>
              </w:rPr>
              <w:t xml:space="preserve"> 重量法</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（HJ 1263-2022）</w:t>
            </w:r>
            <w:r>
              <w:rPr>
                <w:rFonts w:hint="default" w:ascii="Times New Roman" w:hAnsi="Times New Roman" w:eastAsia="宋体" w:cs="Times New Roman"/>
                <w:b w:val="0"/>
                <w:bCs w:val="0"/>
                <w:color w:val="000000"/>
                <w:sz w:val="24"/>
                <w:szCs w:val="24"/>
                <w:highlight w:val="none"/>
              </w:rPr>
              <w:t>。</w:t>
            </w:r>
          </w:p>
          <w:p w14:paraId="679D80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lang w:val="en-US" w:eastAsia="zh-CN"/>
              </w:rPr>
              <w:t>3</w:t>
            </w: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rPr>
              <w:t>监测时间及频率</w:t>
            </w:r>
          </w:p>
          <w:p w14:paraId="521B84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val="0"/>
                <w:bCs w:val="0"/>
                <w:color w:val="000000"/>
                <w:kern w:val="0"/>
                <w:sz w:val="24"/>
                <w:szCs w:val="24"/>
                <w:highlight w:val="none"/>
                <w:u w:val="none" w:color="000000"/>
                <w:lang w:val="en-US" w:eastAsia="zh-CN" w:bidi="ar-SA"/>
              </w:rPr>
            </w:pPr>
            <w:r>
              <w:rPr>
                <w:rFonts w:hint="default" w:ascii="Times New Roman" w:hAnsi="Times New Roman" w:eastAsia="宋体" w:cs="Times New Roman"/>
                <w:b w:val="0"/>
                <w:bCs w:val="0"/>
                <w:color w:val="000000"/>
                <w:sz w:val="24"/>
                <w:highlight w:val="none"/>
                <w:lang w:val="en-US" w:eastAsia="zh-CN"/>
              </w:rPr>
              <w:t>202</w:t>
            </w:r>
            <w:r>
              <w:rPr>
                <w:rFonts w:hint="eastAsia" w:cs="Times New Roman"/>
                <w:b w:val="0"/>
                <w:bCs w:val="0"/>
                <w:color w:val="000000"/>
                <w:sz w:val="24"/>
                <w:highlight w:val="none"/>
                <w:lang w:val="en-US" w:eastAsia="zh-CN"/>
              </w:rPr>
              <w:t>4</w:t>
            </w:r>
            <w:r>
              <w:rPr>
                <w:rFonts w:hint="default" w:ascii="Times New Roman" w:hAnsi="Times New Roman" w:eastAsia="宋体" w:cs="Times New Roman"/>
                <w:b w:val="0"/>
                <w:bCs w:val="0"/>
                <w:color w:val="000000"/>
                <w:sz w:val="24"/>
                <w:highlight w:val="none"/>
                <w:lang w:val="en-US" w:eastAsia="zh-CN"/>
              </w:rPr>
              <w:t>年</w:t>
            </w:r>
            <w:r>
              <w:rPr>
                <w:rFonts w:hint="eastAsia" w:ascii="Times New Roman" w:hAnsi="Times New Roman" w:eastAsia="宋体"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月</w:t>
            </w:r>
            <w:r>
              <w:rPr>
                <w:rFonts w:hint="eastAsia" w:ascii="Times New Roman" w:hAnsi="Times New Roman" w:eastAsia="宋体" w:cs="Times New Roman"/>
                <w:b w:val="0"/>
                <w:bCs w:val="0"/>
                <w:color w:val="000000"/>
                <w:sz w:val="24"/>
                <w:highlight w:val="none"/>
                <w:lang w:val="en-US" w:eastAsia="zh-CN"/>
              </w:rPr>
              <w:t>1</w:t>
            </w:r>
            <w:r>
              <w:rPr>
                <w:rFonts w:hint="eastAsia"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日~202</w:t>
            </w:r>
            <w:r>
              <w:rPr>
                <w:rFonts w:hint="eastAsia" w:cs="Times New Roman"/>
                <w:b w:val="0"/>
                <w:bCs w:val="0"/>
                <w:color w:val="000000"/>
                <w:sz w:val="24"/>
                <w:highlight w:val="none"/>
                <w:lang w:val="en-US" w:eastAsia="zh-CN"/>
              </w:rPr>
              <w:t>4</w:t>
            </w:r>
            <w:r>
              <w:rPr>
                <w:rFonts w:hint="default" w:ascii="Times New Roman" w:hAnsi="Times New Roman" w:eastAsia="宋体" w:cs="Times New Roman"/>
                <w:b w:val="0"/>
                <w:bCs w:val="0"/>
                <w:color w:val="000000"/>
                <w:sz w:val="24"/>
                <w:highlight w:val="none"/>
                <w:lang w:val="en-US" w:eastAsia="zh-CN"/>
              </w:rPr>
              <w:t>年</w:t>
            </w:r>
            <w:r>
              <w:rPr>
                <w:rFonts w:hint="eastAsia" w:ascii="Times New Roman" w:hAnsi="Times New Roman" w:eastAsia="宋体" w:cs="Times New Roman"/>
                <w:b w:val="0"/>
                <w:bCs w:val="0"/>
                <w:color w:val="000000"/>
                <w:sz w:val="24"/>
                <w:highlight w:val="none"/>
                <w:lang w:val="en-US" w:eastAsia="zh-CN"/>
              </w:rPr>
              <w:t>1</w:t>
            </w:r>
            <w:r>
              <w:rPr>
                <w:rFonts w:hint="default" w:ascii="Times New Roman" w:hAnsi="Times New Roman" w:eastAsia="宋体" w:cs="Times New Roman"/>
                <w:b w:val="0"/>
                <w:bCs w:val="0"/>
                <w:color w:val="000000"/>
                <w:sz w:val="24"/>
                <w:highlight w:val="none"/>
                <w:lang w:val="en-US" w:eastAsia="zh-CN"/>
              </w:rPr>
              <w:t>月</w:t>
            </w:r>
            <w:r>
              <w:rPr>
                <w:rFonts w:hint="eastAsia" w:ascii="Times New Roman" w:hAnsi="Times New Roman" w:eastAsia="宋体" w:cs="Times New Roman"/>
                <w:b w:val="0"/>
                <w:bCs w:val="0"/>
                <w:color w:val="000000"/>
                <w:sz w:val="24"/>
                <w:highlight w:val="none"/>
                <w:lang w:val="en-US" w:eastAsia="zh-CN"/>
              </w:rPr>
              <w:t>1</w:t>
            </w:r>
            <w:r>
              <w:rPr>
                <w:rFonts w:hint="eastAsia" w:cs="Times New Roman"/>
                <w:b w:val="0"/>
                <w:bCs w:val="0"/>
                <w:color w:val="000000"/>
                <w:sz w:val="24"/>
                <w:highlight w:val="none"/>
                <w:lang w:val="en-US" w:eastAsia="zh-CN"/>
              </w:rPr>
              <w:t>8</w:t>
            </w:r>
            <w:r>
              <w:rPr>
                <w:rFonts w:hint="default" w:ascii="Times New Roman" w:hAnsi="Times New Roman" w:eastAsia="宋体" w:cs="Times New Roman"/>
                <w:b w:val="0"/>
                <w:bCs w:val="0"/>
                <w:color w:val="000000"/>
                <w:sz w:val="24"/>
                <w:highlight w:val="none"/>
                <w:lang w:val="en-US" w:eastAsia="zh-CN"/>
              </w:rPr>
              <w:t>日</w:t>
            </w:r>
            <w:r>
              <w:rPr>
                <w:rFonts w:hint="eastAsia" w:ascii="Times New Roman" w:hAnsi="Times New Roman" w:eastAsia="宋体" w:cs="Times New Roman"/>
                <w:b w:val="0"/>
                <w:bCs w:val="0"/>
                <w:color w:val="000000"/>
                <w:kern w:val="0"/>
                <w:sz w:val="24"/>
                <w:szCs w:val="24"/>
                <w:highlight w:val="none"/>
                <w:u w:val="none" w:color="000000"/>
                <w:lang w:val="en-US" w:eastAsia="zh-CN" w:bidi="ar-SA"/>
              </w:rPr>
              <w:t>，</w:t>
            </w:r>
            <w:r>
              <w:rPr>
                <w:rFonts w:hint="default" w:ascii="Times New Roman" w:hAnsi="Times New Roman" w:eastAsia="宋体" w:cs="Times New Roman"/>
                <w:b w:val="0"/>
                <w:bCs w:val="0"/>
                <w:color w:val="000000"/>
                <w:kern w:val="0"/>
                <w:sz w:val="24"/>
                <w:szCs w:val="20"/>
                <w:highlight w:val="none"/>
                <w:u w:val="none" w:color="000000"/>
                <w:lang w:val="en-US" w:eastAsia="zh-CN" w:bidi="ar-SA"/>
              </w:rPr>
              <w:t>连续检测</w:t>
            </w:r>
            <w:r>
              <w:rPr>
                <w:rFonts w:hint="eastAsia" w:cs="Times New Roman"/>
                <w:b w:val="0"/>
                <w:bCs w:val="0"/>
                <w:color w:val="000000"/>
                <w:kern w:val="0"/>
                <w:sz w:val="24"/>
                <w:szCs w:val="20"/>
                <w:highlight w:val="none"/>
                <w:u w:val="none" w:color="000000"/>
                <w:lang w:val="en-US" w:eastAsia="zh-CN" w:bidi="ar-SA"/>
              </w:rPr>
              <w:t>7</w:t>
            </w:r>
            <w:r>
              <w:rPr>
                <w:rFonts w:hint="default" w:ascii="Times New Roman" w:hAnsi="Times New Roman" w:eastAsia="宋体" w:cs="Times New Roman"/>
                <w:b w:val="0"/>
                <w:bCs w:val="0"/>
                <w:color w:val="000000"/>
                <w:kern w:val="0"/>
                <w:sz w:val="24"/>
                <w:szCs w:val="20"/>
                <w:highlight w:val="none"/>
                <w:u w:val="none" w:color="000000"/>
                <w:lang w:val="en-US" w:eastAsia="zh-CN" w:bidi="ar-SA"/>
              </w:rPr>
              <w:t>天</w:t>
            </w:r>
            <w:r>
              <w:rPr>
                <w:rFonts w:hint="eastAsia" w:ascii="Times New Roman" w:hAnsi="Times New Roman" w:eastAsia="宋体" w:cs="Times New Roman"/>
                <w:b w:val="0"/>
                <w:bCs w:val="0"/>
                <w:color w:val="000000"/>
                <w:kern w:val="0"/>
                <w:sz w:val="24"/>
                <w:szCs w:val="20"/>
                <w:highlight w:val="none"/>
                <w:u w:val="none" w:color="000000"/>
                <w:lang w:val="en-US" w:eastAsia="zh-CN" w:bidi="ar-SA"/>
              </w:rPr>
              <w:t>，每天1次。</w:t>
            </w:r>
          </w:p>
          <w:p w14:paraId="15B36B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lang w:val="en-US" w:eastAsia="zh-CN"/>
              </w:rPr>
              <w:t>4</w:t>
            </w: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rPr>
              <w:t>评价标准</w:t>
            </w:r>
          </w:p>
          <w:p w14:paraId="335C8D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TSP：</w:t>
            </w:r>
            <w:r>
              <w:rPr>
                <w:rFonts w:hint="default" w:ascii="Times New Roman" w:hAnsi="Times New Roman" w:eastAsia="宋体" w:cs="Times New Roman"/>
                <w:color w:val="000000"/>
                <w:kern w:val="0"/>
                <w:sz w:val="24"/>
                <w:szCs w:val="24"/>
                <w:lang w:val="en-US" w:eastAsia="zh-CN" w:bidi="ar"/>
              </w:rPr>
              <w:t>《环境空气质量标准》（GB3095-2012）及修改单中二级标准限值</w:t>
            </w:r>
            <w:r>
              <w:rPr>
                <w:rFonts w:hint="eastAsia" w:ascii="Times New Roman" w:hAnsi="Times New Roman" w:eastAsia="宋体" w:cs="Times New Roman"/>
                <w:color w:val="000000"/>
                <w:kern w:val="0"/>
                <w:sz w:val="24"/>
                <w:szCs w:val="24"/>
                <w:lang w:val="en-US" w:eastAsia="zh-CN" w:bidi="ar"/>
              </w:rPr>
              <w:t>。</w:t>
            </w:r>
          </w:p>
          <w:p w14:paraId="6C0881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lang w:val="en-US" w:eastAsia="zh-CN"/>
              </w:rPr>
              <w:t>5</w:t>
            </w:r>
            <w:r>
              <w:rPr>
                <w:rFonts w:hint="default" w:ascii="Times New Roman" w:hAnsi="Times New Roman" w:eastAsia="宋体" w:cs="Times New Roman"/>
                <w:b w:val="0"/>
                <w:bCs w:val="0"/>
                <w:color w:val="000000"/>
                <w:sz w:val="24"/>
                <w:highlight w:val="none"/>
                <w:lang w:eastAsia="zh-CN"/>
              </w:rPr>
              <w:t>）</w:t>
            </w:r>
            <w:r>
              <w:rPr>
                <w:rFonts w:hint="default" w:ascii="Times New Roman" w:hAnsi="Times New Roman" w:eastAsia="宋体" w:cs="Times New Roman"/>
                <w:b w:val="0"/>
                <w:bCs w:val="0"/>
                <w:color w:val="000000"/>
                <w:sz w:val="24"/>
                <w:highlight w:val="none"/>
              </w:rPr>
              <w:t>评价方法</w:t>
            </w:r>
          </w:p>
          <w:p w14:paraId="587D05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highlight w:val="none"/>
              </w:rPr>
            </w:pPr>
            <w:r>
              <w:rPr>
                <w:rFonts w:hint="default" w:ascii="Times New Roman" w:hAnsi="Times New Roman" w:eastAsia="宋体" w:cs="Times New Roman"/>
                <w:b w:val="0"/>
                <w:bCs w:val="0"/>
                <w:color w:val="000000"/>
                <w:sz w:val="24"/>
                <w:highlight w:val="none"/>
              </w:rPr>
              <w:t>本评价采用单因子评价指数法，单因子评价指数用以下公式计算而得：</w:t>
            </w:r>
          </w:p>
          <w:p w14:paraId="3549A7E7">
            <w:pPr>
              <w:keepNext w:val="0"/>
              <w:keepLines w:val="0"/>
              <w:suppressLineNumbers w:val="0"/>
              <w:spacing w:before="0" w:beforeAutospacing="0" w:after="0" w:afterAutospacing="0"/>
              <w:ind w:left="0" w:right="0" w:firstLine="480"/>
              <w:jc w:val="center"/>
              <w:rPr>
                <w:rFonts w:hint="default" w:eastAsia="宋体"/>
                <w:color w:val="auto"/>
                <w:lang w:val="en-US" w:eastAsia="zh-CN"/>
              </w:rPr>
            </w:pPr>
            <w:bookmarkStart w:id="6" w:name="_Toc9636_WPSOffice_Level1"/>
            <w:r>
              <w:rPr>
                <w:rFonts w:hint="eastAsia"/>
                <w:color w:val="auto"/>
                <w:lang w:val="en-US" w:eastAsia="zh-CN"/>
              </w:rPr>
              <w:t>P</w:t>
            </w:r>
            <w:r>
              <w:rPr>
                <w:rFonts w:hint="default"/>
                <w:color w:val="auto"/>
                <w:vertAlign w:val="subscript"/>
              </w:rPr>
              <w:t>i</w:t>
            </w:r>
            <w:r>
              <w:rPr>
                <w:rFonts w:hint="default"/>
                <w:color w:val="auto"/>
              </w:rPr>
              <w:t xml:space="preserve"> = C</w:t>
            </w:r>
            <w:r>
              <w:rPr>
                <w:rFonts w:hint="default"/>
                <w:color w:val="auto"/>
                <w:vertAlign w:val="subscript"/>
              </w:rPr>
              <w:t>i</w:t>
            </w:r>
            <w:r>
              <w:rPr>
                <w:rFonts w:hint="default"/>
                <w:color w:val="auto"/>
              </w:rPr>
              <w:t>/ C</w:t>
            </w:r>
            <w:bookmarkEnd w:id="6"/>
            <w:r>
              <w:rPr>
                <w:rFonts w:hint="default"/>
                <w:color w:val="auto"/>
                <w:vertAlign w:val="subscript"/>
              </w:rPr>
              <w:t>o</w:t>
            </w:r>
            <w:r>
              <w:rPr>
                <w:rFonts w:hint="eastAsia"/>
                <w:color w:val="auto"/>
                <w:vertAlign w:val="subscript"/>
                <w:lang w:val="en-US" w:eastAsia="zh-CN"/>
              </w:rPr>
              <w:t>i</w:t>
            </w:r>
            <w:r>
              <w:rPr>
                <w:rFonts w:hint="eastAsia"/>
                <w:color w:val="auto"/>
                <w:lang w:val="en-US" w:eastAsia="zh-CN"/>
              </w:rPr>
              <w:t>×100%</w:t>
            </w:r>
          </w:p>
          <w:p w14:paraId="4C10B6AB">
            <w:pPr>
              <w:keepNext w:val="0"/>
              <w:keepLines w:val="0"/>
              <w:suppressLineNumbers w:val="0"/>
              <w:spacing w:before="0" w:beforeAutospacing="0" w:after="0" w:afterAutospacing="0"/>
              <w:ind w:left="0" w:right="0" w:firstLine="480"/>
              <w:rPr>
                <w:rFonts w:hint="default"/>
                <w:color w:val="auto"/>
              </w:rPr>
            </w:pPr>
            <w:r>
              <w:rPr>
                <w:rFonts w:hint="default"/>
                <w:b w:val="0"/>
                <w:bCs w:val="0"/>
                <w:color w:val="auto"/>
                <w:sz w:val="24"/>
                <w:highlight w:val="none"/>
              </w:rPr>
              <w:t>式中</w:t>
            </w:r>
            <w:r>
              <w:rPr>
                <w:rFonts w:hint="eastAsia"/>
                <w:color w:val="auto"/>
                <w:lang w:val="en-US" w:eastAsia="zh-CN"/>
              </w:rPr>
              <w:t>P</w:t>
            </w:r>
            <w:r>
              <w:rPr>
                <w:rFonts w:hint="default"/>
                <w:color w:val="auto"/>
                <w:vertAlign w:val="subscript"/>
              </w:rPr>
              <w:t>i</w:t>
            </w:r>
            <w:r>
              <w:rPr>
                <w:rFonts w:hint="default"/>
                <w:color w:val="auto"/>
              </w:rPr>
              <w:t>——</w:t>
            </w:r>
            <w:r>
              <w:rPr>
                <w:rFonts w:hint="eastAsia"/>
                <w:color w:val="auto"/>
                <w:lang w:eastAsia="zh-CN"/>
              </w:rPr>
              <w:t>第</w:t>
            </w:r>
            <w:r>
              <w:rPr>
                <w:rFonts w:hint="eastAsia"/>
                <w:color w:val="auto"/>
                <w:lang w:val="en-US" w:eastAsia="zh-CN"/>
              </w:rPr>
              <w:t>i个污染物的最大环境空气质量浓度的占标率，%</w:t>
            </w:r>
            <w:r>
              <w:rPr>
                <w:rFonts w:hint="default"/>
                <w:color w:val="auto"/>
              </w:rPr>
              <w:t>；</w:t>
            </w:r>
          </w:p>
          <w:p w14:paraId="3ED826ED">
            <w:pPr>
              <w:keepNext w:val="0"/>
              <w:keepLines w:val="0"/>
              <w:suppressLineNumbers w:val="0"/>
              <w:spacing w:before="0" w:beforeAutospacing="0" w:after="0" w:afterAutospacing="0"/>
              <w:ind w:left="0" w:right="0" w:firstLine="480"/>
              <w:rPr>
                <w:rFonts w:hint="default"/>
                <w:color w:val="auto"/>
              </w:rPr>
            </w:pPr>
            <w:r>
              <w:rPr>
                <w:rFonts w:hint="default"/>
                <w:color w:val="auto"/>
              </w:rPr>
              <w:t xml:space="preserve">    C</w:t>
            </w:r>
            <w:r>
              <w:rPr>
                <w:rFonts w:hint="default"/>
                <w:color w:val="auto"/>
                <w:vertAlign w:val="subscript"/>
              </w:rPr>
              <w:t>i</w:t>
            </w:r>
            <w:r>
              <w:rPr>
                <w:rFonts w:hint="default"/>
                <w:color w:val="auto"/>
              </w:rPr>
              <w:t>——</w:t>
            </w:r>
            <w:r>
              <w:rPr>
                <w:rFonts w:hint="eastAsia"/>
                <w:color w:val="auto"/>
                <w:lang w:eastAsia="zh-CN"/>
              </w:rPr>
              <w:t>预测的第</w:t>
            </w:r>
            <w:r>
              <w:rPr>
                <w:rFonts w:hint="eastAsia"/>
                <w:color w:val="auto"/>
                <w:lang w:val="en-US" w:eastAsia="zh-CN"/>
              </w:rPr>
              <w:t>i个污染物的短期或长期环境空气质量浓度</w:t>
            </w:r>
            <w:r>
              <w:rPr>
                <w:rFonts w:hint="default"/>
                <w:color w:val="auto"/>
              </w:rPr>
              <w:t>，</w:t>
            </w:r>
            <w:r>
              <w:rPr>
                <w:rFonts w:hint="default"/>
                <w:color w:val="auto"/>
                <w:lang w:val="en-US" w:eastAsia="zh-CN"/>
              </w:rPr>
              <w:t>μ</w:t>
            </w:r>
            <w:r>
              <w:rPr>
                <w:rFonts w:hint="default"/>
                <w:color w:val="auto"/>
              </w:rPr>
              <w:t>g/m</w:t>
            </w:r>
            <w:r>
              <w:rPr>
                <w:rFonts w:hint="default"/>
                <w:color w:val="auto"/>
                <w:vertAlign w:val="superscript"/>
              </w:rPr>
              <w:t>3</w:t>
            </w:r>
            <w:r>
              <w:rPr>
                <w:rFonts w:hint="default"/>
                <w:color w:val="auto"/>
              </w:rPr>
              <w:t>；</w:t>
            </w:r>
          </w:p>
          <w:p w14:paraId="5C8CC16D">
            <w:pPr>
              <w:keepNext w:val="0"/>
              <w:keepLines w:val="0"/>
              <w:suppressLineNumbers w:val="0"/>
              <w:spacing w:before="0" w:beforeAutospacing="0" w:after="0" w:afterAutospacing="0"/>
              <w:ind w:left="0" w:right="0" w:firstLine="480"/>
              <w:rPr>
                <w:rFonts w:hint="default"/>
                <w:color w:val="auto"/>
              </w:rPr>
            </w:pPr>
            <w:r>
              <w:rPr>
                <w:rFonts w:hint="default"/>
                <w:color w:val="auto"/>
              </w:rPr>
              <w:t xml:space="preserve">    C</w:t>
            </w:r>
            <w:r>
              <w:rPr>
                <w:rFonts w:hint="default"/>
                <w:color w:val="auto"/>
                <w:vertAlign w:val="subscript"/>
              </w:rPr>
              <w:t>o</w:t>
            </w:r>
            <w:r>
              <w:rPr>
                <w:rFonts w:hint="eastAsia"/>
                <w:color w:val="auto"/>
                <w:vertAlign w:val="subscript"/>
                <w:lang w:val="en-US" w:eastAsia="zh-CN"/>
              </w:rPr>
              <w:t>i</w:t>
            </w:r>
            <w:r>
              <w:rPr>
                <w:rFonts w:hint="default"/>
                <w:color w:val="auto"/>
              </w:rPr>
              <w:t>——</w:t>
            </w:r>
            <w:r>
              <w:rPr>
                <w:rFonts w:hint="eastAsia"/>
                <w:color w:val="auto"/>
                <w:lang w:eastAsia="zh-CN"/>
              </w:rPr>
              <w:t>第</w:t>
            </w:r>
            <w:r>
              <w:rPr>
                <w:rFonts w:hint="eastAsia"/>
                <w:color w:val="auto"/>
                <w:lang w:val="en-US" w:eastAsia="zh-CN"/>
              </w:rPr>
              <w:t>i个</w:t>
            </w:r>
            <w:r>
              <w:rPr>
                <w:rFonts w:hint="default"/>
                <w:color w:val="auto"/>
              </w:rPr>
              <w:t>污染物</w:t>
            </w:r>
            <w:r>
              <w:rPr>
                <w:rFonts w:hint="eastAsia"/>
                <w:color w:val="auto"/>
                <w:lang w:eastAsia="zh-CN"/>
              </w:rPr>
              <w:t>的环境空气质量浓度标准</w:t>
            </w:r>
            <w:r>
              <w:rPr>
                <w:rFonts w:hint="default"/>
                <w:color w:val="auto"/>
              </w:rPr>
              <w:t>，</w:t>
            </w:r>
            <w:r>
              <w:rPr>
                <w:rFonts w:hint="default"/>
                <w:color w:val="auto"/>
                <w:lang w:val="en-US" w:eastAsia="zh-CN"/>
              </w:rPr>
              <w:t>μ</w:t>
            </w:r>
            <w:r>
              <w:rPr>
                <w:rFonts w:hint="default"/>
                <w:color w:val="auto"/>
              </w:rPr>
              <w:t>g/m</w:t>
            </w:r>
            <w:r>
              <w:rPr>
                <w:rFonts w:hint="default"/>
                <w:color w:val="auto"/>
                <w:vertAlign w:val="superscript"/>
              </w:rPr>
              <w:t>3</w:t>
            </w:r>
            <w:r>
              <w:rPr>
                <w:rFonts w:hint="default"/>
                <w:color w:val="auto"/>
              </w:rPr>
              <w:t>；</w:t>
            </w:r>
          </w:p>
          <w:p w14:paraId="5D201B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rPr>
            </w:pPr>
            <w:r>
              <w:rPr>
                <w:rFonts w:hint="default"/>
                <w:b w:val="0"/>
                <w:bCs w:val="0"/>
                <w:color w:val="auto"/>
                <w:sz w:val="24"/>
                <w:highlight w:val="none"/>
              </w:rPr>
              <w:t>根据结果，</w:t>
            </w:r>
            <w:r>
              <w:rPr>
                <w:rFonts w:hint="default"/>
                <w:color w:val="auto"/>
              </w:rPr>
              <w:t>当</w:t>
            </w:r>
            <w:r>
              <w:rPr>
                <w:rFonts w:hint="eastAsia"/>
                <w:color w:val="auto"/>
                <w:lang w:val="en-US" w:eastAsia="zh-CN"/>
              </w:rPr>
              <w:t>P</w:t>
            </w:r>
            <w:r>
              <w:rPr>
                <w:rFonts w:hint="default"/>
                <w:color w:val="auto"/>
              </w:rPr>
              <w:t>i</w:t>
            </w:r>
            <w:r>
              <w:rPr>
                <w:rFonts w:hint="eastAsia"/>
                <w:color w:val="auto"/>
              </w:rPr>
              <w:t>≤</w:t>
            </w:r>
            <w:r>
              <w:rPr>
                <w:rFonts w:hint="default"/>
                <w:color w:val="auto"/>
              </w:rPr>
              <w:t>1时，表示大气中该污染物浓度不超标；当</w:t>
            </w:r>
            <w:r>
              <w:rPr>
                <w:rFonts w:hint="eastAsia"/>
                <w:color w:val="auto"/>
                <w:lang w:val="en-US" w:eastAsia="zh-CN"/>
              </w:rPr>
              <w:t>P</w:t>
            </w:r>
            <w:r>
              <w:rPr>
                <w:rFonts w:hint="default"/>
                <w:color w:val="auto"/>
              </w:rPr>
              <w:t>i</w:t>
            </w:r>
            <w:r>
              <w:rPr>
                <w:rFonts w:hint="eastAsia"/>
                <w:color w:val="auto"/>
              </w:rPr>
              <w:t>＞</w:t>
            </w:r>
            <w:r>
              <w:rPr>
                <w:rFonts w:hint="default"/>
                <w:color w:val="auto"/>
              </w:rPr>
              <w:t>1时，表示大气中该污染物浓度超过评价标准</w:t>
            </w:r>
            <w:r>
              <w:rPr>
                <w:rFonts w:hint="default"/>
                <w:color w:val="auto"/>
                <w:sz w:val="24"/>
                <w:highlight w:val="none"/>
              </w:rPr>
              <w:t>。</w:t>
            </w:r>
          </w:p>
          <w:p w14:paraId="76680E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highlight w:val="none"/>
              </w:rPr>
            </w:pPr>
            <w:r>
              <w:rPr>
                <w:rFonts w:hint="eastAsia" w:ascii="Times New Roman" w:hAnsi="Times New Roman" w:eastAsia="宋体" w:cs="Times New Roman"/>
                <w:b w:val="0"/>
                <w:bCs w:val="0"/>
                <w:color w:val="000000"/>
                <w:sz w:val="24"/>
                <w:highlight w:val="none"/>
                <w:lang w:val="en-US" w:eastAsia="zh-CN"/>
              </w:rPr>
              <w:t>（6）</w:t>
            </w:r>
            <w:r>
              <w:rPr>
                <w:rFonts w:hint="default" w:ascii="Times New Roman" w:hAnsi="Times New Roman" w:eastAsia="宋体" w:cs="Times New Roman"/>
                <w:b w:val="0"/>
                <w:bCs w:val="0"/>
                <w:color w:val="000000"/>
                <w:sz w:val="24"/>
                <w:highlight w:val="none"/>
              </w:rPr>
              <w:t>评价结果及结论</w:t>
            </w:r>
          </w:p>
          <w:p w14:paraId="77E7FA39">
            <w:pPr>
              <w:keepNext w:val="0"/>
              <w:keepLines w:val="0"/>
              <w:widowControl/>
              <w:suppressLineNumbers w:val="0"/>
              <w:adjustRightInd w:val="0"/>
              <w:snapToGrid w:val="0"/>
              <w:spacing w:before="0" w:beforeAutospacing="0" w:after="0" w:afterAutospacing="0" w:line="240" w:lineRule="auto"/>
              <w:ind w:left="0" w:right="0" w:firstLine="398" w:firstLineChars="200"/>
              <w:jc w:val="both"/>
              <w:rPr>
                <w:rFonts w:hint="default" w:ascii="Times New Roman" w:hAnsi="Times New Roman" w:eastAsia="宋体" w:cs="Times New Roman"/>
                <w:b/>
                <w:bCs/>
                <w:snapToGrid w:val="0"/>
                <w:color w:val="000000"/>
                <w:spacing w:val="-6"/>
                <w:kern w:val="0"/>
                <w:sz w:val="21"/>
                <w:szCs w:val="21"/>
                <w:lang w:val="en-US" w:eastAsia="zh-CN" w:bidi="ar-SA"/>
              </w:rPr>
            </w:pPr>
            <w:r>
              <w:rPr>
                <w:rFonts w:hint="default" w:ascii="Times New Roman" w:hAnsi="Times New Roman" w:eastAsia="宋体" w:cs="Times New Roman"/>
                <w:b/>
                <w:bCs/>
                <w:snapToGrid w:val="0"/>
                <w:color w:val="000000"/>
                <w:spacing w:val="-6"/>
                <w:kern w:val="0"/>
                <w:sz w:val="21"/>
                <w:szCs w:val="21"/>
                <w:lang w:val="en-US" w:eastAsia="zh-CN" w:bidi="ar-SA"/>
              </w:rPr>
              <w:t>表</w:t>
            </w:r>
            <w:r>
              <w:rPr>
                <w:rFonts w:hint="eastAsia" w:ascii="Times New Roman" w:hAnsi="Times New Roman" w:eastAsia="宋体" w:cs="Times New Roman"/>
                <w:b/>
                <w:bCs/>
                <w:snapToGrid w:val="0"/>
                <w:color w:val="000000"/>
                <w:spacing w:val="-6"/>
                <w:kern w:val="0"/>
                <w:sz w:val="21"/>
                <w:szCs w:val="21"/>
                <w:lang w:val="en-US" w:eastAsia="zh-CN" w:bidi="ar-SA"/>
              </w:rPr>
              <w:t>3-2</w:t>
            </w:r>
            <w:r>
              <w:rPr>
                <w:rFonts w:hint="default" w:ascii="Times New Roman" w:hAnsi="Times New Roman" w:eastAsia="宋体" w:cs="Times New Roman"/>
                <w:b/>
                <w:bCs/>
                <w:snapToGrid w:val="0"/>
                <w:color w:val="000000"/>
                <w:spacing w:val="-6"/>
                <w:kern w:val="0"/>
                <w:sz w:val="21"/>
                <w:szCs w:val="21"/>
                <w:lang w:val="en-US" w:eastAsia="zh-CN" w:bidi="ar-SA"/>
              </w:rPr>
              <w:t xml:space="preserve">    </w:t>
            </w:r>
            <w:r>
              <w:rPr>
                <w:rFonts w:hint="eastAsia" w:ascii="Times New Roman" w:hAnsi="Times New Roman" w:eastAsia="宋体" w:cs="Times New Roman"/>
                <w:b/>
                <w:bCs/>
                <w:snapToGrid w:val="0"/>
                <w:color w:val="000000"/>
                <w:spacing w:val="-6"/>
                <w:kern w:val="0"/>
                <w:sz w:val="21"/>
                <w:szCs w:val="21"/>
                <w:lang w:val="en-US" w:eastAsia="zh-CN" w:bidi="ar-SA"/>
              </w:rPr>
              <w:t xml:space="preserve">  </w:t>
            </w:r>
            <w:r>
              <w:rPr>
                <w:rFonts w:hint="default" w:ascii="Times New Roman" w:hAnsi="Times New Roman" w:eastAsia="宋体" w:cs="Times New Roman"/>
                <w:b/>
                <w:bCs/>
                <w:snapToGrid w:val="0"/>
                <w:color w:val="000000"/>
                <w:spacing w:val="-6"/>
                <w:kern w:val="0"/>
                <w:sz w:val="21"/>
                <w:szCs w:val="21"/>
                <w:lang w:val="en-US" w:eastAsia="zh-CN" w:bidi="ar-SA"/>
              </w:rPr>
              <w:t xml:space="preserve">       </w:t>
            </w:r>
            <w:r>
              <w:rPr>
                <w:rFonts w:hint="eastAsia" w:ascii="Times New Roman" w:hAnsi="Times New Roman" w:eastAsia="宋体" w:cs="Times New Roman"/>
                <w:b/>
                <w:bCs/>
                <w:snapToGrid w:val="0"/>
                <w:color w:val="000000"/>
                <w:spacing w:val="-6"/>
                <w:kern w:val="0"/>
                <w:sz w:val="21"/>
                <w:szCs w:val="21"/>
                <w:lang w:val="en-US" w:eastAsia="zh-CN" w:bidi="ar-SA"/>
              </w:rPr>
              <w:t xml:space="preserve"> </w:t>
            </w:r>
            <w:r>
              <w:rPr>
                <w:rFonts w:hint="default" w:ascii="Times New Roman" w:hAnsi="Times New Roman" w:eastAsia="宋体" w:cs="Times New Roman"/>
                <w:b/>
                <w:bCs/>
                <w:snapToGrid w:val="0"/>
                <w:color w:val="000000"/>
                <w:spacing w:val="-6"/>
                <w:kern w:val="0"/>
                <w:sz w:val="21"/>
                <w:szCs w:val="21"/>
                <w:lang w:val="en-US" w:eastAsia="zh-CN" w:bidi="ar-SA"/>
              </w:rPr>
              <w:t xml:space="preserve">  项目区环境空气质量评价结果统计表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17"/>
              <w:gridCol w:w="900"/>
              <w:gridCol w:w="915"/>
              <w:gridCol w:w="1098"/>
              <w:gridCol w:w="1379"/>
              <w:gridCol w:w="792"/>
              <w:gridCol w:w="502"/>
              <w:gridCol w:w="479"/>
            </w:tblGrid>
            <w:tr w14:paraId="672B82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2" w:type="pct"/>
                  <w:gridSpan w:val="2"/>
                  <w:tcBorders>
                    <w:tl2br w:val="nil"/>
                    <w:tr2bl w:val="nil"/>
                  </w:tcBorders>
                  <w:noWrap w:val="0"/>
                  <w:vAlign w:val="center"/>
                </w:tcPr>
                <w:p w14:paraId="02D1BED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监测点坐标/m</w:t>
                  </w:r>
                </w:p>
              </w:tc>
              <w:tc>
                <w:tcPr>
                  <w:tcW w:w="538" w:type="pct"/>
                  <w:vMerge w:val="restart"/>
                  <w:tcBorders>
                    <w:tl2br w:val="nil"/>
                    <w:tr2bl w:val="nil"/>
                  </w:tcBorders>
                  <w:noWrap w:val="0"/>
                  <w:vAlign w:val="center"/>
                </w:tcPr>
                <w:p w14:paraId="787E43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污染物</w:t>
                  </w:r>
                </w:p>
              </w:tc>
              <w:tc>
                <w:tcPr>
                  <w:tcW w:w="547" w:type="pct"/>
                  <w:vMerge w:val="restart"/>
                  <w:tcBorders>
                    <w:tl2br w:val="nil"/>
                    <w:tr2bl w:val="nil"/>
                  </w:tcBorders>
                  <w:noWrap w:val="0"/>
                  <w:vAlign w:val="center"/>
                </w:tcPr>
                <w:p w14:paraId="64A7B0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平均时间</w:t>
                  </w:r>
                </w:p>
              </w:tc>
              <w:tc>
                <w:tcPr>
                  <w:tcW w:w="656" w:type="pct"/>
                  <w:vMerge w:val="restart"/>
                  <w:tcBorders>
                    <w:tl2br w:val="nil"/>
                    <w:tr2bl w:val="nil"/>
                  </w:tcBorders>
                  <w:noWrap w:val="0"/>
                  <w:vAlign w:val="center"/>
                </w:tcPr>
                <w:p w14:paraId="342746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评价标准/（</w:t>
                  </w: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u</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824" w:type="pct"/>
                  <w:vMerge w:val="restart"/>
                  <w:tcBorders>
                    <w:tl2br w:val="nil"/>
                    <w:tr2bl w:val="nil"/>
                  </w:tcBorders>
                  <w:noWrap w:val="0"/>
                  <w:vAlign w:val="center"/>
                </w:tcPr>
                <w:p w14:paraId="47A8087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监测浓度范围/（</w:t>
                  </w: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u</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473" w:type="pct"/>
                  <w:vMerge w:val="restart"/>
                  <w:tcBorders>
                    <w:tl2br w:val="nil"/>
                    <w:tr2bl w:val="nil"/>
                  </w:tcBorders>
                  <w:noWrap w:val="0"/>
                  <w:vAlign w:val="center"/>
                </w:tcPr>
                <w:p w14:paraId="1E6707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最大浓度占标率/%</w:t>
                  </w:r>
                </w:p>
              </w:tc>
              <w:tc>
                <w:tcPr>
                  <w:tcW w:w="300" w:type="pct"/>
                  <w:vMerge w:val="restart"/>
                  <w:tcBorders>
                    <w:tl2br w:val="nil"/>
                    <w:tr2bl w:val="nil"/>
                  </w:tcBorders>
                  <w:noWrap w:val="0"/>
                  <w:vAlign w:val="center"/>
                </w:tcPr>
                <w:p w14:paraId="344853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超标率/%</w:t>
                  </w:r>
                </w:p>
              </w:tc>
              <w:tc>
                <w:tcPr>
                  <w:tcW w:w="286" w:type="pct"/>
                  <w:vMerge w:val="restart"/>
                  <w:tcBorders>
                    <w:tl2br w:val="nil"/>
                    <w:tr2bl w:val="nil"/>
                  </w:tcBorders>
                  <w:noWrap w:val="0"/>
                  <w:vAlign w:val="center"/>
                </w:tcPr>
                <w:p w14:paraId="1AA4D5F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达标情况</w:t>
                  </w:r>
                </w:p>
              </w:tc>
            </w:tr>
            <w:tr w14:paraId="37E52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5" w:type="pct"/>
                  <w:tcBorders>
                    <w:tl2br w:val="nil"/>
                    <w:tr2bl w:val="nil"/>
                  </w:tcBorders>
                  <w:noWrap w:val="0"/>
                  <w:vAlign w:val="center"/>
                </w:tcPr>
                <w:p w14:paraId="1ADD83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X</w:t>
                  </w:r>
                </w:p>
              </w:tc>
              <w:tc>
                <w:tcPr>
                  <w:tcW w:w="726" w:type="pct"/>
                  <w:tcBorders>
                    <w:tl2br w:val="nil"/>
                    <w:tr2bl w:val="nil"/>
                  </w:tcBorders>
                  <w:noWrap w:val="0"/>
                  <w:vAlign w:val="center"/>
                </w:tcPr>
                <w:p w14:paraId="1A843D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Y</w:t>
                  </w:r>
                </w:p>
              </w:tc>
              <w:tc>
                <w:tcPr>
                  <w:tcW w:w="538" w:type="pct"/>
                  <w:vMerge w:val="continue"/>
                  <w:tcBorders>
                    <w:tl2br w:val="nil"/>
                    <w:tr2bl w:val="nil"/>
                  </w:tcBorders>
                  <w:noWrap w:val="0"/>
                  <w:vAlign w:val="center"/>
                </w:tcPr>
                <w:p w14:paraId="256F85C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547" w:type="pct"/>
                  <w:vMerge w:val="continue"/>
                  <w:tcBorders>
                    <w:tl2br w:val="nil"/>
                    <w:tr2bl w:val="nil"/>
                  </w:tcBorders>
                  <w:noWrap w:val="0"/>
                  <w:vAlign w:val="center"/>
                </w:tcPr>
                <w:p w14:paraId="1FD863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656" w:type="pct"/>
                  <w:vMerge w:val="continue"/>
                  <w:tcBorders>
                    <w:tl2br w:val="nil"/>
                    <w:tr2bl w:val="nil"/>
                  </w:tcBorders>
                  <w:noWrap w:val="0"/>
                  <w:vAlign w:val="center"/>
                </w:tcPr>
                <w:p w14:paraId="328DF3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824" w:type="pct"/>
                  <w:vMerge w:val="continue"/>
                  <w:tcBorders>
                    <w:tl2br w:val="nil"/>
                    <w:tr2bl w:val="nil"/>
                  </w:tcBorders>
                  <w:noWrap w:val="0"/>
                  <w:vAlign w:val="center"/>
                </w:tcPr>
                <w:p w14:paraId="0F77FC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473" w:type="pct"/>
                  <w:vMerge w:val="continue"/>
                  <w:tcBorders>
                    <w:tl2br w:val="nil"/>
                    <w:tr2bl w:val="nil"/>
                  </w:tcBorders>
                  <w:noWrap w:val="0"/>
                  <w:vAlign w:val="center"/>
                </w:tcPr>
                <w:p w14:paraId="024AC3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300" w:type="pct"/>
                  <w:vMerge w:val="continue"/>
                  <w:tcBorders>
                    <w:tl2br w:val="nil"/>
                    <w:tr2bl w:val="nil"/>
                  </w:tcBorders>
                  <w:noWrap w:val="0"/>
                  <w:vAlign w:val="center"/>
                </w:tcPr>
                <w:p w14:paraId="25B327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286" w:type="pct"/>
                  <w:vMerge w:val="continue"/>
                  <w:tcBorders>
                    <w:tl2br w:val="nil"/>
                    <w:tr2bl w:val="nil"/>
                  </w:tcBorders>
                  <w:noWrap w:val="0"/>
                  <w:vAlign w:val="center"/>
                </w:tcPr>
                <w:p w14:paraId="14F708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r>
            <w:tr w14:paraId="154AF7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pct"/>
                  <w:tcBorders>
                    <w:tl2br w:val="nil"/>
                    <w:tr2bl w:val="nil"/>
                  </w:tcBorders>
                  <w:noWrap w:val="0"/>
                  <w:vAlign w:val="center"/>
                </w:tcPr>
                <w:p w14:paraId="54F983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86.242199</w:t>
                  </w:r>
                </w:p>
              </w:tc>
              <w:tc>
                <w:tcPr>
                  <w:tcW w:w="726" w:type="pct"/>
                  <w:tcBorders>
                    <w:tl2br w:val="nil"/>
                    <w:tr2bl w:val="nil"/>
                  </w:tcBorders>
                  <w:noWrap w:val="0"/>
                  <w:vAlign w:val="center"/>
                </w:tcPr>
                <w:p w14:paraId="169EE2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41.361361</w:t>
                  </w:r>
                </w:p>
              </w:tc>
              <w:tc>
                <w:tcPr>
                  <w:tcW w:w="538" w:type="pct"/>
                  <w:tcBorders>
                    <w:tl2br w:val="nil"/>
                    <w:tr2bl w:val="nil"/>
                  </w:tcBorders>
                  <w:noWrap w:val="0"/>
                  <w:vAlign w:val="center"/>
                </w:tcPr>
                <w:p w14:paraId="175BFF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TSP</w:t>
                  </w:r>
                </w:p>
              </w:tc>
              <w:tc>
                <w:tcPr>
                  <w:tcW w:w="547" w:type="pct"/>
                  <w:tcBorders>
                    <w:tl2br w:val="nil"/>
                    <w:tr2bl w:val="nil"/>
                  </w:tcBorders>
                  <w:noWrap w:val="0"/>
                  <w:vAlign w:val="center"/>
                </w:tcPr>
                <w:p w14:paraId="0FFC57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日均</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值</w:t>
                  </w:r>
                </w:p>
              </w:tc>
              <w:tc>
                <w:tcPr>
                  <w:tcW w:w="656" w:type="pct"/>
                  <w:tcBorders>
                    <w:tl2br w:val="nil"/>
                    <w:tr2bl w:val="nil"/>
                  </w:tcBorders>
                  <w:noWrap w:val="0"/>
                  <w:vAlign w:val="center"/>
                </w:tcPr>
                <w:p w14:paraId="4E5147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300</w:t>
                  </w:r>
                </w:p>
              </w:tc>
              <w:tc>
                <w:tcPr>
                  <w:tcW w:w="824" w:type="pct"/>
                  <w:tcBorders>
                    <w:tl2br w:val="nil"/>
                    <w:tr2bl w:val="nil"/>
                  </w:tcBorders>
                  <w:noWrap w:val="0"/>
                  <w:vAlign w:val="center"/>
                </w:tcPr>
                <w:p w14:paraId="13D227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2</w:t>
                  </w:r>
                  <w:r>
                    <w:rPr>
                      <w:rFonts w:hint="eastAsia" w:cs="Times New Roman"/>
                      <w:b w:val="0"/>
                      <w:bCs w:val="0"/>
                      <w:snapToGrid w:val="0"/>
                      <w:color w:val="000000"/>
                      <w:spacing w:val="0"/>
                      <w:kern w:val="0"/>
                      <w:position w:val="0"/>
                      <w:sz w:val="21"/>
                      <w:szCs w:val="21"/>
                      <w:highlight w:val="none"/>
                      <w:vertAlign w:val="baseline"/>
                      <w:lang w:val="en-US" w:eastAsia="zh-CN"/>
                    </w:rPr>
                    <w:t>00</w:t>
                  </w: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~2</w:t>
                  </w:r>
                  <w:r>
                    <w:rPr>
                      <w:rFonts w:hint="eastAsia" w:cs="Times New Roman"/>
                      <w:b w:val="0"/>
                      <w:bCs w:val="0"/>
                      <w:snapToGrid w:val="0"/>
                      <w:color w:val="000000"/>
                      <w:spacing w:val="0"/>
                      <w:kern w:val="0"/>
                      <w:position w:val="0"/>
                      <w:sz w:val="21"/>
                      <w:szCs w:val="21"/>
                      <w:highlight w:val="none"/>
                      <w:vertAlign w:val="baseline"/>
                      <w:lang w:val="en-US" w:eastAsia="zh-CN"/>
                    </w:rPr>
                    <w:t>15</w:t>
                  </w:r>
                </w:p>
              </w:tc>
              <w:tc>
                <w:tcPr>
                  <w:tcW w:w="473" w:type="pct"/>
                  <w:tcBorders>
                    <w:tl2br w:val="nil"/>
                    <w:tr2bl w:val="nil"/>
                  </w:tcBorders>
                  <w:noWrap w:val="0"/>
                  <w:vAlign w:val="center"/>
                </w:tcPr>
                <w:p w14:paraId="53489A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71.7</w:t>
                  </w:r>
                </w:p>
              </w:tc>
              <w:tc>
                <w:tcPr>
                  <w:tcW w:w="300" w:type="pct"/>
                  <w:tcBorders>
                    <w:tl2br w:val="nil"/>
                    <w:tr2bl w:val="nil"/>
                  </w:tcBorders>
                  <w:noWrap w:val="0"/>
                  <w:vAlign w:val="center"/>
                </w:tcPr>
                <w:p w14:paraId="5F34FB9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0</w:t>
                  </w:r>
                </w:p>
              </w:tc>
              <w:tc>
                <w:tcPr>
                  <w:tcW w:w="286" w:type="pct"/>
                  <w:tcBorders>
                    <w:tl2br w:val="nil"/>
                    <w:tr2bl w:val="nil"/>
                  </w:tcBorders>
                  <w:noWrap w:val="0"/>
                  <w:vAlign w:val="center"/>
                </w:tcPr>
                <w:p w14:paraId="35FC898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w:t>
                  </w:r>
                </w:p>
              </w:tc>
            </w:tr>
          </w:tbl>
          <w:p w14:paraId="1F821085">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color w:val="000000"/>
              </w:rPr>
            </w:pPr>
            <w:r>
              <w:rPr>
                <w:rFonts w:hint="default" w:ascii="Times New Roman" w:hAnsi="Times New Roman" w:eastAsia="宋体" w:cs="Times New Roman"/>
                <w:color w:val="000000"/>
              </w:rPr>
              <w:t>从</w:t>
            </w:r>
            <w:r>
              <w:rPr>
                <w:rFonts w:hint="eastAsia" w:ascii="Times New Roman" w:hAnsi="Times New Roman" w:eastAsia="宋体" w:cs="Times New Roman"/>
                <w:color w:val="000000"/>
              </w:rPr>
              <w:t>上</w:t>
            </w:r>
            <w:r>
              <w:rPr>
                <w:rFonts w:hint="default" w:ascii="Times New Roman" w:hAnsi="Times New Roman" w:eastAsia="宋体" w:cs="Times New Roman"/>
                <w:color w:val="000000"/>
              </w:rPr>
              <w:t>表分析结果可知，本项目所在区域</w:t>
            </w:r>
            <w:r>
              <w:rPr>
                <w:rFonts w:hint="eastAsia" w:ascii="Times New Roman" w:hAnsi="Times New Roman" w:eastAsia="宋体" w:cs="Times New Roman"/>
                <w:color w:val="000000"/>
              </w:rPr>
              <w:t>颗粒物可满足《环境空气质量标准》（GB3095-2012）</w:t>
            </w:r>
            <w:r>
              <w:rPr>
                <w:rFonts w:hint="eastAsia" w:ascii="Times New Roman" w:hAnsi="Times New Roman" w:eastAsia="宋体" w:cs="Times New Roman"/>
                <w:color w:val="000000"/>
                <w:lang w:val="en-US" w:eastAsia="zh-CN"/>
              </w:rPr>
              <w:t>及修改单中</w:t>
            </w:r>
            <w:r>
              <w:rPr>
                <w:rFonts w:hint="eastAsia" w:ascii="Times New Roman" w:hAnsi="Times New Roman" w:eastAsia="宋体" w:cs="Times New Roman"/>
                <w:color w:val="000000"/>
              </w:rPr>
              <w:t>二级标准限值</w:t>
            </w:r>
            <w:r>
              <w:rPr>
                <w:rFonts w:hint="default" w:ascii="Times New Roman" w:hAnsi="Times New Roman" w:eastAsia="宋体" w:cs="Times New Roman"/>
                <w:bCs/>
                <w:color w:val="000000"/>
              </w:rPr>
              <w:t>。</w:t>
            </w:r>
          </w:p>
          <w:p w14:paraId="6F6B61B8">
            <w:pPr>
              <w:keepNext w:val="0"/>
              <w:keepLines/>
              <w:suppressLineNumbers w:val="0"/>
              <w:adjustRightInd w:val="0"/>
              <w:snapToGrid w:val="0"/>
              <w:spacing w:before="0" w:beforeAutospacing="0" w:after="0" w:afterAutospacing="0"/>
              <w:ind w:left="0" w:right="0"/>
              <w:textAlignment w:val="baseline"/>
              <w:rPr>
                <w:rFonts w:hint="default"/>
                <w:b/>
                <w:color w:val="000000"/>
                <w:kern w:val="0"/>
              </w:rPr>
            </w:pPr>
            <w:r>
              <w:rPr>
                <w:rFonts w:hint="eastAsia"/>
                <w:b/>
                <w:color w:val="000000"/>
                <w:kern w:val="0"/>
              </w:rPr>
              <w:t>2、地表水环境质量</w:t>
            </w:r>
          </w:p>
          <w:p w14:paraId="271E333E">
            <w:pPr>
              <w:keepNext w:val="0"/>
              <w:keepLines w:val="0"/>
              <w:suppressLineNumbers w:val="0"/>
              <w:bidi w:val="0"/>
              <w:spacing w:before="0" w:beforeAutospacing="0" w:after="0" w:afterAutospacing="0" w:line="360" w:lineRule="auto"/>
              <w:ind w:left="0" w:right="0" w:firstLine="480" w:firstLineChars="200"/>
              <w:rPr>
                <w:rFonts w:hint="default"/>
                <w:color w:val="000000"/>
                <w:kern w:val="0"/>
                <w:highlight w:val="none"/>
                <w:lang w:val="en-US" w:eastAsia="zh-CN"/>
              </w:rPr>
            </w:pPr>
            <w:bookmarkStart w:id="7" w:name="_Toc27865"/>
            <w:r>
              <w:rPr>
                <w:rFonts w:hint="default"/>
                <w:color w:val="000000"/>
                <w:kern w:val="0"/>
                <w:highlight w:val="none"/>
                <w:lang w:val="en-US" w:eastAsia="zh-CN"/>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14:paraId="3CBF5BCE">
            <w:pPr>
              <w:keepNext w:val="0"/>
              <w:keepLines w:val="0"/>
              <w:suppressLineNumbers w:val="0"/>
              <w:bidi w:val="0"/>
              <w:spacing w:before="0" w:beforeAutospacing="0" w:after="0" w:afterAutospacing="0" w:line="360" w:lineRule="auto"/>
              <w:ind w:left="0" w:right="0" w:firstLine="480" w:firstLineChars="200"/>
              <w:rPr>
                <w:rFonts w:hint="default"/>
                <w:color w:val="000000"/>
                <w:kern w:val="0"/>
                <w:highlight w:val="none"/>
              </w:rPr>
            </w:pPr>
            <w:r>
              <w:rPr>
                <w:rFonts w:hint="default"/>
                <w:color w:val="000000"/>
                <w:kern w:val="0"/>
                <w:highlight w:val="none"/>
                <w:lang w:val="en-US" w:eastAsia="zh-CN"/>
              </w:rPr>
              <w:t>距离项目区最近的地表水体为</w:t>
            </w:r>
            <w:r>
              <w:rPr>
                <w:rFonts w:hint="eastAsia"/>
                <w:sz w:val="24"/>
                <w:highlight w:val="none"/>
                <w:lang w:val="en-US" w:eastAsia="zh-CN"/>
              </w:rPr>
              <w:t>兴平干渠</w:t>
            </w:r>
            <w:r>
              <w:rPr>
                <w:rFonts w:hint="default"/>
                <w:color w:val="000000"/>
                <w:kern w:val="0"/>
                <w:highlight w:val="none"/>
                <w:lang w:val="en-US" w:eastAsia="zh-CN"/>
              </w:rPr>
              <w:t>，</w:t>
            </w:r>
            <w:r>
              <w:rPr>
                <w:rFonts w:hint="eastAsia"/>
                <w:color w:val="000000"/>
                <w:kern w:val="0"/>
                <w:highlight w:val="none"/>
                <w:lang w:val="en-US" w:eastAsia="zh-CN"/>
              </w:rPr>
              <w:t>为孔雀河的支流，位于本项目东侧1.36km处，</w:t>
            </w:r>
            <w:r>
              <w:rPr>
                <w:rFonts w:hint="eastAsia" w:ascii="Times New Roman" w:hAnsi="Times New Roman" w:eastAsia="宋体" w:cs="Times New Roman"/>
                <w:color w:val="000000"/>
                <w:sz w:val="24"/>
                <w:szCs w:val="24"/>
                <w:highlight w:val="none"/>
                <w:lang w:val="en-US" w:eastAsia="zh-CN"/>
              </w:rPr>
              <w:t>孔雀河水质可满足《地表水环境质量标准》（GB3838-2002）中Ⅲ类水质标准。</w:t>
            </w:r>
          </w:p>
          <w:p w14:paraId="311ED15C">
            <w:pPr>
              <w:keepNext w:val="0"/>
              <w:keepLines/>
              <w:suppressLineNumbers w:val="0"/>
              <w:adjustRightInd w:val="0"/>
              <w:snapToGrid w:val="0"/>
              <w:spacing w:before="0" w:beforeAutospacing="0" w:after="0" w:afterAutospacing="0"/>
              <w:ind w:left="0" w:right="0"/>
              <w:textAlignment w:val="baseline"/>
              <w:rPr>
                <w:rFonts w:hint="default"/>
                <w:b/>
                <w:color w:val="000000"/>
                <w:kern w:val="0"/>
                <w:highlight w:val="none"/>
              </w:rPr>
            </w:pPr>
            <w:r>
              <w:rPr>
                <w:rFonts w:hint="eastAsia"/>
                <w:b/>
                <w:color w:val="000000"/>
                <w:kern w:val="0"/>
                <w:highlight w:val="none"/>
              </w:rPr>
              <w:t>3、声环境质量现状</w:t>
            </w:r>
            <w:bookmarkEnd w:id="7"/>
          </w:p>
          <w:p w14:paraId="220925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rPr>
            </w:pPr>
            <w:r>
              <w:rPr>
                <w:rFonts w:hint="eastAsia" w:cs="Times New Roman"/>
                <w:lang w:eastAsia="zh-CN"/>
              </w:rPr>
              <w:t>本项目区周边</w:t>
            </w:r>
            <w:r>
              <w:rPr>
                <w:rFonts w:hint="eastAsia" w:cs="Times New Roman"/>
                <w:lang w:val="en-US" w:eastAsia="zh-CN"/>
              </w:rPr>
              <w:t>50m范围内无声环境敏感保护目标，故不进行声环境质量现状监测</w:t>
            </w:r>
            <w:r>
              <w:rPr>
                <w:rFonts w:hint="default" w:cs="Times New Roman"/>
              </w:rPr>
              <w:t>。</w:t>
            </w:r>
          </w:p>
          <w:p w14:paraId="387EC676">
            <w:pPr>
              <w:keepNext w:val="0"/>
              <w:keepLines w:val="0"/>
              <w:suppressLineNumbers w:val="0"/>
              <w:spacing w:before="0" w:beforeAutospacing="0" w:after="0" w:afterAutospacing="0"/>
              <w:ind w:left="0" w:right="0"/>
              <w:rPr>
                <w:rFonts w:hint="eastAsia" w:eastAsia="宋体"/>
                <w:b/>
                <w:bCs/>
                <w:color w:val="000000"/>
                <w:lang w:val="en-US" w:eastAsia="zh-CN"/>
              </w:rPr>
            </w:pPr>
            <w:r>
              <w:rPr>
                <w:rFonts w:hint="eastAsia"/>
                <w:b/>
                <w:bCs/>
                <w:color w:val="000000"/>
              </w:rPr>
              <w:t>4</w:t>
            </w:r>
            <w:r>
              <w:rPr>
                <w:rFonts w:hint="default"/>
                <w:b/>
                <w:bCs/>
                <w:color w:val="000000"/>
              </w:rPr>
              <w:t>生态环境</w:t>
            </w:r>
            <w:r>
              <w:rPr>
                <w:rFonts w:hint="eastAsia"/>
                <w:b/>
                <w:bCs/>
                <w:color w:val="000000"/>
                <w:lang w:val="en-US" w:eastAsia="zh-CN"/>
              </w:rPr>
              <w:t>现状</w:t>
            </w:r>
          </w:p>
          <w:p w14:paraId="0A01E159">
            <w:pPr>
              <w:keepNext w:val="0"/>
              <w:keepLines w:val="0"/>
              <w:suppressLineNumbers w:val="0"/>
              <w:spacing w:before="0" w:beforeAutospacing="0" w:after="0" w:afterAutospacing="0"/>
              <w:ind w:left="0" w:right="0" w:firstLine="480" w:firstLineChars="200"/>
              <w:rPr>
                <w:rFonts w:hint="default" w:eastAsia="宋体"/>
                <w:lang w:val="en-US" w:eastAsia="zh-CN"/>
              </w:rPr>
            </w:pPr>
            <w:r>
              <w:rPr>
                <w:rFonts w:hint="default"/>
                <w:color w:val="000000"/>
                <w:kern w:val="0"/>
                <w:szCs w:val="21"/>
              </w:rPr>
              <w:t>根据《建设项目环境影响报告表编制技术指南（污染影响类）（试行）》要求，</w:t>
            </w:r>
            <w:r>
              <w:rPr>
                <w:rFonts w:hint="eastAsia"/>
                <w:color w:val="000000"/>
                <w:kern w:val="0"/>
                <w:szCs w:val="21"/>
                <w:lang w:val="en-US" w:eastAsia="zh-CN"/>
              </w:rPr>
              <w:t>园区内项目可不开展生态现状调查</w:t>
            </w:r>
            <w:r>
              <w:rPr>
                <w:rFonts w:hint="eastAsia"/>
                <w:color w:val="000000"/>
                <w:kern w:val="0"/>
                <w:szCs w:val="21"/>
              </w:rPr>
              <w:t>，</w:t>
            </w:r>
            <w:r>
              <w:rPr>
                <w:rFonts w:hint="eastAsia"/>
                <w:color w:val="000000"/>
                <w:kern w:val="0"/>
                <w:szCs w:val="21"/>
                <w:lang w:val="en-US" w:eastAsia="zh-CN"/>
              </w:rPr>
              <w:t>本项目位于</w:t>
            </w:r>
            <w:r>
              <w:rPr>
                <w:rFonts w:hint="default" w:eastAsia="宋体"/>
                <w:szCs w:val="21"/>
                <w:lang w:val="en-US" w:eastAsia="zh-CN"/>
              </w:rPr>
              <w:t>尉犁工业园区尉北区</w:t>
            </w:r>
            <w:r>
              <w:rPr>
                <w:rFonts w:hint="eastAsia"/>
                <w:color w:val="000000"/>
                <w:kern w:val="0"/>
                <w:szCs w:val="21"/>
                <w:lang w:val="en-US" w:eastAsia="zh-CN"/>
              </w:rPr>
              <w:t>内，</w:t>
            </w:r>
            <w:r>
              <w:rPr>
                <w:rFonts w:hint="eastAsia"/>
                <w:color w:val="000000"/>
              </w:rPr>
              <w:t>因此不开展生态环境现状调查</w:t>
            </w:r>
            <w:r>
              <w:rPr>
                <w:rFonts w:hint="default"/>
                <w:color w:val="000000"/>
              </w:rPr>
              <w:t>。</w:t>
            </w:r>
          </w:p>
          <w:p w14:paraId="6144C6C3">
            <w:pPr>
              <w:keepNext w:val="0"/>
              <w:keepLines w:val="0"/>
              <w:suppressLineNumbers w:val="0"/>
              <w:spacing w:before="0" w:beforeAutospacing="0" w:after="0" w:afterAutospacing="0"/>
              <w:ind w:left="0" w:right="0"/>
              <w:rPr>
                <w:rFonts w:hint="eastAsia" w:eastAsia="宋体"/>
                <w:b/>
                <w:bCs/>
                <w:color w:val="000000"/>
                <w:lang w:val="en-US" w:eastAsia="zh-CN"/>
              </w:rPr>
            </w:pPr>
            <w:r>
              <w:rPr>
                <w:rFonts w:hint="default"/>
                <w:b/>
                <w:bCs/>
                <w:color w:val="000000"/>
              </w:rPr>
              <w:t>5地下水</w:t>
            </w:r>
            <w:r>
              <w:rPr>
                <w:rFonts w:hint="eastAsia"/>
                <w:b/>
                <w:bCs/>
                <w:color w:val="000000"/>
                <w:lang w:eastAsia="zh-CN"/>
              </w:rPr>
              <w:t>、</w:t>
            </w:r>
            <w:r>
              <w:rPr>
                <w:rFonts w:hint="eastAsia"/>
                <w:b/>
                <w:bCs/>
                <w:color w:val="000000"/>
                <w:lang w:val="en-US" w:eastAsia="zh-CN"/>
              </w:rPr>
              <w:t>土壤</w:t>
            </w:r>
            <w:r>
              <w:rPr>
                <w:rFonts w:hint="default"/>
                <w:b/>
                <w:bCs/>
                <w:color w:val="000000"/>
              </w:rPr>
              <w:t>环境</w:t>
            </w:r>
            <w:r>
              <w:rPr>
                <w:rFonts w:hint="eastAsia"/>
                <w:b/>
                <w:bCs/>
                <w:color w:val="000000"/>
                <w:lang w:val="en-US" w:eastAsia="zh-CN"/>
              </w:rPr>
              <w:t>现状</w:t>
            </w:r>
          </w:p>
          <w:p w14:paraId="79B53B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eastAsia"/>
                <w:color w:val="000000"/>
                <w:lang w:val="en-US" w:eastAsia="zh-CN"/>
              </w:rPr>
            </w:pPr>
            <w:r>
              <w:rPr>
                <w:rFonts w:hint="eastAsia"/>
                <w:color w:val="000000"/>
                <w:lang w:val="en-US" w:eastAsia="zh-CN"/>
              </w:rPr>
              <w:t>本项目不存在土壤、地下水污染途径，且评价范围内无地下水、土壤环境保护目标，根据《建设项目环境影响报告表编制技术指南（污染影响类）（试行）》，本项目不需要进行地下水、土壤环境现状调查。</w:t>
            </w:r>
          </w:p>
          <w:p w14:paraId="7CA40BE2">
            <w:pPr>
              <w:keepNext w:val="0"/>
              <w:keepLines w:val="0"/>
              <w:suppressLineNumbers w:val="0"/>
              <w:spacing w:before="0" w:beforeAutospacing="0" w:after="0" w:afterAutospacing="0"/>
              <w:ind w:left="0" w:right="0"/>
              <w:rPr>
                <w:rFonts w:hint="eastAsia"/>
                <w:b/>
                <w:bCs/>
                <w:color w:val="000000"/>
                <w:lang w:val="en-US" w:eastAsia="zh-CN"/>
              </w:rPr>
            </w:pPr>
            <w:r>
              <w:rPr>
                <w:rFonts w:hint="eastAsia"/>
                <w:b/>
                <w:bCs/>
                <w:color w:val="000000"/>
                <w:lang w:val="en-US" w:eastAsia="zh-CN"/>
              </w:rPr>
              <w:t>6土地沙化现状</w:t>
            </w:r>
          </w:p>
          <w:p w14:paraId="191EC4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color w:val="000000"/>
                <w:lang w:val="en-US" w:eastAsia="zh-CN"/>
              </w:rPr>
            </w:pPr>
            <w:r>
              <w:rPr>
                <w:rFonts w:hint="default"/>
                <w:color w:val="000000"/>
                <w:lang w:val="en-US" w:eastAsia="zh-CN"/>
              </w:rPr>
              <w:t>根据《新疆第六次沙化监测报告》本项目位于</w:t>
            </w:r>
            <w:r>
              <w:rPr>
                <w:rFonts w:hint="default" w:eastAsia="宋体"/>
                <w:szCs w:val="21"/>
                <w:lang w:val="en-US" w:eastAsia="zh-CN"/>
              </w:rPr>
              <w:t>尉犁工业园区尉北区</w:t>
            </w:r>
            <w:r>
              <w:rPr>
                <w:rFonts w:hint="eastAsia"/>
                <w:color w:val="000000"/>
                <w:kern w:val="0"/>
                <w:szCs w:val="21"/>
                <w:lang w:val="en-US" w:eastAsia="zh-CN"/>
              </w:rPr>
              <w:t>内</w:t>
            </w:r>
            <w:r>
              <w:rPr>
                <w:rFonts w:hint="default"/>
                <w:color w:val="000000"/>
                <w:lang w:val="en-US" w:eastAsia="zh-CN"/>
              </w:rPr>
              <w:t>不属于沙化土地</w:t>
            </w:r>
            <w:r>
              <w:rPr>
                <w:rFonts w:hint="eastAsia"/>
                <w:color w:val="000000"/>
                <w:lang w:val="en-US" w:eastAsia="zh-CN"/>
              </w:rPr>
              <w:t>，详见附图8。</w:t>
            </w:r>
          </w:p>
        </w:tc>
      </w:tr>
      <w:tr w14:paraId="165D85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7" w:hRule="atLeast"/>
          <w:jc w:val="center"/>
        </w:trPr>
        <w:tc>
          <w:tcPr>
            <w:tcW w:w="485" w:type="dxa"/>
            <w:tcBorders>
              <w:tl2br w:val="nil"/>
              <w:tr2bl w:val="nil"/>
            </w:tcBorders>
            <w:noWrap w:val="0"/>
            <w:vAlign w:val="center"/>
          </w:tcPr>
          <w:p w14:paraId="477C2EA9">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环境</w:t>
            </w:r>
          </w:p>
          <w:p w14:paraId="2B865716">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保护</w:t>
            </w:r>
          </w:p>
          <w:p w14:paraId="1E4EC0D2">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目标</w:t>
            </w:r>
          </w:p>
        </w:tc>
        <w:tc>
          <w:tcPr>
            <w:tcW w:w="8576" w:type="dxa"/>
            <w:tcBorders>
              <w:tl2br w:val="nil"/>
              <w:tr2bl w:val="nil"/>
            </w:tcBorders>
            <w:noWrap w:val="0"/>
            <w:vAlign w:val="center"/>
          </w:tcPr>
          <w:p w14:paraId="45ED57B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项目周边500m范围内大气环境敏感目标为尉犁县技工学校</w:t>
            </w:r>
            <w:r>
              <w:rPr>
                <w:rFonts w:hint="eastAsia"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安居纺织园小区，</w:t>
            </w:r>
            <w:r>
              <w:rPr>
                <w:rFonts w:hint="default" w:ascii="Times New Roman" w:hAnsi="Times New Roman" w:eastAsia="宋体" w:cs="Times New Roman"/>
                <w:bCs/>
                <w:color w:val="auto"/>
                <w:sz w:val="24"/>
                <w:szCs w:val="24"/>
                <w:lang w:eastAsia="zh-CN"/>
              </w:rPr>
              <w:t>本项目</w:t>
            </w:r>
            <w:r>
              <w:rPr>
                <w:rFonts w:hint="default" w:ascii="Times New Roman" w:hAnsi="Times New Roman" w:eastAsia="宋体" w:cs="Times New Roman"/>
                <w:bCs/>
                <w:color w:val="auto"/>
                <w:sz w:val="24"/>
                <w:szCs w:val="24"/>
                <w:lang w:val="en-US" w:eastAsia="zh-CN"/>
              </w:rPr>
              <w:t>环境敏感保护目标见下表</w:t>
            </w:r>
            <w:r>
              <w:rPr>
                <w:rFonts w:hint="eastAsia" w:cs="Times New Roman"/>
                <w:bCs/>
                <w:color w:val="auto"/>
                <w:sz w:val="24"/>
                <w:szCs w:val="24"/>
                <w:lang w:val="en-US" w:eastAsia="zh-CN"/>
              </w:rPr>
              <w:t>，详见附图9。</w:t>
            </w:r>
          </w:p>
          <w:p w14:paraId="21DE9E8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表</w:t>
            </w:r>
            <w:r>
              <w:rPr>
                <w:rFonts w:hint="eastAsia" w:cs="Times New Roman"/>
                <w:b/>
                <w:bCs w:val="0"/>
                <w:color w:val="auto"/>
                <w:sz w:val="21"/>
                <w:szCs w:val="21"/>
                <w:lang w:val="en-US" w:eastAsia="zh-CN"/>
              </w:rPr>
              <w:t>3-3</w:t>
            </w:r>
            <w:r>
              <w:rPr>
                <w:rFonts w:hint="default" w:ascii="Times New Roman" w:hAnsi="Times New Roman" w:eastAsia="宋体" w:cs="Times New Roman"/>
                <w:b/>
                <w:bCs w:val="0"/>
                <w:color w:val="auto"/>
                <w:sz w:val="21"/>
                <w:szCs w:val="21"/>
                <w:lang w:val="en-US" w:eastAsia="zh-CN"/>
              </w:rPr>
              <w:t xml:space="preserve">           主要环境敏感点及保护目标</w:t>
            </w:r>
          </w:p>
          <w:tbl>
            <w:tblPr>
              <w:tblStyle w:val="36"/>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7"/>
              <w:gridCol w:w="950"/>
              <w:gridCol w:w="962"/>
              <w:gridCol w:w="663"/>
              <w:gridCol w:w="787"/>
              <w:gridCol w:w="663"/>
              <w:gridCol w:w="712"/>
              <w:gridCol w:w="2050"/>
            </w:tblGrid>
            <w:tr w14:paraId="20F3A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 w:type="pct"/>
                  <w:vMerge w:val="restart"/>
                  <w:tcBorders>
                    <w:tl2br w:val="nil"/>
                    <w:tr2bl w:val="nil"/>
                  </w:tcBorders>
                  <w:vAlign w:val="center"/>
                </w:tcPr>
                <w:p w14:paraId="51981C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序号</w:t>
                  </w:r>
                </w:p>
              </w:tc>
              <w:tc>
                <w:tcPr>
                  <w:tcW w:w="680" w:type="pct"/>
                  <w:vMerge w:val="restart"/>
                  <w:tcBorders>
                    <w:tl2br w:val="nil"/>
                    <w:tr2bl w:val="nil"/>
                  </w:tcBorders>
                  <w:vAlign w:val="center"/>
                </w:tcPr>
                <w:p w14:paraId="694E0F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环境敏感保护目标名称</w:t>
                  </w:r>
                </w:p>
              </w:tc>
              <w:tc>
                <w:tcPr>
                  <w:tcW w:w="1145" w:type="pct"/>
                  <w:gridSpan w:val="2"/>
                  <w:tcBorders>
                    <w:tl2br w:val="nil"/>
                    <w:tr2bl w:val="nil"/>
                  </w:tcBorders>
                  <w:vAlign w:val="center"/>
                </w:tcPr>
                <w:p w14:paraId="169B84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坐标</w:t>
                  </w:r>
                </w:p>
              </w:tc>
              <w:tc>
                <w:tcPr>
                  <w:tcW w:w="397" w:type="pct"/>
                  <w:vMerge w:val="restart"/>
                  <w:tcBorders>
                    <w:tl2br w:val="nil"/>
                    <w:tr2bl w:val="nil"/>
                  </w:tcBorders>
                  <w:vAlign w:val="center"/>
                </w:tcPr>
                <w:p w14:paraId="3030B1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保护内容</w:t>
                  </w:r>
                </w:p>
              </w:tc>
              <w:tc>
                <w:tcPr>
                  <w:tcW w:w="471" w:type="pct"/>
                  <w:vMerge w:val="restart"/>
                  <w:tcBorders>
                    <w:tl2br w:val="nil"/>
                    <w:tr2bl w:val="nil"/>
                  </w:tcBorders>
                  <w:vAlign w:val="center"/>
                </w:tcPr>
                <w:p w14:paraId="008C8A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相对场址方位</w:t>
                  </w:r>
                </w:p>
              </w:tc>
              <w:tc>
                <w:tcPr>
                  <w:tcW w:w="397" w:type="pct"/>
                  <w:vMerge w:val="restart"/>
                  <w:tcBorders>
                    <w:tl2br w:val="nil"/>
                    <w:tr2bl w:val="nil"/>
                  </w:tcBorders>
                  <w:vAlign w:val="center"/>
                </w:tcPr>
                <w:p w14:paraId="7225C8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rPr>
                    <w:t>相对距离/m</w:t>
                  </w:r>
                </w:p>
              </w:tc>
              <w:tc>
                <w:tcPr>
                  <w:tcW w:w="426" w:type="pct"/>
                  <w:vMerge w:val="restart"/>
                  <w:tcBorders>
                    <w:tl2br w:val="nil"/>
                    <w:tr2bl w:val="nil"/>
                  </w:tcBorders>
                  <w:vAlign w:val="center"/>
                </w:tcPr>
                <w:p w14:paraId="51C8F1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规模（人）</w:t>
                  </w:r>
                </w:p>
              </w:tc>
              <w:tc>
                <w:tcPr>
                  <w:tcW w:w="1227" w:type="pct"/>
                  <w:vMerge w:val="restart"/>
                  <w:tcBorders>
                    <w:tl2br w:val="nil"/>
                    <w:tr2bl w:val="nil"/>
                  </w:tcBorders>
                  <w:vAlign w:val="center"/>
                </w:tcPr>
                <w:p w14:paraId="6B63DA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环境功能</w:t>
                  </w:r>
                </w:p>
              </w:tc>
            </w:tr>
            <w:tr w14:paraId="37FA46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 w:type="pct"/>
                  <w:vMerge w:val="continue"/>
                  <w:tcBorders>
                    <w:tl2br w:val="nil"/>
                    <w:tr2bl w:val="nil"/>
                  </w:tcBorders>
                  <w:vAlign w:val="center"/>
                </w:tcPr>
                <w:p w14:paraId="72EDB87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680" w:type="pct"/>
                  <w:vMerge w:val="continue"/>
                  <w:tcBorders>
                    <w:tl2br w:val="nil"/>
                    <w:tr2bl w:val="nil"/>
                  </w:tcBorders>
                  <w:vAlign w:val="center"/>
                </w:tcPr>
                <w:p w14:paraId="493C0E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68" w:type="pct"/>
                  <w:tcBorders>
                    <w:tl2br w:val="nil"/>
                    <w:tr2bl w:val="nil"/>
                  </w:tcBorders>
                  <w:vAlign w:val="center"/>
                </w:tcPr>
                <w:p w14:paraId="55E0FDA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经度</w:t>
                  </w:r>
                </w:p>
              </w:tc>
              <w:tc>
                <w:tcPr>
                  <w:tcW w:w="576" w:type="pct"/>
                  <w:tcBorders>
                    <w:tl2br w:val="nil"/>
                    <w:tr2bl w:val="nil"/>
                  </w:tcBorders>
                  <w:vAlign w:val="center"/>
                </w:tcPr>
                <w:p w14:paraId="584E89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纬度</w:t>
                  </w:r>
                </w:p>
              </w:tc>
              <w:tc>
                <w:tcPr>
                  <w:tcW w:w="397" w:type="pct"/>
                  <w:vMerge w:val="continue"/>
                  <w:tcBorders>
                    <w:tl2br w:val="nil"/>
                    <w:tr2bl w:val="nil"/>
                  </w:tcBorders>
                  <w:vAlign w:val="center"/>
                </w:tcPr>
                <w:p w14:paraId="458B61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71" w:type="pct"/>
                  <w:vMerge w:val="continue"/>
                  <w:tcBorders>
                    <w:tl2br w:val="nil"/>
                    <w:tr2bl w:val="nil"/>
                  </w:tcBorders>
                  <w:vAlign w:val="center"/>
                </w:tcPr>
                <w:p w14:paraId="5987910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97" w:type="pct"/>
                  <w:vMerge w:val="continue"/>
                  <w:tcBorders>
                    <w:tl2br w:val="nil"/>
                    <w:tr2bl w:val="nil"/>
                  </w:tcBorders>
                  <w:vAlign w:val="center"/>
                </w:tcPr>
                <w:p w14:paraId="161F49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26" w:type="pct"/>
                  <w:vMerge w:val="continue"/>
                  <w:tcBorders>
                    <w:tl2br w:val="nil"/>
                    <w:tr2bl w:val="nil"/>
                  </w:tcBorders>
                  <w:vAlign w:val="center"/>
                </w:tcPr>
                <w:p w14:paraId="5B8F97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1227" w:type="pct"/>
                  <w:vMerge w:val="continue"/>
                  <w:tcBorders>
                    <w:tl2br w:val="nil"/>
                    <w:tr2bl w:val="nil"/>
                  </w:tcBorders>
                  <w:vAlign w:val="center"/>
                </w:tcPr>
                <w:p w14:paraId="5F012A2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r>
            <w:tr w14:paraId="110F99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tcBorders>
                    <w:tl2br w:val="nil"/>
                    <w:tr2bl w:val="nil"/>
                  </w:tcBorders>
                  <w:vAlign w:val="center"/>
                </w:tcPr>
                <w:p w14:paraId="7351E8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p>
              </w:tc>
              <w:tc>
                <w:tcPr>
                  <w:tcW w:w="680" w:type="pct"/>
                  <w:tcBorders>
                    <w:tl2br w:val="nil"/>
                    <w:tr2bl w:val="nil"/>
                  </w:tcBorders>
                  <w:vAlign w:val="center"/>
                </w:tcPr>
                <w:p w14:paraId="6F9442A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安居纺织园小区</w:t>
                  </w:r>
                </w:p>
              </w:tc>
              <w:tc>
                <w:tcPr>
                  <w:tcW w:w="568" w:type="pct"/>
                  <w:tcBorders>
                    <w:tl2br w:val="nil"/>
                    <w:tr2bl w:val="nil"/>
                  </w:tcBorders>
                  <w:vAlign w:val="center"/>
                </w:tcPr>
                <w:p w14:paraId="10BE176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86°15′17.443″</w:t>
                  </w:r>
                </w:p>
              </w:tc>
              <w:tc>
                <w:tcPr>
                  <w:tcW w:w="576" w:type="pct"/>
                  <w:tcBorders>
                    <w:tl2br w:val="nil"/>
                    <w:tr2bl w:val="nil"/>
                  </w:tcBorders>
                  <w:vAlign w:val="center"/>
                </w:tcPr>
                <w:p w14:paraId="6F80612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41°22′0.385″</w:t>
                  </w:r>
                </w:p>
              </w:tc>
              <w:tc>
                <w:tcPr>
                  <w:tcW w:w="397" w:type="pct"/>
                  <w:tcBorders>
                    <w:tl2br w:val="nil"/>
                    <w:tr2bl w:val="nil"/>
                  </w:tcBorders>
                  <w:vAlign w:val="center"/>
                </w:tcPr>
                <w:p w14:paraId="20B7B2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471" w:type="pct"/>
                  <w:tcBorders>
                    <w:tl2br w:val="nil"/>
                    <w:tr2bl w:val="nil"/>
                  </w:tcBorders>
                  <w:vAlign w:val="center"/>
                </w:tcPr>
                <w:p w14:paraId="739BD3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lang w:val="en-US" w:eastAsia="zh-CN"/>
                    </w:rPr>
                    <w:t>东北侧</w:t>
                  </w:r>
                </w:p>
              </w:tc>
              <w:tc>
                <w:tcPr>
                  <w:tcW w:w="397" w:type="pct"/>
                  <w:tcBorders>
                    <w:tl2br w:val="nil"/>
                    <w:tr2bl w:val="nil"/>
                  </w:tcBorders>
                  <w:vAlign w:val="center"/>
                </w:tcPr>
                <w:p w14:paraId="76E0F03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lang w:val="en-US" w:eastAsia="zh-CN"/>
                    </w:rPr>
                    <w:t>361</w:t>
                  </w:r>
                </w:p>
              </w:tc>
              <w:tc>
                <w:tcPr>
                  <w:tcW w:w="426" w:type="pct"/>
                  <w:tcBorders>
                    <w:tl2br w:val="nil"/>
                    <w:tr2bl w:val="nil"/>
                  </w:tcBorders>
                  <w:vAlign w:val="center"/>
                </w:tcPr>
                <w:p w14:paraId="3B5A096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200</w:t>
                  </w:r>
                </w:p>
              </w:tc>
              <w:tc>
                <w:tcPr>
                  <w:tcW w:w="1227" w:type="pct"/>
                  <w:tcBorders>
                    <w:tl2br w:val="nil"/>
                    <w:tr2bl w:val="nil"/>
                  </w:tcBorders>
                  <w:vAlign w:val="center"/>
                </w:tcPr>
                <w:p w14:paraId="71343BF6">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rPr>
                    <w:t>《环境空气质量标准》（GB3095-2012）中二级标准</w:t>
                  </w:r>
                </w:p>
              </w:tc>
            </w:tr>
            <w:tr w14:paraId="71D9CC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54" w:type="pct"/>
                  <w:tcBorders>
                    <w:tl2br w:val="nil"/>
                    <w:tr2bl w:val="nil"/>
                  </w:tcBorders>
                  <w:vAlign w:val="center"/>
                </w:tcPr>
                <w:p w14:paraId="3010EE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w:t>
                  </w:r>
                </w:p>
              </w:tc>
              <w:tc>
                <w:tcPr>
                  <w:tcW w:w="680" w:type="pct"/>
                  <w:tcBorders>
                    <w:tl2br w:val="nil"/>
                    <w:tr2bl w:val="nil"/>
                  </w:tcBorders>
                  <w:vAlign w:val="center"/>
                </w:tcPr>
                <w:p w14:paraId="308EE83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尉犁县技工学校</w:t>
                  </w:r>
                </w:p>
              </w:tc>
              <w:tc>
                <w:tcPr>
                  <w:tcW w:w="568" w:type="pct"/>
                  <w:tcBorders>
                    <w:tl2br w:val="nil"/>
                    <w:tr2bl w:val="nil"/>
                  </w:tcBorders>
                  <w:vAlign w:val="center"/>
                </w:tcPr>
                <w:p w14:paraId="4FB76B2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86°15′19.354″</w:t>
                  </w:r>
                </w:p>
              </w:tc>
              <w:tc>
                <w:tcPr>
                  <w:tcW w:w="576" w:type="pct"/>
                  <w:tcBorders>
                    <w:tl2br w:val="nil"/>
                    <w:tr2bl w:val="nil"/>
                  </w:tcBorders>
                  <w:vAlign w:val="center"/>
                </w:tcPr>
                <w:p w14:paraId="31C7456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41°22′5.368″</w:t>
                  </w:r>
                </w:p>
              </w:tc>
              <w:tc>
                <w:tcPr>
                  <w:tcW w:w="397" w:type="pct"/>
                  <w:tcBorders>
                    <w:tl2br w:val="nil"/>
                    <w:tr2bl w:val="nil"/>
                  </w:tcBorders>
                  <w:vAlign w:val="center"/>
                </w:tcPr>
                <w:p w14:paraId="3F466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471" w:type="pct"/>
                  <w:tcBorders>
                    <w:tl2br w:val="nil"/>
                    <w:tr2bl w:val="nil"/>
                  </w:tcBorders>
                  <w:vAlign w:val="center"/>
                </w:tcPr>
                <w:p w14:paraId="7EF435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lang w:val="en-US" w:eastAsia="zh-CN"/>
                    </w:rPr>
                    <w:t>东北侧</w:t>
                  </w:r>
                </w:p>
              </w:tc>
              <w:tc>
                <w:tcPr>
                  <w:tcW w:w="397" w:type="pct"/>
                  <w:tcBorders>
                    <w:tl2br w:val="nil"/>
                    <w:tr2bl w:val="nil"/>
                  </w:tcBorders>
                  <w:vAlign w:val="center"/>
                </w:tcPr>
                <w:p w14:paraId="7E05872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lang w:val="en-US" w:eastAsia="zh-CN"/>
                    </w:rPr>
                    <w:t>325</w:t>
                  </w:r>
                </w:p>
              </w:tc>
              <w:tc>
                <w:tcPr>
                  <w:tcW w:w="426" w:type="pct"/>
                  <w:tcBorders>
                    <w:tl2br w:val="nil"/>
                    <w:tr2bl w:val="nil"/>
                  </w:tcBorders>
                  <w:vAlign w:val="center"/>
                </w:tcPr>
                <w:p w14:paraId="6541D03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200</w:t>
                  </w:r>
                </w:p>
              </w:tc>
              <w:tc>
                <w:tcPr>
                  <w:tcW w:w="1227" w:type="pct"/>
                  <w:tcBorders>
                    <w:tl2br w:val="nil"/>
                    <w:tr2bl w:val="nil"/>
                  </w:tcBorders>
                  <w:vAlign w:val="center"/>
                </w:tcPr>
                <w:p w14:paraId="6B078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rPr>
                    <w:t>《环境空气质量标准》（GB3095-2012）中二级标准</w:t>
                  </w:r>
                </w:p>
              </w:tc>
            </w:tr>
          </w:tbl>
          <w:p w14:paraId="524C52A7">
            <w:pPr>
              <w:keepNext w:val="0"/>
              <w:keepLines w:val="0"/>
              <w:suppressLineNumbers w:val="0"/>
              <w:spacing w:before="0" w:beforeAutospacing="0" w:after="0" w:afterAutospacing="0"/>
              <w:ind w:left="0" w:right="0"/>
              <w:rPr>
                <w:rFonts w:hint="default"/>
                <w:color w:val="000000"/>
              </w:rPr>
            </w:pPr>
          </w:p>
        </w:tc>
      </w:tr>
      <w:tr w14:paraId="22F6D3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85" w:type="dxa"/>
            <w:tcBorders>
              <w:tl2br w:val="nil"/>
              <w:tr2bl w:val="nil"/>
            </w:tcBorders>
            <w:noWrap w:val="0"/>
            <w:tcMar>
              <w:left w:w="28" w:type="dxa"/>
              <w:right w:w="28" w:type="dxa"/>
            </w:tcMar>
            <w:vAlign w:val="center"/>
          </w:tcPr>
          <w:p w14:paraId="70D3E83C">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污染</w:t>
            </w:r>
          </w:p>
          <w:p w14:paraId="0263D5CD">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物排</w:t>
            </w:r>
          </w:p>
          <w:p w14:paraId="5C24D719">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放控</w:t>
            </w:r>
          </w:p>
          <w:p w14:paraId="6478F0A7">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制标</w:t>
            </w:r>
          </w:p>
          <w:p w14:paraId="7476F2D7">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准</w:t>
            </w:r>
          </w:p>
        </w:tc>
        <w:tc>
          <w:tcPr>
            <w:tcW w:w="8576" w:type="dxa"/>
            <w:tcBorders>
              <w:tl2br w:val="nil"/>
              <w:tr2bl w:val="nil"/>
            </w:tcBorders>
            <w:noWrap w:val="0"/>
            <w:vAlign w:val="center"/>
          </w:tcPr>
          <w:p w14:paraId="7D5AADBB">
            <w:pPr>
              <w:pStyle w:val="21"/>
              <w:keepNext w:val="0"/>
              <w:keepLines w:val="0"/>
              <w:suppressLineNumbers w:val="0"/>
              <w:adjustRightInd w:val="0"/>
              <w:snapToGrid w:val="0"/>
              <w:spacing w:before="0" w:beforeAutospacing="0" w:after="0" w:afterAutospacing="0"/>
              <w:ind w:left="0" w:right="0"/>
              <w:rPr>
                <w:rFonts w:hint="default"/>
                <w:color w:val="000000"/>
              </w:rPr>
            </w:pPr>
            <w:bookmarkStart w:id="8" w:name="_Toc29182"/>
            <w:bookmarkStart w:id="9" w:name="_Toc13030"/>
            <w:r>
              <w:rPr>
                <w:rFonts w:hint="default"/>
                <w:color w:val="000000"/>
              </w:rPr>
              <w:t>1</w:t>
            </w:r>
            <w:bookmarkEnd w:id="8"/>
            <w:bookmarkEnd w:id="9"/>
            <w:r>
              <w:rPr>
                <w:rFonts w:hint="default"/>
                <w:color w:val="000000"/>
              </w:rPr>
              <w:t>、施工期</w:t>
            </w:r>
          </w:p>
          <w:p w14:paraId="1A4046A3">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default"/>
                <w:color w:val="000000"/>
              </w:rPr>
              <w:t>1.1噪声</w:t>
            </w:r>
          </w:p>
          <w:p w14:paraId="432B8F2A">
            <w:pPr>
              <w:keepNext w:val="0"/>
              <w:keepLines w:val="0"/>
              <w:suppressLineNumbers w:val="0"/>
              <w:spacing w:before="0" w:beforeAutospacing="0" w:after="0" w:afterAutospacing="0"/>
              <w:ind w:left="0" w:right="0" w:firstLine="480" w:firstLineChars="200"/>
              <w:rPr>
                <w:rFonts w:hint="default"/>
                <w:color w:val="000000"/>
              </w:rPr>
            </w:pPr>
            <w:r>
              <w:rPr>
                <w:rFonts w:hint="default"/>
                <w:color w:val="000000"/>
              </w:rPr>
              <w:t>施工期噪声执行《建筑施工场界环境噪声排放标准》（GB12523-2011）表1中标准，见表</w:t>
            </w:r>
            <w:r>
              <w:rPr>
                <w:rFonts w:hint="eastAsia"/>
                <w:color w:val="000000"/>
                <w:lang w:val="en-US" w:eastAsia="zh-CN"/>
              </w:rPr>
              <w:t>3-4</w:t>
            </w:r>
            <w:r>
              <w:rPr>
                <w:rFonts w:hint="default"/>
                <w:color w:val="000000"/>
              </w:rPr>
              <w:t>。</w:t>
            </w:r>
          </w:p>
          <w:p w14:paraId="42569166">
            <w:pPr>
              <w:pStyle w:val="21"/>
              <w:keepNext w:val="0"/>
              <w:keepLines w:val="0"/>
              <w:suppressLineNumbers w:val="0"/>
              <w:adjustRightInd w:val="0"/>
              <w:snapToGrid w:val="0"/>
              <w:spacing w:before="0" w:beforeAutospacing="0" w:after="0" w:afterAutospacing="0" w:line="240" w:lineRule="auto"/>
              <w:ind w:left="0" w:right="0" w:firstLine="422" w:firstLineChars="200"/>
              <w:rPr>
                <w:rFonts w:hint="default"/>
                <w:color w:val="000000"/>
                <w:sz w:val="21"/>
                <w:szCs w:val="21"/>
              </w:rPr>
            </w:pPr>
            <w:r>
              <w:rPr>
                <w:rFonts w:hint="default"/>
                <w:color w:val="000000"/>
                <w:sz w:val="21"/>
                <w:szCs w:val="21"/>
              </w:rPr>
              <w:t>表</w:t>
            </w:r>
            <w:r>
              <w:rPr>
                <w:rFonts w:hint="eastAsia"/>
                <w:color w:val="000000"/>
                <w:sz w:val="21"/>
                <w:szCs w:val="21"/>
                <w:lang w:val="en-US" w:eastAsia="zh-CN"/>
              </w:rPr>
              <w:t>3-4</w:t>
            </w:r>
            <w:r>
              <w:rPr>
                <w:rFonts w:hint="default"/>
                <w:color w:val="000000"/>
                <w:sz w:val="21"/>
                <w:szCs w:val="21"/>
              </w:rPr>
              <w:t xml:space="preserve">        </w:t>
            </w:r>
            <w:r>
              <w:rPr>
                <w:rFonts w:hint="default"/>
                <w:color w:val="000000"/>
                <w:sz w:val="21"/>
                <w:szCs w:val="21"/>
              </w:rPr>
              <w:tab/>
            </w:r>
            <w:r>
              <w:rPr>
                <w:rFonts w:hint="default"/>
                <w:color w:val="000000"/>
                <w:sz w:val="21"/>
                <w:szCs w:val="21"/>
              </w:rPr>
              <w:t xml:space="preserve">   建筑施工场界环境噪声排放限值            单位： dB（A）</w:t>
            </w:r>
          </w:p>
          <w:tbl>
            <w:tblPr>
              <w:tblStyle w:val="35"/>
              <w:tblW w:w="4963"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51"/>
              <w:gridCol w:w="4047"/>
            </w:tblGrid>
            <w:tr w14:paraId="12BFD4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2561" w:type="pct"/>
                  <w:noWrap w:val="0"/>
                  <w:vAlign w:val="center"/>
                </w:tcPr>
                <w:p w14:paraId="6F8DA274">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昼间</w:t>
                  </w:r>
                </w:p>
              </w:tc>
              <w:tc>
                <w:tcPr>
                  <w:tcW w:w="2438" w:type="pct"/>
                  <w:noWrap w:val="0"/>
                  <w:vAlign w:val="center"/>
                </w:tcPr>
                <w:p w14:paraId="799BE03F">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夜间</w:t>
                  </w:r>
                </w:p>
              </w:tc>
            </w:tr>
            <w:tr w14:paraId="7BBA93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2561" w:type="pct"/>
                  <w:noWrap w:val="0"/>
                  <w:vAlign w:val="center"/>
                </w:tcPr>
                <w:p w14:paraId="1F7EF406">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70</w:t>
                  </w:r>
                </w:p>
              </w:tc>
              <w:tc>
                <w:tcPr>
                  <w:tcW w:w="2438" w:type="pct"/>
                  <w:noWrap w:val="0"/>
                  <w:vAlign w:val="center"/>
                </w:tcPr>
                <w:p w14:paraId="7D572FCE">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55</w:t>
                  </w:r>
                </w:p>
              </w:tc>
            </w:tr>
          </w:tbl>
          <w:p w14:paraId="4E27A623">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default"/>
                <w:color w:val="000000"/>
              </w:rPr>
              <w:t>1.2固废</w:t>
            </w:r>
          </w:p>
          <w:p w14:paraId="672CDFF2">
            <w:pPr>
              <w:keepNext w:val="0"/>
              <w:keepLines w:val="0"/>
              <w:suppressLineNumbers w:val="0"/>
              <w:spacing w:before="0" w:beforeAutospacing="0" w:after="0" w:afterAutospacing="0"/>
              <w:ind w:left="0" w:right="0" w:firstLine="480" w:firstLineChars="200"/>
              <w:rPr>
                <w:rFonts w:hint="default"/>
                <w:color w:val="000000"/>
              </w:rPr>
            </w:pPr>
            <w:r>
              <w:rPr>
                <w:rFonts w:hint="default"/>
                <w:color w:val="000000"/>
              </w:rPr>
              <w:t>施工期</w:t>
            </w:r>
            <w:r>
              <w:rPr>
                <w:rFonts w:hint="default"/>
                <w:color w:val="000000"/>
                <w:lang w:val="en-US" w:eastAsia="zh-CN"/>
              </w:rPr>
              <w:t>一般固废</w:t>
            </w:r>
            <w:r>
              <w:rPr>
                <w:rFonts w:hint="default"/>
                <w:color w:val="000000"/>
                <w:lang w:eastAsia="zh-CN"/>
              </w:rPr>
              <w:t>执行</w:t>
            </w:r>
            <w:r>
              <w:rPr>
                <w:rFonts w:hint="default"/>
                <w:color w:val="000000"/>
              </w:rPr>
              <w:t>《</w:t>
            </w:r>
            <w:r>
              <w:rPr>
                <w:rFonts w:hint="default"/>
                <w:color w:val="000000"/>
                <w:lang w:val="en-US" w:eastAsia="zh-CN"/>
              </w:rPr>
              <w:t>中华人民共和国固体废物污染环境防治法</w:t>
            </w:r>
            <w:r>
              <w:rPr>
                <w:rFonts w:hint="default"/>
                <w:color w:val="000000"/>
              </w:rPr>
              <w:t>》</w:t>
            </w:r>
            <w:r>
              <w:rPr>
                <w:rFonts w:hint="default"/>
                <w:color w:val="000000"/>
                <w:lang w:val="en-US" w:eastAsia="zh-CN"/>
              </w:rPr>
              <w:t>中的要求</w:t>
            </w:r>
            <w:r>
              <w:rPr>
                <w:rFonts w:hint="default"/>
                <w:color w:val="000000"/>
              </w:rPr>
              <w:t>。</w:t>
            </w:r>
          </w:p>
          <w:p w14:paraId="43847014">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default"/>
                <w:color w:val="000000"/>
              </w:rPr>
              <w:t>1.3大气</w:t>
            </w:r>
          </w:p>
          <w:p w14:paraId="609C40E8">
            <w:pPr>
              <w:keepNext w:val="0"/>
              <w:keepLines w:val="0"/>
              <w:suppressLineNumbers w:val="0"/>
              <w:spacing w:before="0" w:beforeAutospacing="0" w:after="0" w:afterAutospacing="0"/>
              <w:ind w:left="0" w:right="0" w:firstLine="480" w:firstLineChars="200"/>
              <w:rPr>
                <w:rFonts w:hint="default"/>
                <w:color w:val="000000"/>
              </w:rPr>
            </w:pPr>
            <w:r>
              <w:rPr>
                <w:rFonts w:hint="default"/>
                <w:color w:val="000000"/>
              </w:rPr>
              <w:t>本项目施工颗粒物执行《大气污染物综合排放标准》（GB16297-1996）表2中无组织排放监控浓度限值要求，具体见</w:t>
            </w:r>
            <w:bookmarkStart w:id="10" w:name="_Ref379546700"/>
            <w:r>
              <w:rPr>
                <w:rFonts w:hint="default"/>
                <w:color w:val="000000"/>
              </w:rPr>
              <w:t>表</w:t>
            </w:r>
            <w:bookmarkStart w:id="11" w:name="_Ref396828303"/>
            <w:r>
              <w:rPr>
                <w:rFonts w:hint="eastAsia"/>
                <w:color w:val="000000"/>
                <w:lang w:val="en-US" w:eastAsia="zh-CN"/>
              </w:rPr>
              <w:t>3-5</w:t>
            </w:r>
            <w:r>
              <w:rPr>
                <w:rFonts w:hint="default"/>
                <w:color w:val="000000"/>
              </w:rPr>
              <w:t>。</w:t>
            </w:r>
          </w:p>
          <w:p w14:paraId="453FF4DB">
            <w:pPr>
              <w:pStyle w:val="21"/>
              <w:keepNext w:val="0"/>
              <w:keepLines w:val="0"/>
              <w:suppressLineNumbers w:val="0"/>
              <w:adjustRightInd w:val="0"/>
              <w:snapToGrid w:val="0"/>
              <w:spacing w:before="0" w:beforeAutospacing="0" w:after="0" w:afterAutospacing="0" w:line="240" w:lineRule="auto"/>
              <w:ind w:left="0" w:right="0" w:firstLine="422" w:firstLineChars="200"/>
              <w:rPr>
                <w:rFonts w:hint="default"/>
                <w:color w:val="000000"/>
                <w:sz w:val="21"/>
                <w:szCs w:val="21"/>
              </w:rPr>
            </w:pPr>
            <w:r>
              <w:rPr>
                <w:rFonts w:hint="default"/>
                <w:color w:val="000000"/>
                <w:sz w:val="21"/>
                <w:szCs w:val="21"/>
              </w:rPr>
              <w:t>表</w:t>
            </w:r>
            <w:bookmarkEnd w:id="10"/>
            <w:bookmarkEnd w:id="11"/>
            <w:r>
              <w:rPr>
                <w:rFonts w:hint="eastAsia"/>
                <w:color w:val="000000"/>
                <w:sz w:val="21"/>
                <w:szCs w:val="21"/>
                <w:lang w:val="en-US" w:eastAsia="zh-CN"/>
              </w:rPr>
              <w:t>3-5</w:t>
            </w:r>
            <w:r>
              <w:rPr>
                <w:rFonts w:hint="default"/>
                <w:color w:val="000000"/>
                <w:sz w:val="21"/>
                <w:szCs w:val="21"/>
              </w:rPr>
              <w:t xml:space="preserve">           </w:t>
            </w:r>
            <w:r>
              <w:rPr>
                <w:rFonts w:hint="eastAsia"/>
                <w:color w:val="000000"/>
                <w:sz w:val="21"/>
                <w:szCs w:val="21"/>
                <w:lang w:val="en-US" w:eastAsia="zh-CN"/>
              </w:rPr>
              <w:t xml:space="preserve">    </w:t>
            </w:r>
            <w:r>
              <w:rPr>
                <w:rFonts w:hint="default"/>
                <w:color w:val="000000"/>
                <w:sz w:val="21"/>
                <w:szCs w:val="21"/>
              </w:rPr>
              <w:t xml:space="preserve">       大气污染物排放标准</w:t>
            </w:r>
          </w:p>
          <w:tbl>
            <w:tblPr>
              <w:tblStyle w:val="3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91"/>
              <w:gridCol w:w="3412"/>
              <w:gridCol w:w="4055"/>
            </w:tblGrid>
            <w:tr w14:paraId="3A2502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91" w:type="dxa"/>
                  <w:vMerge w:val="restart"/>
                  <w:noWrap w:val="0"/>
                  <w:vAlign w:val="center"/>
                </w:tcPr>
                <w:p w14:paraId="307F9525">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污染物</w:t>
                  </w:r>
                </w:p>
              </w:tc>
              <w:tc>
                <w:tcPr>
                  <w:tcW w:w="3412" w:type="dxa"/>
                  <w:noWrap w:val="0"/>
                  <w:vAlign w:val="center"/>
                </w:tcPr>
                <w:p w14:paraId="1816454A">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标准限值</w:t>
                  </w:r>
                </w:p>
              </w:tc>
              <w:tc>
                <w:tcPr>
                  <w:tcW w:w="4055" w:type="dxa"/>
                  <w:vMerge w:val="restart"/>
                  <w:noWrap w:val="0"/>
                  <w:vAlign w:val="center"/>
                </w:tcPr>
                <w:p w14:paraId="52B09AFB">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执行标准</w:t>
                  </w:r>
                </w:p>
              </w:tc>
            </w:tr>
            <w:tr w14:paraId="249523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vMerge w:val="continue"/>
                  <w:noWrap w:val="0"/>
                  <w:vAlign w:val="center"/>
                </w:tcPr>
                <w:p w14:paraId="20D73A6D">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p>
              </w:tc>
              <w:tc>
                <w:tcPr>
                  <w:tcW w:w="3412" w:type="dxa"/>
                  <w:noWrap w:val="0"/>
                  <w:vAlign w:val="center"/>
                </w:tcPr>
                <w:p w14:paraId="1AA72CA8">
                  <w:pPr>
                    <w:pStyle w:val="21"/>
                    <w:keepNext w:val="0"/>
                    <w:keepLines w:val="0"/>
                    <w:suppressLineNumbers w:val="0"/>
                    <w:adjustRightInd w:val="0"/>
                    <w:snapToGrid w:val="0"/>
                    <w:spacing w:before="0" w:beforeAutospacing="0" w:after="0" w:afterAutospacing="0" w:line="240" w:lineRule="auto"/>
                    <w:ind w:left="0" w:right="0"/>
                    <w:jc w:val="center"/>
                    <w:rPr>
                      <w:rFonts w:hint="eastAsia" w:eastAsia="宋体"/>
                      <w:b w:val="0"/>
                      <w:bCs/>
                      <w:color w:val="000000"/>
                      <w:sz w:val="21"/>
                      <w:szCs w:val="21"/>
                      <w:lang w:eastAsia="zh-CN"/>
                    </w:rPr>
                  </w:pPr>
                  <w:r>
                    <w:rPr>
                      <w:rFonts w:hint="default"/>
                      <w:b w:val="0"/>
                      <w:bCs/>
                      <w:color w:val="000000"/>
                      <w:sz w:val="21"/>
                      <w:szCs w:val="21"/>
                    </w:rPr>
                    <w:t>无组织排放监控浓度限值</w:t>
                  </w:r>
                  <w:r>
                    <w:rPr>
                      <w:rFonts w:hint="eastAsia"/>
                      <w:b w:val="0"/>
                      <w:bCs/>
                      <w:color w:val="000000"/>
                      <w:sz w:val="21"/>
                      <w:szCs w:val="21"/>
                      <w:lang w:eastAsia="zh-CN"/>
                    </w:rPr>
                    <w:t>（</w:t>
                  </w:r>
                  <w:r>
                    <w:rPr>
                      <w:rFonts w:hint="default"/>
                      <w:b w:val="0"/>
                      <w:bCs/>
                      <w:color w:val="000000"/>
                      <w:sz w:val="21"/>
                      <w:szCs w:val="21"/>
                    </w:rPr>
                    <w:t>mg/m</w:t>
                  </w:r>
                  <w:r>
                    <w:rPr>
                      <w:rFonts w:hint="default"/>
                      <w:b w:val="0"/>
                      <w:bCs/>
                      <w:color w:val="000000"/>
                      <w:sz w:val="21"/>
                      <w:szCs w:val="21"/>
                      <w:vertAlign w:val="superscript"/>
                    </w:rPr>
                    <w:t>3</w:t>
                  </w:r>
                  <w:r>
                    <w:rPr>
                      <w:rFonts w:hint="eastAsia"/>
                      <w:b w:val="0"/>
                      <w:bCs/>
                      <w:color w:val="000000"/>
                      <w:sz w:val="21"/>
                      <w:szCs w:val="21"/>
                      <w:lang w:eastAsia="zh-CN"/>
                    </w:rPr>
                    <w:t>）</w:t>
                  </w:r>
                </w:p>
              </w:tc>
              <w:tc>
                <w:tcPr>
                  <w:tcW w:w="4055" w:type="dxa"/>
                  <w:vMerge w:val="continue"/>
                  <w:noWrap w:val="0"/>
                  <w:vAlign w:val="center"/>
                </w:tcPr>
                <w:p w14:paraId="38FE23F9">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p>
              </w:tc>
            </w:tr>
            <w:tr w14:paraId="2EAA14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91" w:type="dxa"/>
                  <w:noWrap w:val="0"/>
                  <w:vAlign w:val="center"/>
                </w:tcPr>
                <w:p w14:paraId="5CD6012B">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颗粒物</w:t>
                  </w:r>
                </w:p>
              </w:tc>
              <w:tc>
                <w:tcPr>
                  <w:tcW w:w="3412" w:type="dxa"/>
                  <w:noWrap w:val="0"/>
                  <w:vAlign w:val="center"/>
                </w:tcPr>
                <w:p w14:paraId="698CD582">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1.0</w:t>
                  </w:r>
                </w:p>
              </w:tc>
              <w:tc>
                <w:tcPr>
                  <w:tcW w:w="4055" w:type="dxa"/>
                  <w:noWrap w:val="0"/>
                  <w:vAlign w:val="center"/>
                </w:tcPr>
                <w:p w14:paraId="2C06F260">
                  <w:pPr>
                    <w:pStyle w:val="21"/>
                    <w:keepNext w:val="0"/>
                    <w:keepLines w:val="0"/>
                    <w:suppressLineNumbers w:val="0"/>
                    <w:adjustRightInd w:val="0"/>
                    <w:snapToGrid w:val="0"/>
                    <w:spacing w:before="0" w:beforeAutospacing="0" w:after="0" w:afterAutospacing="0" w:line="240" w:lineRule="auto"/>
                    <w:ind w:left="0" w:right="0"/>
                    <w:jc w:val="center"/>
                    <w:rPr>
                      <w:rFonts w:hint="default"/>
                      <w:b w:val="0"/>
                      <w:bCs/>
                      <w:color w:val="000000"/>
                      <w:sz w:val="21"/>
                      <w:szCs w:val="21"/>
                    </w:rPr>
                  </w:pPr>
                  <w:r>
                    <w:rPr>
                      <w:rFonts w:hint="default"/>
                      <w:b w:val="0"/>
                      <w:bCs/>
                      <w:color w:val="000000"/>
                      <w:sz w:val="21"/>
                      <w:szCs w:val="21"/>
                    </w:rPr>
                    <w:t>《大气污染物综合排放标准》（GB16297-1996）表2标准</w:t>
                  </w:r>
                </w:p>
              </w:tc>
            </w:tr>
          </w:tbl>
          <w:p w14:paraId="7B7CDBA3">
            <w:pPr>
              <w:pStyle w:val="21"/>
              <w:keepNext w:val="0"/>
              <w:keepLines w:val="0"/>
              <w:numPr>
                <w:ilvl w:val="0"/>
                <w:numId w:val="5"/>
              </w:numPr>
              <w:suppressLineNumbers w:val="0"/>
              <w:adjustRightInd w:val="0"/>
              <w:snapToGrid w:val="0"/>
              <w:spacing w:before="0" w:beforeAutospacing="0" w:after="0" w:afterAutospacing="0"/>
              <w:ind w:left="0" w:right="0"/>
              <w:rPr>
                <w:rFonts w:hint="eastAsia"/>
                <w:color w:val="000000"/>
                <w:highlight w:val="none"/>
              </w:rPr>
            </w:pPr>
            <w:r>
              <w:rPr>
                <w:rFonts w:hint="eastAsia"/>
                <w:color w:val="000000"/>
                <w:highlight w:val="none"/>
              </w:rPr>
              <w:t>运营期</w:t>
            </w:r>
          </w:p>
          <w:p w14:paraId="45CBC5ED">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eastAsia"/>
                <w:color w:val="000000"/>
              </w:rPr>
              <w:t>2.</w:t>
            </w:r>
            <w:r>
              <w:rPr>
                <w:rFonts w:hint="default"/>
                <w:color w:val="000000"/>
              </w:rPr>
              <w:t>1废气</w:t>
            </w:r>
          </w:p>
          <w:p w14:paraId="1FBEE74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shd w:val="clear" w:color="auto" w:fill="auto"/>
              </w:rPr>
            </w:pPr>
            <w:r>
              <w:rPr>
                <w:rFonts w:hint="default" w:ascii="Times New Roman" w:hAnsi="Times New Roman" w:eastAsia="宋体" w:cs="Times New Roman"/>
                <w:kern w:val="0"/>
                <w:sz w:val="24"/>
                <w:szCs w:val="24"/>
                <w:shd w:val="clear" w:color="auto" w:fill="auto"/>
              </w:rPr>
              <w:t>本项目种子烘干机采用热风炉燃烧天然气进行热风烘干工序，属于工业炉窑，</w:t>
            </w:r>
            <w:r>
              <w:rPr>
                <w:rFonts w:hint="eastAsia" w:cs="Times New Roman"/>
                <w:kern w:val="0"/>
                <w:sz w:val="24"/>
                <w:szCs w:val="24"/>
                <w:shd w:val="clear" w:color="auto" w:fill="auto"/>
                <w:lang w:val="en-US" w:eastAsia="zh-CN"/>
              </w:rPr>
              <w:t>烘干废气硫酸雾执行《大气污染物综合排放标准》（GB16297-1996）表2的限制；本项目分选工序与烘干工序共用一套废气治理设施，故本项目</w:t>
            </w:r>
            <w:r>
              <w:rPr>
                <w:rFonts w:hint="default" w:ascii="Times New Roman" w:hAnsi="Times New Roman" w:eastAsia="宋体" w:cs="Times New Roman"/>
                <w:sz w:val="24"/>
                <w:szCs w:val="24"/>
                <w:shd w:val="clear" w:color="auto" w:fill="auto"/>
              </w:rPr>
              <w:t>颗粒物、SO</w:t>
            </w:r>
            <w:r>
              <w:rPr>
                <w:rFonts w:hint="default" w:ascii="Times New Roman" w:hAnsi="Times New Roman" w:eastAsia="宋体" w:cs="Times New Roman"/>
                <w:sz w:val="24"/>
                <w:szCs w:val="24"/>
                <w:shd w:val="clear" w:color="auto" w:fill="auto"/>
                <w:vertAlign w:val="subscript"/>
              </w:rPr>
              <w:t>2</w:t>
            </w:r>
            <w:r>
              <w:rPr>
                <w:rFonts w:hint="default" w:ascii="Times New Roman" w:hAnsi="Times New Roman" w:eastAsia="宋体" w:cs="Times New Roman"/>
                <w:sz w:val="24"/>
                <w:szCs w:val="24"/>
                <w:shd w:val="clear" w:color="auto" w:fill="auto"/>
              </w:rPr>
              <w:t>、NO</w:t>
            </w:r>
            <w:r>
              <w:rPr>
                <w:rFonts w:hint="default" w:ascii="Times New Roman" w:hAnsi="Times New Roman" w:eastAsia="宋体" w:cs="Times New Roman"/>
                <w:sz w:val="24"/>
                <w:szCs w:val="24"/>
                <w:shd w:val="clear" w:color="auto" w:fill="auto"/>
                <w:vertAlign w:val="subscript"/>
              </w:rPr>
              <w:t>X</w:t>
            </w:r>
            <w:r>
              <w:rPr>
                <w:rFonts w:hint="default" w:ascii="Times New Roman" w:hAnsi="Times New Roman" w:eastAsia="宋体" w:cs="Times New Roman"/>
                <w:sz w:val="24"/>
                <w:szCs w:val="24"/>
                <w:shd w:val="clear" w:color="auto" w:fill="auto"/>
              </w:rPr>
              <w:t>执行《关于印发自治州工业窑炉大气污染综合治理实施方案的通知》中重点区域工业窑炉大气污染物排放特别限值；</w:t>
            </w:r>
          </w:p>
          <w:p w14:paraId="3AC0B48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Times New Roman"/>
                <w:b/>
                <w:bCs/>
                <w:sz w:val="21"/>
                <w:szCs w:val="21"/>
                <w:shd w:val="clear" w:color="auto" w:fill="auto"/>
                <w:lang w:val="zh-CN" w:bidi="zh-CN"/>
              </w:rPr>
            </w:pPr>
            <w:r>
              <w:rPr>
                <w:rFonts w:hint="default" w:ascii="Times New Roman" w:hAnsi="Times New Roman" w:eastAsia="宋体" w:cs="Times New Roman"/>
                <w:b/>
                <w:bCs/>
                <w:sz w:val="21"/>
                <w:szCs w:val="21"/>
                <w:shd w:val="clear" w:color="auto" w:fill="auto"/>
                <w:lang w:val="zh-CN" w:bidi="zh-CN"/>
              </w:rPr>
              <w:t>表</w:t>
            </w:r>
            <w:r>
              <w:rPr>
                <w:rFonts w:hint="default" w:ascii="Times New Roman" w:hAnsi="Times New Roman" w:eastAsia="宋体" w:cs="Times New Roman"/>
                <w:b/>
                <w:bCs/>
                <w:sz w:val="21"/>
                <w:szCs w:val="21"/>
                <w:shd w:val="clear" w:color="auto" w:fill="auto"/>
                <w:lang w:bidi="zh-CN"/>
              </w:rPr>
              <w:t>3-</w:t>
            </w:r>
            <w:r>
              <w:rPr>
                <w:rFonts w:hint="eastAsia" w:cs="Times New Roman"/>
                <w:b/>
                <w:bCs/>
                <w:sz w:val="21"/>
                <w:szCs w:val="21"/>
                <w:shd w:val="clear" w:color="auto" w:fill="auto"/>
                <w:lang w:val="en-US" w:bidi="zh-CN"/>
              </w:rPr>
              <w:t>6</w:t>
            </w:r>
            <w:r>
              <w:rPr>
                <w:rFonts w:hint="default" w:ascii="Times New Roman" w:hAnsi="Times New Roman" w:eastAsia="宋体" w:cs="Times New Roman"/>
                <w:b/>
                <w:bCs/>
                <w:sz w:val="21"/>
                <w:szCs w:val="21"/>
                <w:shd w:val="clear" w:color="auto" w:fill="auto"/>
                <w:lang w:bidi="zh-CN"/>
              </w:rPr>
              <w:t xml:space="preserve">   </w:t>
            </w:r>
            <w:r>
              <w:rPr>
                <w:rFonts w:hint="default" w:ascii="Times New Roman" w:hAnsi="Times New Roman" w:eastAsia="宋体" w:cs="Times New Roman"/>
                <w:b/>
                <w:bCs/>
                <w:sz w:val="21"/>
                <w:szCs w:val="21"/>
                <w:shd w:val="clear" w:color="auto" w:fill="auto"/>
                <w:lang w:val="zh-CN" w:bidi="zh-CN"/>
              </w:rPr>
              <w:t xml:space="preserve"> </w:t>
            </w:r>
            <w:r>
              <w:rPr>
                <w:rFonts w:hint="default" w:ascii="Times New Roman" w:hAnsi="Times New Roman" w:eastAsia="宋体" w:cs="Times New Roman"/>
                <w:b/>
                <w:bCs/>
                <w:sz w:val="21"/>
                <w:szCs w:val="21"/>
                <w:shd w:val="clear" w:color="auto" w:fill="auto"/>
                <w:lang w:bidi="zh-CN"/>
              </w:rPr>
              <w:t xml:space="preserve">      </w:t>
            </w:r>
            <w:r>
              <w:rPr>
                <w:rFonts w:hint="default" w:ascii="Times New Roman" w:hAnsi="Times New Roman" w:eastAsia="宋体" w:cs="Times New Roman"/>
                <w:b/>
                <w:bCs/>
                <w:sz w:val="21"/>
                <w:szCs w:val="21"/>
                <w:shd w:val="clear" w:color="auto" w:fill="auto"/>
                <w:lang w:val="zh-CN" w:bidi="zh-CN"/>
              </w:rPr>
              <w:t>大气污染物</w:t>
            </w:r>
            <w:r>
              <w:rPr>
                <w:rFonts w:hint="default" w:ascii="Times New Roman" w:hAnsi="Times New Roman" w:eastAsia="宋体" w:cs="Times New Roman"/>
                <w:b/>
                <w:bCs/>
                <w:sz w:val="21"/>
                <w:szCs w:val="21"/>
                <w:shd w:val="clear" w:color="auto" w:fill="auto"/>
                <w:lang w:bidi="zh-CN"/>
              </w:rPr>
              <w:t>有组织</w:t>
            </w:r>
            <w:r>
              <w:rPr>
                <w:rFonts w:hint="default" w:ascii="Times New Roman" w:hAnsi="Times New Roman" w:eastAsia="宋体" w:cs="Times New Roman"/>
                <w:b/>
                <w:bCs/>
                <w:sz w:val="21"/>
                <w:szCs w:val="21"/>
                <w:shd w:val="clear" w:color="auto" w:fill="auto"/>
                <w:lang w:val="zh-CN" w:bidi="zh-CN"/>
              </w:rPr>
              <w:t>排放所执行的标准</w:t>
            </w:r>
          </w:p>
          <w:tbl>
            <w:tblPr>
              <w:tblStyle w:val="35"/>
              <w:tblW w:w="4916"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769"/>
              <w:gridCol w:w="496"/>
              <w:gridCol w:w="768"/>
              <w:gridCol w:w="893"/>
              <w:gridCol w:w="1054"/>
              <w:gridCol w:w="3181"/>
            </w:tblGrid>
            <w:tr w14:paraId="22AA05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4" w:type="pct"/>
                  <w:vAlign w:val="center"/>
                </w:tcPr>
                <w:p w14:paraId="461C6C7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来源</w:t>
                  </w:r>
                </w:p>
              </w:tc>
              <w:tc>
                <w:tcPr>
                  <w:tcW w:w="467" w:type="pct"/>
                  <w:vAlign w:val="center"/>
                </w:tcPr>
                <w:p w14:paraId="795EAB5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控制项目</w:t>
                  </w:r>
                </w:p>
              </w:tc>
              <w:tc>
                <w:tcPr>
                  <w:tcW w:w="301" w:type="pct"/>
                  <w:vAlign w:val="center"/>
                </w:tcPr>
                <w:p w14:paraId="4768AE3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单位</w:t>
                  </w:r>
                </w:p>
              </w:tc>
              <w:tc>
                <w:tcPr>
                  <w:tcW w:w="467" w:type="pct"/>
                  <w:vAlign w:val="center"/>
                </w:tcPr>
                <w:p w14:paraId="7B7DBDD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标准值</w:t>
                  </w:r>
                </w:p>
              </w:tc>
              <w:tc>
                <w:tcPr>
                  <w:tcW w:w="543" w:type="pct"/>
                  <w:vAlign w:val="center"/>
                </w:tcPr>
                <w:p w14:paraId="1FF9D9A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eastAsia="zh-CN" w:bidi="zh-CN"/>
                    </w:rPr>
                  </w:pPr>
                  <w:r>
                    <w:rPr>
                      <w:rFonts w:hint="eastAsia" w:cs="Times New Roman"/>
                      <w:sz w:val="21"/>
                      <w:szCs w:val="21"/>
                      <w:shd w:val="clear" w:color="auto" w:fill="auto"/>
                      <w:lang w:val="en-US" w:eastAsia="zh-CN" w:bidi="zh-CN"/>
                    </w:rPr>
                    <w:t>排气筒高度</w:t>
                  </w:r>
                </w:p>
              </w:tc>
              <w:tc>
                <w:tcPr>
                  <w:tcW w:w="641" w:type="pct"/>
                  <w:vAlign w:val="center"/>
                </w:tcPr>
                <w:p w14:paraId="072BF9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bidi="zh-CN"/>
                    </w:rPr>
                  </w:pPr>
                  <w:r>
                    <w:rPr>
                      <w:rFonts w:hint="default" w:ascii="Times New Roman" w:hAnsi="Times New Roman" w:eastAsia="宋体" w:cs="Times New Roman"/>
                      <w:sz w:val="21"/>
                      <w:szCs w:val="21"/>
                      <w:shd w:val="clear" w:color="auto" w:fill="auto"/>
                      <w:lang w:val="en-US" w:eastAsia="zh-CN" w:bidi="zh-CN"/>
                    </w:rPr>
                    <w:t>有组织排放速率限制（kg/h）</w:t>
                  </w:r>
                </w:p>
              </w:tc>
              <w:tc>
                <w:tcPr>
                  <w:tcW w:w="1934" w:type="pct"/>
                  <w:vAlign w:val="center"/>
                </w:tcPr>
                <w:p w14:paraId="11113BE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备注</w:t>
                  </w:r>
                </w:p>
              </w:tc>
            </w:tr>
            <w:tr w14:paraId="6EA35F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44" w:type="pct"/>
                  <w:shd w:val="clear" w:color="auto" w:fill="auto"/>
                  <w:vAlign w:val="center"/>
                </w:tcPr>
                <w:p w14:paraId="0C58F4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shd w:val="clear" w:color="auto" w:fill="auto"/>
                      <w:lang w:val="en-US" w:eastAsia="zh-CN" w:bidi="zh-CN"/>
                    </w:rPr>
                  </w:pPr>
                  <w:r>
                    <w:rPr>
                      <w:rFonts w:hint="default" w:ascii="Times New Roman" w:hAnsi="Times New Roman" w:eastAsia="宋体" w:cs="Times New Roman"/>
                      <w:sz w:val="21"/>
                      <w:szCs w:val="21"/>
                      <w:shd w:val="clear" w:color="auto" w:fill="auto"/>
                      <w:lang w:bidi="zh-CN"/>
                    </w:rPr>
                    <w:t>烘干工序</w:t>
                  </w:r>
                </w:p>
              </w:tc>
              <w:tc>
                <w:tcPr>
                  <w:tcW w:w="467" w:type="pct"/>
                  <w:shd w:val="clear" w:color="auto" w:fill="auto"/>
                  <w:vAlign w:val="center"/>
                </w:tcPr>
                <w:p w14:paraId="6CC9338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shd w:val="clear" w:color="auto" w:fill="auto"/>
                      <w:lang w:val="en-US" w:eastAsia="zh-CN" w:bidi="zh-CN"/>
                    </w:rPr>
                  </w:pPr>
                  <w:r>
                    <w:rPr>
                      <w:rFonts w:hint="default" w:ascii="Times New Roman" w:hAnsi="Times New Roman" w:eastAsia="宋体" w:cs="Times New Roman"/>
                      <w:sz w:val="21"/>
                      <w:szCs w:val="21"/>
                      <w:shd w:val="clear" w:color="auto" w:fill="auto"/>
                      <w:lang w:bidi="zh-CN"/>
                    </w:rPr>
                    <w:t>硫酸雾</w:t>
                  </w:r>
                </w:p>
              </w:tc>
              <w:tc>
                <w:tcPr>
                  <w:tcW w:w="301" w:type="pct"/>
                  <w:vMerge w:val="restart"/>
                  <w:vAlign w:val="center"/>
                </w:tcPr>
                <w:p w14:paraId="011CF6B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shd w:val="clear" w:color="auto" w:fill="auto"/>
                      <w:lang w:val="zh-CN" w:bidi="zh-CN"/>
                    </w:rPr>
                  </w:pPr>
                  <w:r>
                    <w:rPr>
                      <w:rFonts w:hint="default" w:ascii="Times New Roman" w:hAnsi="Times New Roman" w:eastAsia="宋体" w:cs="Times New Roman"/>
                      <w:sz w:val="21"/>
                      <w:szCs w:val="21"/>
                      <w:highlight w:val="none"/>
                      <w:shd w:val="clear" w:color="auto" w:fill="auto"/>
                      <w:lang w:val="zh-CN" w:bidi="zh-CN"/>
                    </w:rPr>
                    <w:t>mg/m</w:t>
                  </w:r>
                  <w:r>
                    <w:rPr>
                      <w:rFonts w:hint="default" w:ascii="Times New Roman" w:hAnsi="Times New Roman" w:eastAsia="宋体" w:cs="Times New Roman"/>
                      <w:sz w:val="21"/>
                      <w:szCs w:val="21"/>
                      <w:highlight w:val="none"/>
                      <w:shd w:val="clear" w:color="auto" w:fill="auto"/>
                      <w:vertAlign w:val="superscript"/>
                      <w:lang w:bidi="zh-CN"/>
                    </w:rPr>
                    <w:t>3</w:t>
                  </w:r>
                </w:p>
              </w:tc>
              <w:tc>
                <w:tcPr>
                  <w:tcW w:w="467" w:type="pct"/>
                  <w:vAlign w:val="center"/>
                </w:tcPr>
                <w:p w14:paraId="584FDF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shd w:val="clear" w:color="auto" w:fill="auto"/>
                      <w:lang w:bidi="zh-CN"/>
                    </w:rPr>
                  </w:pPr>
                  <w:r>
                    <w:rPr>
                      <w:rFonts w:hint="default" w:ascii="Times New Roman" w:hAnsi="Times New Roman" w:eastAsia="宋体" w:cs="Times New Roman"/>
                      <w:sz w:val="21"/>
                      <w:szCs w:val="21"/>
                      <w:highlight w:val="none"/>
                      <w:shd w:val="clear" w:color="auto" w:fill="auto"/>
                      <w:lang w:bidi="zh-CN"/>
                    </w:rPr>
                    <w:t>45</w:t>
                  </w:r>
                </w:p>
              </w:tc>
              <w:tc>
                <w:tcPr>
                  <w:tcW w:w="543" w:type="pct"/>
                  <w:vMerge w:val="restart"/>
                  <w:vAlign w:val="center"/>
                </w:tcPr>
                <w:p w14:paraId="1880B50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cs="Times New Roman"/>
                      <w:sz w:val="21"/>
                      <w:szCs w:val="21"/>
                      <w:highlight w:val="none"/>
                      <w:shd w:val="clear" w:color="auto" w:fill="auto"/>
                      <w:lang w:val="en-US" w:eastAsia="zh-CN"/>
                    </w:rPr>
                  </w:pPr>
                  <w:r>
                    <w:rPr>
                      <w:rFonts w:hint="eastAsia" w:cs="Times New Roman"/>
                      <w:sz w:val="21"/>
                      <w:szCs w:val="21"/>
                      <w:highlight w:val="none"/>
                      <w:shd w:val="clear" w:color="auto" w:fill="auto"/>
                      <w:lang w:val="en-US" w:eastAsia="zh-CN"/>
                    </w:rPr>
                    <w:t>15m</w:t>
                  </w:r>
                </w:p>
              </w:tc>
              <w:tc>
                <w:tcPr>
                  <w:tcW w:w="641" w:type="pct"/>
                  <w:vAlign w:val="center"/>
                </w:tcPr>
                <w:p w14:paraId="0DCE75C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shd w:val="clear" w:color="auto" w:fill="auto"/>
                      <w:lang w:val="en-US" w:eastAsia="zh-CN"/>
                    </w:rPr>
                  </w:pPr>
                  <w:r>
                    <w:rPr>
                      <w:rFonts w:hint="eastAsia" w:cs="Times New Roman"/>
                      <w:sz w:val="21"/>
                      <w:szCs w:val="21"/>
                      <w:highlight w:val="none"/>
                      <w:shd w:val="clear" w:color="auto" w:fill="auto"/>
                      <w:lang w:val="en-US" w:eastAsia="zh-CN"/>
                    </w:rPr>
                    <w:t>1.5</w:t>
                  </w:r>
                </w:p>
              </w:tc>
              <w:tc>
                <w:tcPr>
                  <w:tcW w:w="1934" w:type="pct"/>
                  <w:vAlign w:val="center"/>
                </w:tcPr>
                <w:p w14:paraId="0BE7BD2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shd w:val="clear" w:color="auto" w:fill="auto"/>
                      <w:lang w:val="zh-CN" w:bidi="zh-CN"/>
                    </w:rPr>
                  </w:pPr>
                  <w:r>
                    <w:rPr>
                      <w:rFonts w:hint="default" w:ascii="Times New Roman" w:hAnsi="Times New Roman" w:eastAsia="宋体" w:cs="Times New Roman"/>
                      <w:sz w:val="21"/>
                      <w:szCs w:val="21"/>
                      <w:highlight w:val="none"/>
                      <w:shd w:val="clear" w:color="auto" w:fill="auto"/>
                      <w:lang w:val="zh-CN" w:eastAsia="zh-CN" w:bidi="zh-CN"/>
                    </w:rPr>
                    <w:t>《大气污染物综合排放标准》（GB16297-1996）表2的</w:t>
                  </w:r>
                  <w:r>
                    <w:rPr>
                      <w:rFonts w:hint="eastAsia" w:cs="Times New Roman"/>
                      <w:sz w:val="21"/>
                      <w:szCs w:val="21"/>
                      <w:highlight w:val="none"/>
                      <w:shd w:val="clear" w:color="auto" w:fill="auto"/>
                      <w:lang w:val="zh-CN" w:eastAsia="zh-CN" w:bidi="zh-CN"/>
                    </w:rPr>
                    <w:t>限值</w:t>
                  </w:r>
                </w:p>
              </w:tc>
            </w:tr>
            <w:tr w14:paraId="138166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4" w:type="pct"/>
                  <w:vAlign w:val="center"/>
                </w:tcPr>
                <w:p w14:paraId="76171F1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bidi="zh-CN"/>
                    </w:rPr>
                  </w:pPr>
                  <w:r>
                    <w:rPr>
                      <w:rFonts w:hint="eastAsia" w:cs="Times New Roman"/>
                      <w:sz w:val="21"/>
                      <w:szCs w:val="21"/>
                      <w:shd w:val="clear" w:color="auto" w:fill="auto"/>
                      <w:lang w:val="en-US" w:bidi="zh-CN"/>
                    </w:rPr>
                    <w:t>热风炉、分选工序、烘干工序</w:t>
                  </w:r>
                </w:p>
              </w:tc>
              <w:tc>
                <w:tcPr>
                  <w:tcW w:w="467" w:type="pct"/>
                  <w:vAlign w:val="center"/>
                </w:tcPr>
                <w:p w14:paraId="5939D6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颗粒物</w:t>
                  </w:r>
                </w:p>
              </w:tc>
              <w:tc>
                <w:tcPr>
                  <w:tcW w:w="301" w:type="pct"/>
                  <w:vMerge w:val="continue"/>
                  <w:vAlign w:val="center"/>
                </w:tcPr>
                <w:p w14:paraId="576E5F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c>
                <w:tcPr>
                  <w:tcW w:w="467" w:type="pct"/>
                  <w:vAlign w:val="center"/>
                </w:tcPr>
                <w:p w14:paraId="5DF6295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30</w:t>
                  </w:r>
                </w:p>
              </w:tc>
              <w:tc>
                <w:tcPr>
                  <w:tcW w:w="543" w:type="pct"/>
                  <w:vMerge w:val="continue"/>
                  <w:vAlign w:val="center"/>
                </w:tcPr>
                <w:p w14:paraId="48A3CE6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eastAsia" w:cs="Times New Roman"/>
                      <w:sz w:val="21"/>
                      <w:szCs w:val="21"/>
                      <w:shd w:val="clear" w:color="auto" w:fill="auto"/>
                      <w:lang w:val="en-US" w:bidi="zh-CN"/>
                    </w:rPr>
                  </w:pPr>
                </w:p>
              </w:tc>
              <w:tc>
                <w:tcPr>
                  <w:tcW w:w="641" w:type="pct"/>
                  <w:vAlign w:val="center"/>
                </w:tcPr>
                <w:p w14:paraId="2F9566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bidi="zh-CN"/>
                    </w:rPr>
                  </w:pPr>
                  <w:r>
                    <w:rPr>
                      <w:rFonts w:hint="eastAsia" w:cs="Times New Roman"/>
                      <w:sz w:val="21"/>
                      <w:szCs w:val="21"/>
                      <w:shd w:val="clear" w:color="auto" w:fill="auto"/>
                      <w:lang w:val="en-US" w:bidi="zh-CN"/>
                    </w:rPr>
                    <w:t>/</w:t>
                  </w:r>
                </w:p>
              </w:tc>
              <w:tc>
                <w:tcPr>
                  <w:tcW w:w="1934" w:type="pct"/>
                  <w:vMerge w:val="restart"/>
                  <w:vAlign w:val="center"/>
                </w:tcPr>
                <w:p w14:paraId="5DEAA8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《关于印发自治州工业窑炉大气污染综合治理实施方案的通知》中重点区域工业窑炉大气污染物排放特别限值</w:t>
                  </w:r>
                </w:p>
              </w:tc>
            </w:tr>
            <w:tr w14:paraId="05809F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4" w:type="pct"/>
                  <w:vAlign w:val="center"/>
                </w:tcPr>
                <w:p w14:paraId="038B9E3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eastAsia" w:cs="Times New Roman"/>
                      <w:sz w:val="21"/>
                      <w:szCs w:val="21"/>
                      <w:shd w:val="clear" w:color="auto" w:fill="auto"/>
                      <w:lang w:val="en-US" w:bidi="zh-CN"/>
                    </w:rPr>
                    <w:t>热风炉</w:t>
                  </w:r>
                </w:p>
              </w:tc>
              <w:tc>
                <w:tcPr>
                  <w:tcW w:w="467" w:type="pct"/>
                  <w:vAlign w:val="center"/>
                </w:tcPr>
                <w:p w14:paraId="67F2EC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SO</w:t>
                  </w:r>
                  <w:r>
                    <w:rPr>
                      <w:rFonts w:hint="default" w:ascii="Times New Roman" w:hAnsi="Times New Roman" w:eastAsia="宋体" w:cs="Times New Roman"/>
                      <w:sz w:val="21"/>
                      <w:szCs w:val="21"/>
                      <w:shd w:val="clear" w:color="auto" w:fill="auto"/>
                      <w:vertAlign w:val="subscript"/>
                      <w:lang w:bidi="zh-CN"/>
                    </w:rPr>
                    <w:t>2</w:t>
                  </w:r>
                </w:p>
              </w:tc>
              <w:tc>
                <w:tcPr>
                  <w:tcW w:w="301" w:type="pct"/>
                  <w:vMerge w:val="continue"/>
                  <w:vAlign w:val="center"/>
                </w:tcPr>
                <w:p w14:paraId="606A85A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c>
                <w:tcPr>
                  <w:tcW w:w="467" w:type="pct"/>
                  <w:vAlign w:val="center"/>
                </w:tcPr>
                <w:p w14:paraId="3A8C48C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200</w:t>
                  </w:r>
                </w:p>
              </w:tc>
              <w:tc>
                <w:tcPr>
                  <w:tcW w:w="543" w:type="pct"/>
                  <w:vMerge w:val="continue"/>
                  <w:vAlign w:val="center"/>
                </w:tcPr>
                <w:p w14:paraId="01DD134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eastAsia" w:cs="Times New Roman"/>
                      <w:sz w:val="21"/>
                      <w:szCs w:val="21"/>
                      <w:shd w:val="clear" w:color="auto" w:fill="auto"/>
                      <w:lang w:val="en-US" w:bidi="zh-CN"/>
                    </w:rPr>
                  </w:pPr>
                </w:p>
              </w:tc>
              <w:tc>
                <w:tcPr>
                  <w:tcW w:w="641" w:type="pct"/>
                  <w:vAlign w:val="center"/>
                </w:tcPr>
                <w:p w14:paraId="4733050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bidi="zh-CN"/>
                    </w:rPr>
                  </w:pPr>
                  <w:r>
                    <w:rPr>
                      <w:rFonts w:hint="eastAsia" w:cs="Times New Roman"/>
                      <w:sz w:val="21"/>
                      <w:szCs w:val="21"/>
                      <w:shd w:val="clear" w:color="auto" w:fill="auto"/>
                      <w:lang w:val="en-US" w:bidi="zh-CN"/>
                    </w:rPr>
                    <w:t>/</w:t>
                  </w:r>
                </w:p>
              </w:tc>
              <w:tc>
                <w:tcPr>
                  <w:tcW w:w="1934" w:type="pct"/>
                  <w:vMerge w:val="continue"/>
                  <w:vAlign w:val="center"/>
                </w:tcPr>
                <w:p w14:paraId="4B7CF2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r>
            <w:tr w14:paraId="24916E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44" w:type="pct"/>
                  <w:vAlign w:val="center"/>
                </w:tcPr>
                <w:p w14:paraId="38D9C59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eastAsia" w:cs="Times New Roman"/>
                      <w:sz w:val="21"/>
                      <w:szCs w:val="21"/>
                      <w:shd w:val="clear" w:color="auto" w:fill="auto"/>
                      <w:lang w:val="en-US" w:bidi="zh-CN"/>
                    </w:rPr>
                    <w:t>热风炉</w:t>
                  </w:r>
                </w:p>
              </w:tc>
              <w:tc>
                <w:tcPr>
                  <w:tcW w:w="467" w:type="pct"/>
                  <w:vAlign w:val="center"/>
                </w:tcPr>
                <w:p w14:paraId="2A8F4AD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NO</w:t>
                  </w:r>
                  <w:r>
                    <w:rPr>
                      <w:rFonts w:hint="default" w:ascii="Times New Roman" w:hAnsi="Times New Roman" w:eastAsia="宋体" w:cs="Times New Roman"/>
                      <w:sz w:val="21"/>
                      <w:szCs w:val="21"/>
                      <w:shd w:val="clear" w:color="auto" w:fill="auto"/>
                      <w:vertAlign w:val="subscript"/>
                      <w:lang w:bidi="zh-CN"/>
                    </w:rPr>
                    <w:t>X</w:t>
                  </w:r>
                </w:p>
              </w:tc>
              <w:tc>
                <w:tcPr>
                  <w:tcW w:w="301" w:type="pct"/>
                  <w:vMerge w:val="continue"/>
                  <w:vAlign w:val="center"/>
                </w:tcPr>
                <w:p w14:paraId="2BD610A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c>
                <w:tcPr>
                  <w:tcW w:w="467" w:type="pct"/>
                  <w:vAlign w:val="center"/>
                </w:tcPr>
                <w:p w14:paraId="4BDFD5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300</w:t>
                  </w:r>
                </w:p>
              </w:tc>
              <w:tc>
                <w:tcPr>
                  <w:tcW w:w="543" w:type="pct"/>
                  <w:vMerge w:val="continue"/>
                  <w:vAlign w:val="center"/>
                </w:tcPr>
                <w:p w14:paraId="1CF6C26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eastAsia" w:cs="Times New Roman"/>
                      <w:sz w:val="21"/>
                      <w:szCs w:val="21"/>
                      <w:shd w:val="clear" w:color="auto" w:fill="auto"/>
                      <w:lang w:val="en-US" w:bidi="zh-CN"/>
                    </w:rPr>
                  </w:pPr>
                </w:p>
              </w:tc>
              <w:tc>
                <w:tcPr>
                  <w:tcW w:w="641" w:type="pct"/>
                  <w:vAlign w:val="center"/>
                </w:tcPr>
                <w:p w14:paraId="3484924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en-US" w:bidi="zh-CN"/>
                    </w:rPr>
                  </w:pPr>
                  <w:r>
                    <w:rPr>
                      <w:rFonts w:hint="eastAsia" w:cs="Times New Roman"/>
                      <w:sz w:val="21"/>
                      <w:szCs w:val="21"/>
                      <w:shd w:val="clear" w:color="auto" w:fill="auto"/>
                      <w:lang w:val="en-US" w:bidi="zh-CN"/>
                    </w:rPr>
                    <w:t>/</w:t>
                  </w:r>
                </w:p>
              </w:tc>
              <w:tc>
                <w:tcPr>
                  <w:tcW w:w="1934" w:type="pct"/>
                  <w:vMerge w:val="continue"/>
                  <w:vAlign w:val="center"/>
                </w:tcPr>
                <w:p w14:paraId="61002E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r>
          </w:tbl>
          <w:p w14:paraId="246188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2" w:firstLineChars="200"/>
              <w:textAlignment w:val="auto"/>
              <w:rPr>
                <w:rFonts w:hint="default" w:ascii="Times New Roman" w:hAnsi="Times New Roman" w:eastAsia="宋体" w:cs="Times New Roman"/>
                <w:b/>
                <w:bCs/>
                <w:sz w:val="21"/>
                <w:szCs w:val="21"/>
                <w:shd w:val="clear" w:color="auto" w:fill="auto"/>
                <w:lang w:val="zh-CN" w:bidi="zh-CN"/>
              </w:rPr>
            </w:pPr>
            <w:r>
              <w:rPr>
                <w:rFonts w:hint="default" w:ascii="Times New Roman" w:hAnsi="Times New Roman" w:eastAsia="宋体" w:cs="Times New Roman"/>
                <w:b/>
                <w:bCs/>
                <w:sz w:val="21"/>
                <w:szCs w:val="21"/>
                <w:shd w:val="clear" w:color="auto" w:fill="auto"/>
                <w:lang w:val="zh-CN" w:bidi="zh-CN"/>
              </w:rPr>
              <w:t>表</w:t>
            </w:r>
            <w:r>
              <w:rPr>
                <w:rFonts w:hint="default" w:ascii="Times New Roman" w:hAnsi="Times New Roman" w:eastAsia="宋体" w:cs="Times New Roman"/>
                <w:b/>
                <w:bCs/>
                <w:sz w:val="21"/>
                <w:szCs w:val="21"/>
                <w:shd w:val="clear" w:color="auto" w:fill="auto"/>
                <w:lang w:bidi="zh-CN"/>
              </w:rPr>
              <w:t>3-</w:t>
            </w:r>
            <w:r>
              <w:rPr>
                <w:rFonts w:hint="eastAsia" w:cs="Times New Roman"/>
                <w:b/>
                <w:bCs/>
                <w:sz w:val="21"/>
                <w:szCs w:val="21"/>
                <w:shd w:val="clear" w:color="auto" w:fill="auto"/>
                <w:lang w:val="en-US" w:bidi="zh-CN"/>
              </w:rPr>
              <w:t>7</w:t>
            </w:r>
            <w:r>
              <w:rPr>
                <w:rFonts w:hint="default" w:ascii="Times New Roman" w:hAnsi="Times New Roman" w:eastAsia="宋体" w:cs="Times New Roman"/>
                <w:b/>
                <w:bCs/>
                <w:sz w:val="21"/>
                <w:szCs w:val="21"/>
                <w:shd w:val="clear" w:color="auto" w:fill="auto"/>
                <w:lang w:bidi="zh-CN"/>
              </w:rPr>
              <w:t xml:space="preserve">   </w:t>
            </w:r>
            <w:r>
              <w:rPr>
                <w:rFonts w:hint="default" w:ascii="Times New Roman" w:hAnsi="Times New Roman" w:eastAsia="宋体" w:cs="Times New Roman"/>
                <w:b/>
                <w:bCs/>
                <w:sz w:val="21"/>
                <w:szCs w:val="21"/>
                <w:shd w:val="clear" w:color="auto" w:fill="auto"/>
                <w:lang w:val="zh-CN" w:bidi="zh-CN"/>
              </w:rPr>
              <w:t xml:space="preserve"> </w:t>
            </w:r>
            <w:r>
              <w:rPr>
                <w:rFonts w:hint="default" w:ascii="Times New Roman" w:hAnsi="Times New Roman" w:eastAsia="宋体" w:cs="Times New Roman"/>
                <w:b/>
                <w:bCs/>
                <w:sz w:val="21"/>
                <w:szCs w:val="21"/>
                <w:shd w:val="clear" w:color="auto" w:fill="auto"/>
                <w:lang w:bidi="zh-CN"/>
              </w:rPr>
              <w:t xml:space="preserve">      </w:t>
            </w:r>
            <w:r>
              <w:rPr>
                <w:rFonts w:hint="default" w:ascii="Times New Roman" w:hAnsi="Times New Roman" w:eastAsia="宋体" w:cs="Times New Roman"/>
                <w:b/>
                <w:bCs/>
                <w:sz w:val="21"/>
                <w:szCs w:val="21"/>
                <w:shd w:val="clear" w:color="auto" w:fill="auto"/>
                <w:lang w:val="zh-CN" w:bidi="zh-CN"/>
              </w:rPr>
              <w:t>大气污染物</w:t>
            </w:r>
            <w:r>
              <w:rPr>
                <w:rFonts w:hint="default" w:ascii="Times New Roman" w:hAnsi="Times New Roman" w:eastAsia="宋体" w:cs="Times New Roman"/>
                <w:b/>
                <w:bCs/>
                <w:sz w:val="21"/>
                <w:szCs w:val="21"/>
                <w:shd w:val="clear" w:color="auto" w:fill="auto"/>
                <w:lang w:bidi="zh-CN"/>
              </w:rPr>
              <w:t>无组织</w:t>
            </w:r>
            <w:r>
              <w:rPr>
                <w:rFonts w:hint="default" w:ascii="Times New Roman" w:hAnsi="Times New Roman" w:eastAsia="宋体" w:cs="Times New Roman"/>
                <w:b/>
                <w:bCs/>
                <w:sz w:val="21"/>
                <w:szCs w:val="21"/>
                <w:shd w:val="clear" w:color="auto" w:fill="auto"/>
                <w:lang w:val="zh-CN" w:bidi="zh-CN"/>
              </w:rPr>
              <w:t>排放所执行的标准</w:t>
            </w:r>
          </w:p>
          <w:tbl>
            <w:tblPr>
              <w:tblStyle w:val="35"/>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1075"/>
              <w:gridCol w:w="1108"/>
              <w:gridCol w:w="4494"/>
            </w:tblGrid>
            <w:tr w14:paraId="4425F2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5" w:type="pct"/>
                  <w:vAlign w:val="center"/>
                </w:tcPr>
                <w:p w14:paraId="0530874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控制项目</w:t>
                  </w:r>
                </w:p>
              </w:tc>
              <w:tc>
                <w:tcPr>
                  <w:tcW w:w="643" w:type="pct"/>
                  <w:vAlign w:val="center"/>
                </w:tcPr>
                <w:p w14:paraId="4DE2470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单位</w:t>
                  </w:r>
                </w:p>
              </w:tc>
              <w:tc>
                <w:tcPr>
                  <w:tcW w:w="662" w:type="pct"/>
                  <w:vAlign w:val="center"/>
                </w:tcPr>
                <w:p w14:paraId="775EE34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标准值</w:t>
                  </w:r>
                </w:p>
              </w:tc>
              <w:tc>
                <w:tcPr>
                  <w:tcW w:w="2688" w:type="pct"/>
                  <w:vAlign w:val="center"/>
                </w:tcPr>
                <w:p w14:paraId="2BBD910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备注</w:t>
                  </w:r>
                </w:p>
              </w:tc>
            </w:tr>
            <w:tr w14:paraId="5F3555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5" w:type="pct"/>
                  <w:vAlign w:val="center"/>
                </w:tcPr>
                <w:p w14:paraId="60795C2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颗粒物</w:t>
                  </w:r>
                </w:p>
              </w:tc>
              <w:tc>
                <w:tcPr>
                  <w:tcW w:w="643" w:type="pct"/>
                  <w:vMerge w:val="restart"/>
                  <w:vAlign w:val="center"/>
                </w:tcPr>
                <w:p w14:paraId="2A6F14A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lang w:val="zh-CN" w:bidi="zh-CN"/>
                    </w:rPr>
                    <w:t>mg/m</w:t>
                  </w:r>
                  <w:r>
                    <w:rPr>
                      <w:rFonts w:hint="default" w:ascii="Times New Roman" w:hAnsi="Times New Roman" w:eastAsia="宋体" w:cs="Times New Roman"/>
                      <w:sz w:val="21"/>
                      <w:szCs w:val="21"/>
                      <w:shd w:val="clear" w:color="auto" w:fill="auto"/>
                      <w:vertAlign w:val="superscript"/>
                      <w:lang w:bidi="zh-CN"/>
                    </w:rPr>
                    <w:t>3</w:t>
                  </w:r>
                </w:p>
              </w:tc>
              <w:tc>
                <w:tcPr>
                  <w:tcW w:w="662" w:type="pct"/>
                  <w:vAlign w:val="center"/>
                </w:tcPr>
                <w:p w14:paraId="4752017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1.0</w:t>
                  </w:r>
                </w:p>
              </w:tc>
              <w:tc>
                <w:tcPr>
                  <w:tcW w:w="2688" w:type="pct"/>
                  <w:vAlign w:val="center"/>
                </w:tcPr>
                <w:p w14:paraId="2A22E5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rPr>
                    <w:t>《大气污染物综合排放标准》（GB16297-1996）表2</w:t>
                  </w:r>
                </w:p>
              </w:tc>
            </w:tr>
            <w:tr w14:paraId="6563A1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5" w:type="pct"/>
                  <w:vAlign w:val="center"/>
                </w:tcPr>
                <w:p w14:paraId="53A468F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硫酸雾</w:t>
                  </w:r>
                </w:p>
              </w:tc>
              <w:tc>
                <w:tcPr>
                  <w:tcW w:w="643" w:type="pct"/>
                  <w:vMerge w:val="continue"/>
                  <w:vAlign w:val="center"/>
                </w:tcPr>
                <w:p w14:paraId="0D9BC8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p>
              </w:tc>
              <w:tc>
                <w:tcPr>
                  <w:tcW w:w="662" w:type="pct"/>
                  <w:vAlign w:val="center"/>
                </w:tcPr>
                <w:p w14:paraId="188D450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bidi="zh-CN"/>
                    </w:rPr>
                  </w:pPr>
                  <w:r>
                    <w:rPr>
                      <w:rFonts w:hint="default" w:ascii="Times New Roman" w:hAnsi="Times New Roman" w:eastAsia="宋体" w:cs="Times New Roman"/>
                      <w:sz w:val="21"/>
                      <w:szCs w:val="21"/>
                      <w:shd w:val="clear" w:color="auto" w:fill="auto"/>
                      <w:lang w:bidi="zh-CN"/>
                    </w:rPr>
                    <w:t>1.2</w:t>
                  </w:r>
                </w:p>
              </w:tc>
              <w:tc>
                <w:tcPr>
                  <w:tcW w:w="2688" w:type="pct"/>
                  <w:vAlign w:val="center"/>
                </w:tcPr>
                <w:p w14:paraId="31C17C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shd w:val="clear" w:color="auto" w:fill="auto"/>
                      <w:lang w:val="zh-CN" w:bidi="zh-CN"/>
                    </w:rPr>
                  </w:pPr>
                  <w:r>
                    <w:rPr>
                      <w:rFonts w:hint="default" w:ascii="Times New Roman" w:hAnsi="Times New Roman" w:eastAsia="宋体" w:cs="Times New Roman"/>
                      <w:sz w:val="21"/>
                      <w:szCs w:val="21"/>
                      <w:shd w:val="clear" w:color="auto" w:fill="auto"/>
                    </w:rPr>
                    <w:t>《大气污染物综合排放标准》（GB16297-1996）表2</w:t>
                  </w:r>
                </w:p>
              </w:tc>
            </w:tr>
          </w:tbl>
          <w:p w14:paraId="7121989E">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eastAsia"/>
                <w:color w:val="000000"/>
              </w:rPr>
              <w:t>2.</w:t>
            </w:r>
            <w:r>
              <w:rPr>
                <w:rFonts w:hint="eastAsia"/>
                <w:color w:val="000000"/>
                <w:lang w:val="en-US" w:eastAsia="zh-CN"/>
              </w:rPr>
              <w:t>2</w:t>
            </w:r>
            <w:r>
              <w:rPr>
                <w:rFonts w:hint="default"/>
                <w:color w:val="000000"/>
              </w:rPr>
              <w:t>噪声</w:t>
            </w:r>
          </w:p>
          <w:p w14:paraId="208311DA">
            <w:pPr>
              <w:keepNext w:val="0"/>
              <w:keepLines w:val="0"/>
              <w:suppressLineNumbers w:val="0"/>
              <w:adjustRightInd w:val="0"/>
              <w:snapToGrid w:val="0"/>
              <w:spacing w:before="0" w:beforeAutospacing="0" w:after="0" w:afterAutospacing="0"/>
              <w:ind w:left="0" w:right="0" w:firstLine="480" w:firstLineChars="200"/>
              <w:rPr>
                <w:rFonts w:hint="default"/>
                <w:color w:val="000000"/>
              </w:rPr>
            </w:pPr>
            <w:r>
              <w:rPr>
                <w:rFonts w:hint="default"/>
                <w:color w:val="000000"/>
              </w:rPr>
              <w:t>营运期噪声控制标准执行《工业企业厂界环境噪声排放标准》（GB</w:t>
            </w:r>
            <w:r>
              <w:rPr>
                <w:rFonts w:hint="eastAsia"/>
                <w:color w:val="000000"/>
              </w:rPr>
              <w:t xml:space="preserve"> </w:t>
            </w:r>
            <w:r>
              <w:rPr>
                <w:rFonts w:hint="default"/>
                <w:color w:val="000000"/>
              </w:rPr>
              <w:t>12348-2008）</w:t>
            </w:r>
            <w:r>
              <w:rPr>
                <w:rFonts w:hint="eastAsia"/>
                <w:color w:val="000000"/>
              </w:rPr>
              <w:t>3</w:t>
            </w:r>
            <w:r>
              <w:rPr>
                <w:rFonts w:hint="default"/>
                <w:color w:val="000000"/>
              </w:rPr>
              <w:t>类标准，昼间6</w:t>
            </w:r>
            <w:r>
              <w:rPr>
                <w:rFonts w:hint="eastAsia"/>
                <w:color w:val="000000"/>
              </w:rPr>
              <w:t>5</w:t>
            </w:r>
            <w:r>
              <w:rPr>
                <w:rFonts w:hint="default"/>
                <w:color w:val="000000"/>
              </w:rPr>
              <w:t>dB</w:t>
            </w:r>
            <w:r>
              <w:rPr>
                <w:rFonts w:hint="eastAsia"/>
                <w:color w:val="000000"/>
                <w:lang w:eastAsia="zh-CN"/>
              </w:rPr>
              <w:t>（</w:t>
            </w:r>
            <w:r>
              <w:rPr>
                <w:rFonts w:hint="default"/>
                <w:color w:val="000000"/>
              </w:rPr>
              <w:t>A</w:t>
            </w:r>
            <w:r>
              <w:rPr>
                <w:rFonts w:hint="eastAsia"/>
                <w:color w:val="000000"/>
                <w:lang w:eastAsia="zh-CN"/>
              </w:rPr>
              <w:t>）</w:t>
            </w:r>
            <w:r>
              <w:rPr>
                <w:rFonts w:hint="default"/>
                <w:color w:val="000000"/>
              </w:rPr>
              <w:t>，夜间5</w:t>
            </w:r>
            <w:r>
              <w:rPr>
                <w:rFonts w:hint="eastAsia"/>
                <w:color w:val="000000"/>
              </w:rPr>
              <w:t>5</w:t>
            </w:r>
            <w:r>
              <w:rPr>
                <w:rFonts w:hint="default"/>
                <w:color w:val="000000"/>
              </w:rPr>
              <w:t>dB</w:t>
            </w:r>
            <w:r>
              <w:rPr>
                <w:rFonts w:hint="eastAsia"/>
                <w:color w:val="000000"/>
                <w:lang w:eastAsia="zh-CN"/>
              </w:rPr>
              <w:t>（</w:t>
            </w:r>
            <w:r>
              <w:rPr>
                <w:rFonts w:hint="default"/>
                <w:color w:val="000000"/>
              </w:rPr>
              <w:t>A</w:t>
            </w:r>
            <w:r>
              <w:rPr>
                <w:rFonts w:hint="eastAsia"/>
                <w:color w:val="000000"/>
                <w:lang w:eastAsia="zh-CN"/>
              </w:rPr>
              <w:t>）</w:t>
            </w:r>
            <w:r>
              <w:rPr>
                <w:rFonts w:hint="default"/>
                <w:color w:val="000000"/>
              </w:rPr>
              <w:t>。</w:t>
            </w:r>
          </w:p>
          <w:p w14:paraId="050902FC">
            <w:pPr>
              <w:pStyle w:val="21"/>
              <w:keepNext w:val="0"/>
              <w:keepLines w:val="0"/>
              <w:suppressLineNumbers w:val="0"/>
              <w:adjustRightInd w:val="0"/>
              <w:snapToGrid w:val="0"/>
              <w:spacing w:before="0" w:beforeAutospacing="0" w:after="0" w:afterAutospacing="0"/>
              <w:ind w:left="0" w:right="0" w:firstLine="482" w:firstLineChars="200"/>
              <w:rPr>
                <w:rFonts w:hint="default"/>
                <w:color w:val="000000"/>
              </w:rPr>
            </w:pPr>
            <w:r>
              <w:rPr>
                <w:rFonts w:hint="eastAsia"/>
                <w:color w:val="000000"/>
              </w:rPr>
              <w:t>2.</w:t>
            </w:r>
            <w:r>
              <w:rPr>
                <w:rFonts w:hint="eastAsia"/>
                <w:color w:val="000000"/>
                <w:lang w:val="en-US" w:eastAsia="zh-CN"/>
              </w:rPr>
              <w:t>3</w:t>
            </w:r>
            <w:r>
              <w:rPr>
                <w:rFonts w:hint="default"/>
                <w:color w:val="000000"/>
              </w:rPr>
              <w:t>固废</w:t>
            </w:r>
          </w:p>
          <w:p w14:paraId="3F041C81">
            <w:pPr>
              <w:keepNext w:val="0"/>
              <w:keepLines w:val="0"/>
              <w:suppressLineNumbers w:val="0"/>
              <w:adjustRightInd w:val="0"/>
              <w:snapToGrid w:val="0"/>
              <w:spacing w:before="0" w:beforeAutospacing="0" w:after="0" w:afterAutospacing="0"/>
              <w:ind w:left="0" w:right="0" w:firstLine="480" w:firstLineChars="200"/>
              <w:rPr>
                <w:rFonts w:hint="default"/>
                <w:color w:val="000000"/>
              </w:rPr>
            </w:pPr>
            <w:r>
              <w:rPr>
                <w:rFonts w:hint="default" w:ascii="Times New Roman" w:hAnsi="Times New Roman" w:eastAsia="宋体" w:cs="Times New Roman"/>
                <w:b w:val="0"/>
                <w:color w:val="000000"/>
                <w:kern w:val="0"/>
                <w:sz w:val="24"/>
                <w:szCs w:val="24"/>
                <w:lang w:val="en-US" w:eastAsia="zh-CN" w:bidi="ar"/>
              </w:rPr>
              <w:t>本项目一般固废</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执行</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sz w:val="24"/>
                <w:szCs w:val="24"/>
                <w:highlight w:val="none"/>
                <w:lang w:val="en-US" w:eastAsia="zh-CN"/>
              </w:rPr>
              <w:t>中华人民共和国固体废物污染环境防治法</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中的要求</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color w:val="000000"/>
                <w:lang w:val="en-US" w:eastAsia="zh-CN"/>
              </w:rPr>
              <w:t>本项目</w:t>
            </w:r>
            <w:r>
              <w:rPr>
                <w:rFonts w:hint="default"/>
                <w:color w:val="000000"/>
              </w:rPr>
              <w:t>危险废物执行《危险废物贮存污染控制标准》（GB18597-</w:t>
            </w:r>
            <w:r>
              <w:rPr>
                <w:rFonts w:hint="default"/>
                <w:color w:val="000000"/>
                <w:lang w:val="en-US" w:eastAsia="zh-CN"/>
              </w:rPr>
              <w:t>2023</w:t>
            </w:r>
            <w:r>
              <w:rPr>
                <w:rFonts w:hint="default"/>
                <w:color w:val="000000"/>
              </w:rPr>
              <w:t>）。</w:t>
            </w:r>
          </w:p>
        </w:tc>
      </w:tr>
      <w:tr w14:paraId="7FF348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22" w:hRule="atLeast"/>
          <w:jc w:val="center"/>
        </w:trPr>
        <w:tc>
          <w:tcPr>
            <w:tcW w:w="485" w:type="dxa"/>
            <w:tcBorders>
              <w:tl2br w:val="nil"/>
              <w:tr2bl w:val="nil"/>
            </w:tcBorders>
            <w:noWrap w:val="0"/>
            <w:vAlign w:val="center"/>
          </w:tcPr>
          <w:p w14:paraId="50EA6E9C">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总量</w:t>
            </w:r>
          </w:p>
          <w:p w14:paraId="0D1824A7">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控制</w:t>
            </w:r>
          </w:p>
          <w:p w14:paraId="1DA934A7">
            <w:pPr>
              <w:keepNext w:val="0"/>
              <w:keepLines w:val="0"/>
              <w:suppressLineNumbers w:val="0"/>
              <w:adjustRightInd w:val="0"/>
              <w:snapToGrid w:val="0"/>
              <w:spacing w:before="0" w:beforeAutospacing="0" w:after="0" w:afterAutospacing="0"/>
              <w:ind w:left="0" w:right="0"/>
              <w:jc w:val="center"/>
              <w:rPr>
                <w:rFonts w:hint="default"/>
                <w:b/>
                <w:bCs/>
                <w:color w:val="000000"/>
                <w:kern w:val="0"/>
                <w:szCs w:val="21"/>
              </w:rPr>
            </w:pPr>
            <w:r>
              <w:rPr>
                <w:rFonts w:hint="default"/>
                <w:b/>
                <w:bCs/>
                <w:color w:val="000000"/>
                <w:kern w:val="0"/>
                <w:szCs w:val="21"/>
              </w:rPr>
              <w:t>指标</w:t>
            </w:r>
          </w:p>
        </w:tc>
        <w:tc>
          <w:tcPr>
            <w:tcW w:w="8576" w:type="dxa"/>
            <w:tcBorders>
              <w:tl2br w:val="nil"/>
              <w:tr2bl w:val="nil"/>
            </w:tcBorders>
            <w:noWrap w:val="0"/>
            <w:vAlign w:val="center"/>
          </w:tcPr>
          <w:p w14:paraId="14F98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color w:val="000000"/>
                <w:kern w:val="0"/>
                <w:szCs w:val="21"/>
              </w:rPr>
            </w:pPr>
            <w:r>
              <w:rPr>
                <w:rFonts w:hint="default"/>
                <w:color w:val="000000"/>
                <w:kern w:val="0"/>
                <w:szCs w:val="21"/>
              </w:rPr>
              <w:t>根据工程分析，本项目所在区域的环境特征及本项目排污情况，确定本项目总量控制指标为NOx</w:t>
            </w:r>
            <w:r>
              <w:rPr>
                <w:rFonts w:hint="eastAsia"/>
                <w:color w:val="000000"/>
                <w:kern w:val="0"/>
                <w:szCs w:val="21"/>
                <w:lang w:eastAsia="zh-CN"/>
              </w:rPr>
              <w:t>，</w:t>
            </w:r>
            <w:r>
              <w:rPr>
                <w:rFonts w:hint="default"/>
                <w:color w:val="000000"/>
                <w:kern w:val="0"/>
                <w:szCs w:val="21"/>
              </w:rPr>
              <w:t>因此需申请总量为NOx：</w:t>
            </w:r>
            <w:r>
              <w:rPr>
                <w:rFonts w:hint="eastAsia"/>
                <w:color w:val="000000"/>
                <w:kern w:val="0"/>
                <w:szCs w:val="21"/>
                <w:highlight w:val="none"/>
                <w:lang w:val="en-US" w:eastAsia="zh-CN"/>
              </w:rPr>
              <w:t>1.499</w:t>
            </w:r>
            <w:r>
              <w:rPr>
                <w:rFonts w:hint="default"/>
                <w:color w:val="000000"/>
                <w:kern w:val="0"/>
                <w:szCs w:val="21"/>
                <w:highlight w:val="none"/>
              </w:rPr>
              <w:t>t/a。</w:t>
            </w:r>
          </w:p>
        </w:tc>
      </w:tr>
    </w:tbl>
    <w:p w14:paraId="33110C61">
      <w:pPr>
        <w:pStyle w:val="5"/>
        <w:rPr>
          <w:snapToGrid w:val="0"/>
          <w:color w:val="auto"/>
          <w:vertAlign w:val="baseline"/>
        </w:rPr>
      </w:pPr>
      <w:r>
        <w:rPr>
          <w:snapToGrid w:val="0"/>
          <w:color w:val="auto"/>
          <w:sz w:val="36"/>
          <w:szCs w:val="36"/>
        </w:rPr>
        <w:br w:type="page"/>
      </w:r>
      <w:bookmarkStart w:id="12" w:name="_Toc29362"/>
      <w:r>
        <w:rPr>
          <w:snapToGrid w:val="0"/>
          <w:color w:val="auto"/>
        </w:rPr>
        <w:t>四、主要环境影响和保护措施</w:t>
      </w:r>
      <w:bookmarkEnd w:id="12"/>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522"/>
        <w:gridCol w:w="8539"/>
      </w:tblGrid>
      <w:tr w14:paraId="00AC651A">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c>
          <w:tcPr>
            <w:tcW w:w="0" w:type="auto"/>
            <w:tcBorders>
              <w:tl2br w:val="nil"/>
              <w:tr2bl w:val="nil"/>
            </w:tcBorders>
            <w:noWrap w:val="0"/>
            <w:vAlign w:val="center"/>
          </w:tcPr>
          <w:p w14:paraId="373A7C32">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pacing w:val="0"/>
                <w:kern w:val="0"/>
                <w:sz w:val="24"/>
                <w:szCs w:val="24"/>
              </w:rPr>
            </w:pPr>
            <w:r>
              <w:rPr>
                <w:rFonts w:hint="default" w:ascii="Times New Roman" w:hAnsi="Times New Roman"/>
                <w:b/>
                <w:bCs/>
                <w:color w:val="000000"/>
                <w:spacing w:val="0"/>
                <w:kern w:val="0"/>
                <w:sz w:val="24"/>
                <w:szCs w:val="24"/>
              </w:rPr>
              <w:t>施工</w:t>
            </w:r>
          </w:p>
          <w:p w14:paraId="4E5816B6">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pacing w:val="0"/>
                <w:kern w:val="0"/>
                <w:sz w:val="24"/>
                <w:szCs w:val="24"/>
              </w:rPr>
            </w:pPr>
            <w:r>
              <w:rPr>
                <w:rFonts w:hint="default" w:ascii="Times New Roman" w:hAnsi="Times New Roman"/>
                <w:b/>
                <w:bCs/>
                <w:color w:val="000000"/>
                <w:spacing w:val="0"/>
                <w:kern w:val="0"/>
                <w:sz w:val="24"/>
                <w:szCs w:val="24"/>
              </w:rPr>
              <w:t>期环</w:t>
            </w:r>
          </w:p>
          <w:p w14:paraId="26151E82">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pacing w:val="0"/>
                <w:kern w:val="0"/>
                <w:sz w:val="24"/>
                <w:szCs w:val="24"/>
              </w:rPr>
            </w:pPr>
            <w:r>
              <w:rPr>
                <w:rFonts w:hint="default" w:ascii="Times New Roman" w:hAnsi="Times New Roman"/>
                <w:b/>
                <w:bCs/>
                <w:color w:val="000000"/>
                <w:spacing w:val="0"/>
                <w:kern w:val="0"/>
                <w:sz w:val="24"/>
                <w:szCs w:val="24"/>
              </w:rPr>
              <w:t>境保</w:t>
            </w:r>
          </w:p>
          <w:p w14:paraId="7A0B2787">
            <w:pPr>
              <w:pStyle w:val="30"/>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000000"/>
                <w:spacing w:val="0"/>
                <w:kern w:val="0"/>
                <w:sz w:val="24"/>
                <w:szCs w:val="24"/>
              </w:rPr>
            </w:pPr>
            <w:r>
              <w:rPr>
                <w:rFonts w:hint="default" w:ascii="Times New Roman" w:hAnsi="Times New Roman"/>
                <w:b/>
                <w:bCs/>
                <w:color w:val="000000"/>
                <w:spacing w:val="0"/>
                <w:kern w:val="0"/>
                <w:sz w:val="24"/>
                <w:szCs w:val="24"/>
              </w:rPr>
              <w:t>护措</w:t>
            </w:r>
          </w:p>
          <w:p w14:paraId="01C6CFA3">
            <w:pPr>
              <w:pStyle w:val="30"/>
              <w:keepNext w:val="0"/>
              <w:keepLines w:val="0"/>
              <w:suppressLineNumbers w:val="0"/>
              <w:adjustRightInd w:val="0"/>
              <w:snapToGrid w:val="0"/>
              <w:spacing w:before="0" w:beforeAutospacing="0" w:after="0" w:afterAutospacing="0"/>
              <w:ind w:left="0" w:right="0"/>
              <w:jc w:val="center"/>
              <w:rPr>
                <w:rFonts w:hint="default"/>
                <w:snapToGrid w:val="0"/>
                <w:color w:val="auto"/>
                <w:vertAlign w:val="baseline"/>
              </w:rPr>
            </w:pPr>
            <w:r>
              <w:rPr>
                <w:rFonts w:hint="default" w:ascii="Times New Roman" w:hAnsi="Times New Roman"/>
                <w:b/>
                <w:bCs/>
                <w:color w:val="000000"/>
                <w:spacing w:val="0"/>
                <w:kern w:val="0"/>
                <w:sz w:val="24"/>
                <w:szCs w:val="24"/>
              </w:rPr>
              <w:t>施</w:t>
            </w:r>
          </w:p>
        </w:tc>
        <w:tc>
          <w:tcPr>
            <w:tcW w:w="0" w:type="auto"/>
            <w:tcBorders>
              <w:tl2br w:val="nil"/>
              <w:tr2bl w:val="nil"/>
            </w:tcBorders>
            <w:noWrap w:val="0"/>
            <w:vAlign w:val="center"/>
          </w:tcPr>
          <w:p w14:paraId="695569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spacing w:val="0"/>
                <w:kern w:val="0"/>
                <w:position w:val="0"/>
                <w:sz w:val="24"/>
                <w:szCs w:val="24"/>
                <w:lang w:val="en-US" w:eastAsia="zh-CN" w:bidi="ar-SA"/>
              </w:rPr>
            </w:pPr>
            <w:r>
              <w:rPr>
                <w:rFonts w:hint="default" w:ascii="Times New Roman" w:hAnsi="Times New Roman" w:eastAsia="宋体" w:cs="Times New Roman"/>
                <w:color w:val="000000"/>
                <w:spacing w:val="0"/>
                <w:kern w:val="0"/>
                <w:position w:val="0"/>
                <w:sz w:val="24"/>
                <w:szCs w:val="24"/>
                <w:highlight w:val="none"/>
                <w:lang w:val="en-US" w:eastAsia="zh-CN" w:bidi="ar-SA"/>
              </w:rPr>
              <w:t>本项目预计施工期为</w:t>
            </w:r>
            <w:r>
              <w:rPr>
                <w:rFonts w:hint="eastAsia" w:cs="Times New Roman"/>
                <w:color w:val="000000"/>
                <w:spacing w:val="0"/>
                <w:kern w:val="0"/>
                <w:position w:val="0"/>
                <w:sz w:val="24"/>
                <w:szCs w:val="24"/>
                <w:highlight w:val="none"/>
                <w:lang w:val="en-US" w:eastAsia="zh-CN" w:bidi="ar-SA"/>
              </w:rPr>
              <w:t>3</w:t>
            </w:r>
            <w:r>
              <w:rPr>
                <w:rFonts w:hint="default" w:ascii="Times New Roman" w:hAnsi="Times New Roman" w:eastAsia="宋体" w:cs="Times New Roman"/>
                <w:color w:val="000000"/>
                <w:spacing w:val="0"/>
                <w:kern w:val="0"/>
                <w:position w:val="0"/>
                <w:sz w:val="24"/>
                <w:szCs w:val="24"/>
                <w:highlight w:val="none"/>
                <w:lang w:val="en-US" w:eastAsia="zh-CN" w:bidi="ar-SA"/>
              </w:rPr>
              <w:t>个月，施工内容主要</w:t>
            </w:r>
            <w:r>
              <w:rPr>
                <w:rFonts w:hint="eastAsia" w:ascii="Times New Roman" w:hAnsi="Times New Roman" w:eastAsia="宋体" w:cs="Times New Roman"/>
                <w:color w:val="000000"/>
                <w:spacing w:val="0"/>
                <w:kern w:val="0"/>
                <w:position w:val="0"/>
                <w:sz w:val="24"/>
                <w:szCs w:val="24"/>
                <w:highlight w:val="none"/>
                <w:lang w:val="en-US" w:eastAsia="zh-CN" w:bidi="ar-SA"/>
              </w:rPr>
              <w:t>为</w:t>
            </w:r>
            <w:r>
              <w:rPr>
                <w:rFonts w:hint="eastAsia" w:cs="Times New Roman"/>
                <w:color w:val="000000"/>
                <w:spacing w:val="0"/>
                <w:kern w:val="0"/>
                <w:position w:val="0"/>
                <w:sz w:val="24"/>
                <w:szCs w:val="24"/>
                <w:highlight w:val="none"/>
                <w:lang w:val="en-US" w:eastAsia="zh-CN" w:bidi="ar-SA"/>
              </w:rPr>
              <w:t>在厂房进行</w:t>
            </w:r>
            <w:r>
              <w:rPr>
                <w:rFonts w:hint="eastAsia" w:ascii="Times New Roman" w:hAnsi="Times New Roman" w:eastAsia="宋体" w:cs="Times New Roman"/>
                <w:color w:val="000000"/>
                <w:spacing w:val="0"/>
                <w:kern w:val="0"/>
                <w:position w:val="0"/>
                <w:sz w:val="24"/>
                <w:szCs w:val="24"/>
                <w:highlight w:val="none"/>
                <w:lang w:val="en-US" w:eastAsia="zh-CN" w:bidi="ar-SA"/>
              </w:rPr>
              <w:t>设备安装</w:t>
            </w:r>
            <w:r>
              <w:rPr>
                <w:rFonts w:hint="default" w:ascii="Times New Roman" w:hAnsi="Times New Roman" w:eastAsia="宋体" w:cs="Times New Roman"/>
                <w:color w:val="000000"/>
                <w:spacing w:val="0"/>
                <w:kern w:val="0"/>
                <w:position w:val="0"/>
                <w:sz w:val="24"/>
                <w:szCs w:val="24"/>
                <w:highlight w:val="none"/>
                <w:lang w:val="en-US" w:eastAsia="zh-CN" w:bidi="ar-SA"/>
              </w:rPr>
              <w:t>。施工内容主要</w:t>
            </w:r>
            <w:r>
              <w:rPr>
                <w:rFonts w:hint="eastAsia" w:ascii="Times New Roman" w:hAnsi="Times New Roman" w:eastAsia="宋体" w:cs="Times New Roman"/>
                <w:color w:val="000000"/>
                <w:spacing w:val="0"/>
                <w:kern w:val="0"/>
                <w:position w:val="0"/>
                <w:sz w:val="24"/>
                <w:szCs w:val="24"/>
                <w:highlight w:val="none"/>
                <w:lang w:val="en-US" w:eastAsia="zh-CN" w:bidi="ar-SA"/>
              </w:rPr>
              <w:t>为厂房建设及设备安装</w:t>
            </w:r>
            <w:r>
              <w:rPr>
                <w:rFonts w:hint="default" w:ascii="Times New Roman" w:hAnsi="Times New Roman" w:eastAsia="宋体" w:cs="Times New Roman"/>
                <w:color w:val="000000"/>
                <w:spacing w:val="0"/>
                <w:kern w:val="0"/>
                <w:position w:val="0"/>
                <w:sz w:val="24"/>
                <w:szCs w:val="24"/>
                <w:highlight w:val="none"/>
                <w:lang w:val="en-US" w:eastAsia="zh-CN" w:bidi="ar-SA"/>
              </w:rPr>
              <w:t>。</w:t>
            </w:r>
            <w:r>
              <w:rPr>
                <w:rFonts w:hint="default" w:ascii="Times New Roman" w:hAnsi="Times New Roman" w:eastAsia="宋体" w:cs="Times New Roman"/>
                <w:color w:val="000000"/>
                <w:spacing w:val="0"/>
                <w:kern w:val="0"/>
                <w:position w:val="0"/>
                <w:sz w:val="24"/>
                <w:szCs w:val="24"/>
                <w:lang w:val="en-US" w:eastAsia="zh-CN" w:bidi="ar-SA"/>
              </w:rPr>
              <w:t>在此期间将产生</w:t>
            </w:r>
            <w:r>
              <w:rPr>
                <w:rFonts w:hint="eastAsia" w:cs="Times New Roman"/>
                <w:color w:val="000000"/>
                <w:spacing w:val="0"/>
                <w:kern w:val="0"/>
                <w:position w:val="0"/>
                <w:sz w:val="24"/>
                <w:szCs w:val="24"/>
                <w:lang w:val="en-US" w:eastAsia="zh-CN" w:bidi="ar-SA"/>
              </w:rPr>
              <w:t>扬尘、废水、</w:t>
            </w:r>
            <w:r>
              <w:rPr>
                <w:rFonts w:hint="default" w:ascii="Times New Roman" w:hAnsi="Times New Roman" w:eastAsia="宋体" w:cs="Times New Roman"/>
                <w:color w:val="000000"/>
                <w:spacing w:val="0"/>
                <w:kern w:val="0"/>
                <w:position w:val="0"/>
                <w:sz w:val="24"/>
                <w:szCs w:val="24"/>
                <w:lang w:val="en-US" w:eastAsia="zh-CN" w:bidi="ar-SA"/>
              </w:rPr>
              <w:t>噪声</w:t>
            </w:r>
            <w:r>
              <w:rPr>
                <w:rFonts w:hint="eastAsia" w:ascii="Times New Roman" w:hAnsi="Times New Roman" w:eastAsia="宋体" w:cs="Times New Roman"/>
                <w:color w:val="000000"/>
                <w:spacing w:val="0"/>
                <w:kern w:val="0"/>
                <w:position w:val="0"/>
                <w:sz w:val="24"/>
                <w:szCs w:val="24"/>
                <w:lang w:val="en-US" w:eastAsia="zh-CN" w:bidi="ar-SA"/>
              </w:rPr>
              <w:t>和施工垃圾</w:t>
            </w:r>
            <w:r>
              <w:rPr>
                <w:rFonts w:hint="default" w:ascii="Times New Roman" w:hAnsi="Times New Roman" w:eastAsia="宋体" w:cs="Times New Roman"/>
                <w:color w:val="000000"/>
                <w:spacing w:val="0"/>
                <w:kern w:val="0"/>
                <w:position w:val="0"/>
                <w:sz w:val="24"/>
                <w:szCs w:val="24"/>
                <w:lang w:val="en-US" w:eastAsia="zh-CN" w:bidi="ar-SA"/>
              </w:rPr>
              <w:t>等。此外，物料运输也将对运输路线两侧一定范围内大气、声环境产生不利影响。</w:t>
            </w:r>
          </w:p>
          <w:p w14:paraId="7E945C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1、施工废气环境影响分析及保护措施</w:t>
            </w:r>
          </w:p>
          <w:p w14:paraId="32412C7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本项目直接利用现有厂房进行建设，施工内容少，施工期短，施工期主要为安装生产设备，施工过程中产生少量扬尘，为降低扬尘污染，施工期拟采取以下措施：</w:t>
            </w:r>
          </w:p>
          <w:p w14:paraId="65C0AEA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（1）施工场地特别是安装材料堆放区域及道路区应每天定期洒水，以有效防治扬尘产生，在旱季风大时，应加大洒水量及洒水频次；</w:t>
            </w:r>
          </w:p>
          <w:p w14:paraId="5E2C994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（2）易飞扬的细颗粒材料，应安排在生产车间内存放或严密遮盖；</w:t>
            </w:r>
          </w:p>
          <w:p w14:paraId="14015E0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（3）运输车辆应选用封闭式车厢或用帆布遮盖，装载不宜过满，进入施工场地时要限速行驶，以减少产尘量，要求运输汽车限速、限载、加强汽车维护；</w:t>
            </w:r>
          </w:p>
          <w:p w14:paraId="5E1E20D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（4）施工作业应配备专人负责，做到科学管理，文明施工，尽量缩短施工时间；</w:t>
            </w:r>
          </w:p>
          <w:p w14:paraId="675739C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firstLineChars="200"/>
              <w:jc w:val="both"/>
              <w:textAlignment w:val="auto"/>
              <w:rPr>
                <w:rFonts w:hint="eastAsia" w:cs="Times New Roman"/>
              </w:rPr>
            </w:pPr>
            <w:r>
              <w:rPr>
                <w:rFonts w:hint="eastAsia" w:cs="Times New Roman"/>
                <w:lang w:val="en-US" w:eastAsia="zh-CN"/>
              </w:rPr>
              <w:t>（5）要求施工机械设备加强日常维护保养等。</w:t>
            </w:r>
          </w:p>
          <w:p w14:paraId="6B07F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rPr>
            </w:pPr>
            <w:r>
              <w:rPr>
                <w:rFonts w:hint="eastAsia" w:cs="Times New Roman"/>
              </w:rPr>
              <w:t>本项目经采取以上污染防治措施后，施工场地扬尘不会对周围环境产生较大的影响，其对环境的影响也将随施工期的结束而消失。</w:t>
            </w:r>
          </w:p>
          <w:p w14:paraId="16790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2、施工期水环境影响分析及保护措施</w:t>
            </w:r>
          </w:p>
          <w:p w14:paraId="7D336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（1）工程废水</w:t>
            </w:r>
          </w:p>
          <w:p w14:paraId="540191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本项目施工过程不产生施工废水。</w:t>
            </w:r>
          </w:p>
          <w:p w14:paraId="3E25C7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spacing w:val="0"/>
                <w:kern w:val="0"/>
                <w:position w:val="0"/>
                <w:sz w:val="24"/>
                <w:lang w:val="en-US" w:eastAsia="zh-CN"/>
              </w:rPr>
            </w:pPr>
            <w:r>
              <w:rPr>
                <w:rFonts w:hint="default" w:ascii="Times New Roman" w:hAnsi="Times New Roman" w:eastAsia="宋体" w:cs="Times New Roman"/>
                <w:b w:val="0"/>
                <w:bCs w:val="0"/>
                <w:spacing w:val="0"/>
                <w:kern w:val="0"/>
                <w:position w:val="0"/>
                <w:sz w:val="24"/>
                <w:lang w:val="en-US" w:eastAsia="zh-CN"/>
              </w:rPr>
              <w:t>（2）生活污水</w:t>
            </w:r>
          </w:p>
          <w:p w14:paraId="26DB33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56" w:firstLineChars="200"/>
              <w:jc w:val="both"/>
              <w:textAlignment w:val="auto"/>
              <w:rPr>
                <w:rFonts w:hint="default" w:ascii="Times New Roman" w:hAnsi="Times New Roman" w:eastAsia="宋体" w:cs="Times New Roman"/>
                <w:b w:val="0"/>
                <w:bCs w:val="0"/>
                <w:spacing w:val="-6"/>
                <w:kern w:val="0"/>
                <w:position w:val="0"/>
                <w:sz w:val="24"/>
                <w:lang w:val="en-US" w:eastAsia="zh-CN"/>
              </w:rPr>
            </w:pPr>
            <w:r>
              <w:rPr>
                <w:rFonts w:hint="default" w:ascii="Times New Roman" w:hAnsi="Times New Roman" w:eastAsia="宋体" w:cs="Times New Roman"/>
                <w:b w:val="0"/>
                <w:bCs w:val="0"/>
                <w:spacing w:val="-6"/>
                <w:kern w:val="0"/>
                <w:position w:val="0"/>
                <w:sz w:val="24"/>
                <w:lang w:val="en-US" w:eastAsia="zh-CN"/>
              </w:rPr>
              <w:t>因施工人员食宿不在项目区内，不设生活营地，所以施工期没有生活污水产生。</w:t>
            </w:r>
          </w:p>
          <w:p w14:paraId="4026F7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3、施工噪声环境影响分析及保护措施</w:t>
            </w:r>
          </w:p>
          <w:p w14:paraId="575EF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为最大限度避免和减轻施工及运输噪声对周围声环境的不利影响，本评价建议建设单位在进行工程施工时采取以下噪声控制对策和措施：</w:t>
            </w:r>
          </w:p>
          <w:p w14:paraId="56ACA2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①合理布局施工场地；</w:t>
            </w:r>
          </w:p>
          <w:p w14:paraId="5392A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②合理安排施工时间，强噪声作业尽量安排在白天进行，严禁夜间高噪声设备施工；</w:t>
            </w:r>
          </w:p>
          <w:p w14:paraId="532319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③施工现场提倡文明施工，建立健全控制人为噪声的管理制度，尽量减少人为的大声喧哗，增强全体施工人员的防噪声扰民的自觉意识；</w:t>
            </w:r>
          </w:p>
          <w:p w14:paraId="140E97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④运输材料及设备时，必须轻拿轻放，严禁野蛮装卸，并在装卸点铺垫草包等降噪物体；大型物件装卸，应当使用起吊设备，严禁汽车自卸；</w:t>
            </w:r>
          </w:p>
          <w:p w14:paraId="60FED2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⑤材料运输等汽车进场安排专人指挥，场内禁止运输车辆鸣笛；材料装卸采用人工传递，严禁抛掷或汽车一次性下料；</w:t>
            </w:r>
          </w:p>
          <w:p w14:paraId="04C9A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⑥建材、施工机械器具、建渣等的运输尽量选择影响最小的路线，途</w:t>
            </w:r>
            <w:r>
              <w:rPr>
                <w:rFonts w:hint="eastAsia" w:ascii="Times New Roman" w:hAnsi="Times New Roman" w:eastAsia="宋体" w:cs="Times New Roman"/>
                <w:spacing w:val="0"/>
                <w:kern w:val="0"/>
                <w:position w:val="0"/>
                <w:sz w:val="24"/>
                <w:lang w:val="en-US" w:eastAsia="zh-CN"/>
              </w:rPr>
              <w:t>经</w:t>
            </w:r>
            <w:r>
              <w:rPr>
                <w:rFonts w:hint="default" w:ascii="Times New Roman" w:hAnsi="Times New Roman" w:eastAsia="宋体" w:cs="Times New Roman"/>
                <w:spacing w:val="0"/>
                <w:kern w:val="0"/>
                <w:position w:val="0"/>
                <w:sz w:val="24"/>
                <w:lang w:val="en-US" w:eastAsia="zh-CN"/>
              </w:rPr>
              <w:t>敏感点时减速慢行，严禁鸣笛；</w:t>
            </w:r>
          </w:p>
          <w:p w14:paraId="4F002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⑦项目施工管理由专人负责，并设定专门负责人定期对该区的施工噪声污染防治措施以及环保管理进行检查和核实，严格按照国家、成都市的施工噪声防治和管理规范中的相关规程要求进行治理，尽量减少施工噪声对外环境的影响程度。</w:t>
            </w:r>
          </w:p>
          <w:p w14:paraId="6101B5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pacing w:val="0"/>
                <w:kern w:val="0"/>
                <w:position w:val="0"/>
                <w:sz w:val="24"/>
                <w:lang w:val="en-US" w:eastAsia="zh-CN"/>
              </w:rPr>
            </w:pPr>
            <w:r>
              <w:rPr>
                <w:rFonts w:hint="default" w:ascii="Times New Roman" w:hAnsi="Times New Roman" w:eastAsia="宋体" w:cs="Times New Roman"/>
                <w:spacing w:val="0"/>
                <w:kern w:val="0"/>
                <w:position w:val="0"/>
                <w:sz w:val="24"/>
                <w:lang w:val="en-US" w:eastAsia="zh-CN"/>
              </w:rPr>
              <w:t>采取上述措施后，施工期间的厂界噪声能够满足《建筑施工场界环境噪声排放标准》（GB12523-2011）标准要求。</w:t>
            </w:r>
          </w:p>
          <w:p w14:paraId="7A3596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b/>
                <w:bCs/>
                <w:spacing w:val="0"/>
                <w:kern w:val="0"/>
                <w:position w:val="0"/>
                <w:sz w:val="24"/>
                <w:lang w:val="en-US" w:eastAsia="zh-CN"/>
              </w:rPr>
            </w:pPr>
            <w:r>
              <w:rPr>
                <w:rFonts w:hint="default" w:ascii="Times New Roman" w:hAnsi="Times New Roman" w:eastAsia="宋体" w:cs="Times New Roman"/>
                <w:b/>
                <w:bCs/>
                <w:spacing w:val="0"/>
                <w:kern w:val="0"/>
                <w:position w:val="0"/>
                <w:sz w:val="24"/>
                <w:lang w:val="en-US" w:eastAsia="zh-CN"/>
              </w:rPr>
              <w:t>4、固体废物影响分析及治理措施</w:t>
            </w:r>
          </w:p>
          <w:p w14:paraId="6EECB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rPr>
            </w:pPr>
            <w:r>
              <w:rPr>
                <w:rFonts w:hint="default" w:cs="Times New Roman"/>
                <w:lang w:eastAsia="zh-CN"/>
              </w:rPr>
              <w:t>施工期固废主要是安装废弃物。安装废弃物主要包括设备的废包装及安装过程产生的垃圾</w:t>
            </w:r>
            <w:r>
              <w:rPr>
                <w:rFonts w:hint="eastAsia" w:cs="Times New Roman"/>
                <w:lang w:eastAsia="zh-CN"/>
              </w:rPr>
              <w:t>，</w:t>
            </w:r>
            <w:r>
              <w:rPr>
                <w:rFonts w:hint="eastAsia" w:cs="Times New Roman"/>
                <w:lang w:val="en-US" w:eastAsia="zh-CN"/>
              </w:rPr>
              <w:t>通过</w:t>
            </w:r>
            <w:r>
              <w:rPr>
                <w:rFonts w:hint="default" w:cs="Times New Roman"/>
              </w:rPr>
              <w:t>集中收集后</w:t>
            </w:r>
            <w:r>
              <w:rPr>
                <w:rFonts w:hint="default" w:cs="Times New Roman"/>
                <w:lang w:eastAsia="zh-CN"/>
              </w:rPr>
              <w:t>交由环卫部门处理</w:t>
            </w:r>
            <w:r>
              <w:rPr>
                <w:rFonts w:hint="default" w:cs="Times New Roman"/>
              </w:rPr>
              <w:t>。</w:t>
            </w:r>
          </w:p>
          <w:p w14:paraId="14CE56E0">
            <w:pPr>
              <w:pStyle w:val="6"/>
              <w:suppressLineNumbers w:val="0"/>
              <w:bidi w:val="0"/>
              <w:spacing w:before="0" w:beforeAutospacing="0" w:after="0" w:afterAutospacing="0"/>
              <w:ind w:left="0" w:right="0"/>
              <w:jc w:val="both"/>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b/>
                <w:bCs/>
                <w:color w:val="000000"/>
                <w:kern w:val="0"/>
                <w:sz w:val="24"/>
                <w:szCs w:val="24"/>
                <w:lang w:val="en-US" w:eastAsia="zh-CN" w:bidi="zh-CN"/>
              </w:rPr>
              <w:t>5、施工期</w:t>
            </w:r>
            <w:r>
              <w:rPr>
                <w:rFonts w:hint="eastAsia"/>
                <w:lang w:val="en-US" w:eastAsia="zh-CN"/>
              </w:rPr>
              <w:t>防砂治沙</w:t>
            </w:r>
            <w:r>
              <w:rPr>
                <w:rFonts w:hint="default" w:ascii="Times New Roman" w:hAnsi="Times New Roman" w:eastAsia="宋体" w:cs="Times New Roman"/>
                <w:spacing w:val="0"/>
                <w:sz w:val="24"/>
                <w:szCs w:val="24"/>
                <w:lang w:val="en-US" w:eastAsia="zh-CN"/>
              </w:rPr>
              <w:t>措施</w:t>
            </w:r>
          </w:p>
          <w:p w14:paraId="1CB8CFC8">
            <w:pPr>
              <w:keepNext w:val="0"/>
              <w:keepLines w:val="0"/>
              <w:widowControl w:val="0"/>
              <w:suppressLineNumbers w:val="0"/>
              <w:adjustRightInd w:val="0"/>
              <w:snapToGrid w:val="0"/>
              <w:spacing w:before="0" w:beforeAutospacing="0" w:after="0" w:afterAutospacing="0" w:line="360" w:lineRule="auto"/>
              <w:ind w:left="0" w:right="0" w:firstLine="480" w:firstLineChars="0"/>
              <w:jc w:val="both"/>
              <w:rPr>
                <w:rFonts w:hint="default"/>
              </w:rPr>
            </w:pPr>
            <w:r>
              <w:rPr>
                <w:rFonts w:hint="eastAsia"/>
                <w:lang w:val="en-US" w:eastAsia="zh-CN"/>
              </w:rPr>
              <w:t>根据《新疆第六次沙化土地监测报告》本项目不属于沙化土地，由于本项目直接利用现有厂房进行建设，施工内容少，施工期短，施工期主要为安装生产设备，基本不会对周边沙化土地造成影响。</w:t>
            </w:r>
          </w:p>
          <w:p w14:paraId="210B9377">
            <w:pPr>
              <w:pStyle w:val="27"/>
              <w:keepNext w:val="0"/>
              <w:keepLines w:val="0"/>
              <w:suppressLineNumbers w:val="0"/>
              <w:spacing w:before="0" w:beforeAutospacing="0" w:after="0" w:afterAutospacing="0"/>
              <w:ind w:left="0" w:right="0"/>
              <w:rPr>
                <w:rFonts w:hint="default"/>
              </w:rPr>
            </w:pPr>
          </w:p>
          <w:p w14:paraId="06A85602">
            <w:pPr>
              <w:keepNext w:val="0"/>
              <w:keepLines w:val="0"/>
              <w:suppressLineNumbers w:val="0"/>
              <w:spacing w:before="0" w:beforeAutospacing="0" w:after="0" w:afterAutospacing="0"/>
              <w:ind w:left="0" w:right="0"/>
              <w:rPr>
                <w:rFonts w:hint="default"/>
              </w:rPr>
            </w:pPr>
          </w:p>
          <w:p w14:paraId="47907F5B">
            <w:pPr>
              <w:pStyle w:val="27"/>
              <w:keepNext w:val="0"/>
              <w:keepLines w:val="0"/>
              <w:suppressLineNumbers w:val="0"/>
              <w:spacing w:before="0" w:beforeAutospacing="0" w:after="0" w:afterAutospacing="0"/>
              <w:ind w:left="0" w:right="0"/>
              <w:rPr>
                <w:rFonts w:hint="default"/>
              </w:rPr>
            </w:pPr>
          </w:p>
          <w:p w14:paraId="66BB59CB">
            <w:pPr>
              <w:pStyle w:val="27"/>
              <w:keepNext w:val="0"/>
              <w:keepLines w:val="0"/>
              <w:suppressLineNumbers w:val="0"/>
              <w:spacing w:before="0" w:beforeAutospacing="0" w:after="0" w:afterAutospacing="0"/>
              <w:ind w:left="0" w:right="0"/>
              <w:jc w:val="both"/>
              <w:rPr>
                <w:rFonts w:hint="default"/>
              </w:rPr>
            </w:pPr>
          </w:p>
        </w:tc>
      </w:tr>
    </w:tbl>
    <w:p w14:paraId="3BDADC5B">
      <w:pPr>
        <w:pStyle w:val="5"/>
        <w:rPr>
          <w:snapToGrid w:val="0"/>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6"/>
        <w:tblW w:w="493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222"/>
      </w:tblGrid>
      <w:tr w14:paraId="5017A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314" w:type="pct"/>
            <w:tcBorders>
              <w:tl2br w:val="nil"/>
              <w:tr2bl w:val="nil"/>
            </w:tcBorders>
            <w:noWrap w:val="0"/>
            <w:vAlign w:val="center"/>
          </w:tcPr>
          <w:p w14:paraId="28672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运营期环境影响和保护措施</w:t>
            </w:r>
          </w:p>
        </w:tc>
        <w:tc>
          <w:tcPr>
            <w:tcW w:w="4685" w:type="pct"/>
            <w:tcBorders>
              <w:tl2br w:val="nil"/>
              <w:tr2bl w:val="nil"/>
            </w:tcBorders>
            <w:noWrap w:val="0"/>
            <w:vAlign w:val="center"/>
          </w:tcPr>
          <w:p w14:paraId="346193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b/>
                <w:bCs/>
                <w:sz w:val="21"/>
                <w:szCs w:val="21"/>
              </w:rPr>
            </w:pPr>
            <w:r>
              <w:rPr>
                <w:rFonts w:hint="eastAsia"/>
              </w:rPr>
              <w:t>本项目运营期废气产生及排放情况详见下</w:t>
            </w:r>
            <w:r>
              <w:rPr>
                <w:rFonts w:hint="eastAsia"/>
                <w:highlight w:val="none"/>
              </w:rPr>
              <w:t>表4-</w:t>
            </w:r>
            <w:r>
              <w:rPr>
                <w:rFonts w:hint="eastAsia"/>
                <w:highlight w:val="none"/>
                <w:lang w:val="en-US" w:eastAsia="zh-CN"/>
              </w:rPr>
              <w:t>1</w:t>
            </w:r>
            <w:r>
              <w:rPr>
                <w:rFonts w:hint="eastAsia"/>
              </w:rPr>
              <w:t>：</w:t>
            </w:r>
          </w:p>
          <w:p w14:paraId="50BAF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rPr>
            </w:pPr>
            <w:r>
              <w:rPr>
                <w:rFonts w:hint="eastAsia"/>
                <w:b/>
                <w:bCs/>
                <w:sz w:val="21"/>
                <w:szCs w:val="21"/>
              </w:rPr>
              <w:t>表4-</w:t>
            </w:r>
            <w:r>
              <w:rPr>
                <w:rFonts w:hint="eastAsia"/>
                <w:b/>
                <w:bCs/>
                <w:sz w:val="21"/>
                <w:szCs w:val="21"/>
                <w:lang w:val="en-US" w:eastAsia="zh-CN"/>
              </w:rPr>
              <w:t>1</w:t>
            </w:r>
            <w:r>
              <w:rPr>
                <w:rFonts w:hint="eastAsia"/>
                <w:b/>
                <w:bCs/>
                <w:sz w:val="21"/>
                <w:szCs w:val="21"/>
              </w:rPr>
              <w:t xml:space="preserve">                                       </w:t>
            </w:r>
            <w:r>
              <w:rPr>
                <w:rFonts w:hint="eastAsia"/>
                <w:b/>
                <w:bCs/>
                <w:sz w:val="21"/>
                <w:szCs w:val="21"/>
                <w:highlight w:val="none"/>
              </w:rPr>
              <w:t>本项目废气产生及排放情况一览表</w:t>
            </w:r>
          </w:p>
          <w:tbl>
            <w:tblPr>
              <w:tblStyle w:val="36"/>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7"/>
              <w:gridCol w:w="702"/>
              <w:gridCol w:w="516"/>
              <w:gridCol w:w="659"/>
              <w:gridCol w:w="569"/>
              <w:gridCol w:w="339"/>
              <w:gridCol w:w="585"/>
              <w:gridCol w:w="434"/>
              <w:gridCol w:w="436"/>
              <w:gridCol w:w="324"/>
              <w:gridCol w:w="697"/>
              <w:gridCol w:w="697"/>
              <w:gridCol w:w="565"/>
              <w:gridCol w:w="717"/>
              <w:gridCol w:w="646"/>
              <w:gridCol w:w="449"/>
              <w:gridCol w:w="592"/>
              <w:gridCol w:w="324"/>
              <w:gridCol w:w="327"/>
              <w:gridCol w:w="372"/>
              <w:gridCol w:w="543"/>
              <w:gridCol w:w="429"/>
            </w:tblGrid>
            <w:tr w14:paraId="713E8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vMerge w:val="restart"/>
                  <w:tcBorders>
                    <w:tl2br w:val="nil"/>
                    <w:tr2bl w:val="nil"/>
                  </w:tcBorders>
                  <w:noWrap w:val="0"/>
                  <w:vAlign w:val="center"/>
                </w:tcPr>
                <w:p w14:paraId="591156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产污</w:t>
                  </w:r>
                </w:p>
                <w:p w14:paraId="01D6A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环节</w:t>
                  </w:r>
                </w:p>
              </w:tc>
              <w:tc>
                <w:tcPr>
                  <w:tcW w:w="140" w:type="pct"/>
                  <w:vMerge w:val="restart"/>
                  <w:tcBorders>
                    <w:tl2br w:val="nil"/>
                    <w:tr2bl w:val="nil"/>
                  </w:tcBorders>
                  <w:noWrap w:val="0"/>
                  <w:vAlign w:val="center"/>
                </w:tcPr>
                <w:p w14:paraId="5A9037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292" w:type="pct"/>
                  <w:vMerge w:val="restart"/>
                  <w:tcBorders>
                    <w:tl2br w:val="nil"/>
                    <w:tr2bl w:val="nil"/>
                  </w:tcBorders>
                  <w:noWrap w:val="0"/>
                  <w:vAlign w:val="center"/>
                </w:tcPr>
                <w:p w14:paraId="5275D8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风机风量（m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726" w:type="pct"/>
                  <w:gridSpan w:val="3"/>
                  <w:tcBorders>
                    <w:tl2br w:val="nil"/>
                    <w:tr2bl w:val="nil"/>
                  </w:tcBorders>
                  <w:noWrap w:val="0"/>
                  <w:vAlign w:val="center"/>
                </w:tcPr>
                <w:p w14:paraId="0AFAB0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产生情况</w:t>
                  </w:r>
                </w:p>
              </w:tc>
              <w:tc>
                <w:tcPr>
                  <w:tcW w:w="141" w:type="pct"/>
                  <w:vMerge w:val="restart"/>
                  <w:tcBorders>
                    <w:tl2br w:val="nil"/>
                    <w:tr2bl w:val="nil"/>
                  </w:tcBorders>
                  <w:noWrap w:val="0"/>
                  <w:vAlign w:val="center"/>
                </w:tcPr>
                <w:p w14:paraId="6E7370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排放形式</w:t>
                  </w:r>
                </w:p>
              </w:tc>
              <w:tc>
                <w:tcPr>
                  <w:tcW w:w="605" w:type="pct"/>
                  <w:gridSpan w:val="3"/>
                  <w:tcBorders>
                    <w:tl2br w:val="nil"/>
                    <w:tr2bl w:val="nil"/>
                  </w:tcBorders>
                  <w:noWrap w:val="0"/>
                  <w:vAlign w:val="center"/>
                </w:tcPr>
                <w:p w14:paraId="0E26F3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治理情况</w:t>
                  </w:r>
                </w:p>
              </w:tc>
              <w:tc>
                <w:tcPr>
                  <w:tcW w:w="950" w:type="pct"/>
                  <w:gridSpan w:val="4"/>
                  <w:tcBorders>
                    <w:tl2br w:val="nil"/>
                    <w:tr2bl w:val="nil"/>
                  </w:tcBorders>
                  <w:noWrap w:val="0"/>
                  <w:vAlign w:val="center"/>
                </w:tcPr>
                <w:p w14:paraId="46886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排放情况</w:t>
                  </w:r>
                </w:p>
              </w:tc>
              <w:tc>
                <w:tcPr>
                  <w:tcW w:w="1427" w:type="pct"/>
                  <w:gridSpan w:val="7"/>
                  <w:tcBorders>
                    <w:tl2br w:val="nil"/>
                    <w:tr2bl w:val="nil"/>
                  </w:tcBorders>
                  <w:noWrap w:val="0"/>
                  <w:vAlign w:val="center"/>
                </w:tcPr>
                <w:p w14:paraId="150D00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排气筒参数</w:t>
                  </w:r>
                </w:p>
              </w:tc>
              <w:tc>
                <w:tcPr>
                  <w:tcW w:w="404" w:type="pct"/>
                  <w:gridSpan w:val="2"/>
                  <w:tcBorders>
                    <w:tl2br w:val="nil"/>
                    <w:tr2bl w:val="nil"/>
                  </w:tcBorders>
                  <w:noWrap w:val="0"/>
                  <w:vAlign w:val="center"/>
                </w:tcPr>
                <w:p w14:paraId="08A52A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排放限值</w:t>
                  </w:r>
                </w:p>
              </w:tc>
            </w:tr>
            <w:tr w14:paraId="4A017D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vMerge w:val="continue"/>
                  <w:tcBorders>
                    <w:tl2br w:val="nil"/>
                    <w:tr2bl w:val="nil"/>
                  </w:tcBorders>
                  <w:noWrap w:val="0"/>
                  <w:vAlign w:val="center"/>
                </w:tcPr>
                <w:p w14:paraId="7EB5C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40" w:type="pct"/>
                  <w:vMerge w:val="continue"/>
                  <w:tcBorders>
                    <w:tl2br w:val="nil"/>
                    <w:tr2bl w:val="nil"/>
                  </w:tcBorders>
                  <w:noWrap w:val="0"/>
                  <w:vAlign w:val="center"/>
                </w:tcPr>
                <w:p w14:paraId="268F3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92" w:type="pct"/>
                  <w:vMerge w:val="continue"/>
                  <w:tcBorders>
                    <w:tl2br w:val="nil"/>
                    <w:tr2bl w:val="nil"/>
                  </w:tcBorders>
                  <w:noWrap w:val="0"/>
                  <w:vAlign w:val="center"/>
                </w:tcPr>
                <w:p w14:paraId="7C0EA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14" w:type="pct"/>
                  <w:vMerge w:val="restart"/>
                  <w:tcBorders>
                    <w:tl2br w:val="nil"/>
                    <w:tr2bl w:val="nil"/>
                  </w:tcBorders>
                  <w:noWrap w:val="0"/>
                  <w:vAlign w:val="center"/>
                </w:tcPr>
                <w:p w14:paraId="04211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产生量</w:t>
                  </w:r>
                  <w:r>
                    <w:rPr>
                      <w:rFonts w:hint="default" w:ascii="Times New Roman" w:hAnsi="Times New Roman" w:eastAsia="宋体" w:cs="Times New Roman"/>
                      <w:sz w:val="21"/>
                      <w:szCs w:val="21"/>
                      <w:lang w:val="en-US" w:eastAsia="zh-CN"/>
                    </w:rPr>
                    <w:t>t/a</w:t>
                  </w:r>
                </w:p>
              </w:tc>
              <w:tc>
                <w:tcPr>
                  <w:tcW w:w="274" w:type="pct"/>
                  <w:vMerge w:val="restart"/>
                  <w:tcBorders>
                    <w:tl2br w:val="nil"/>
                    <w:tr2bl w:val="nil"/>
                  </w:tcBorders>
                  <w:noWrap w:val="0"/>
                  <w:vAlign w:val="center"/>
                </w:tcPr>
                <w:p w14:paraId="6A5EA2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产生</w:t>
                  </w:r>
                  <w:r>
                    <w:rPr>
                      <w:rFonts w:hint="default" w:ascii="Times New Roman" w:hAnsi="Times New Roman" w:eastAsia="宋体" w:cs="Times New Roman"/>
                      <w:sz w:val="21"/>
                      <w:szCs w:val="21"/>
                      <w:lang w:eastAsia="zh-CN"/>
                    </w:rPr>
                    <w:t>速率</w:t>
                  </w:r>
                  <w:r>
                    <w:rPr>
                      <w:rFonts w:hint="default" w:ascii="Times New Roman" w:hAnsi="Times New Roman" w:eastAsia="宋体" w:cs="Times New Roman"/>
                      <w:sz w:val="21"/>
                      <w:szCs w:val="21"/>
                      <w:lang w:val="en-US" w:eastAsia="zh-CN"/>
                    </w:rPr>
                    <w:t>kg/h</w:t>
                  </w:r>
                </w:p>
              </w:tc>
              <w:tc>
                <w:tcPr>
                  <w:tcW w:w="236" w:type="pct"/>
                  <w:vMerge w:val="restart"/>
                  <w:tcBorders>
                    <w:tl2br w:val="nil"/>
                    <w:tr2bl w:val="nil"/>
                  </w:tcBorders>
                  <w:noWrap w:val="0"/>
                  <w:vAlign w:val="center"/>
                </w:tcPr>
                <w:p w14:paraId="29D2BB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产生浓度mg/m</w:t>
                  </w:r>
                  <w:r>
                    <w:rPr>
                      <w:rFonts w:hint="default" w:ascii="Times New Roman" w:hAnsi="Times New Roman" w:eastAsia="宋体" w:cs="Times New Roman"/>
                      <w:sz w:val="21"/>
                      <w:szCs w:val="21"/>
                      <w:vertAlign w:val="superscript"/>
                    </w:rPr>
                    <w:t>3</w:t>
                  </w:r>
                </w:p>
              </w:tc>
              <w:tc>
                <w:tcPr>
                  <w:tcW w:w="141" w:type="pct"/>
                  <w:vMerge w:val="continue"/>
                  <w:tcBorders>
                    <w:tl2br w:val="nil"/>
                    <w:tr2bl w:val="nil"/>
                  </w:tcBorders>
                  <w:noWrap w:val="0"/>
                  <w:vAlign w:val="center"/>
                </w:tcPr>
                <w:p w14:paraId="3B9625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43" w:type="pct"/>
                  <w:vMerge w:val="restart"/>
                  <w:tcBorders>
                    <w:tl2br w:val="nil"/>
                    <w:tr2bl w:val="nil"/>
                  </w:tcBorders>
                  <w:noWrap w:val="0"/>
                  <w:vAlign w:val="center"/>
                </w:tcPr>
                <w:p w14:paraId="0E080F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治理措施</w:t>
                  </w:r>
                </w:p>
              </w:tc>
              <w:tc>
                <w:tcPr>
                  <w:tcW w:w="180" w:type="pct"/>
                  <w:vMerge w:val="restart"/>
                  <w:tcBorders>
                    <w:tl2br w:val="nil"/>
                    <w:tr2bl w:val="nil"/>
                  </w:tcBorders>
                  <w:noWrap w:val="0"/>
                  <w:vAlign w:val="center"/>
                </w:tcPr>
                <w:p w14:paraId="73759A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收集效率</w:t>
                  </w:r>
                  <w:r>
                    <w:rPr>
                      <w:rFonts w:hint="default" w:ascii="Times New Roman" w:hAnsi="Times New Roman" w:eastAsia="宋体" w:cs="Times New Roman"/>
                      <w:sz w:val="21"/>
                      <w:szCs w:val="21"/>
                    </w:rPr>
                    <w:t>%</w:t>
                  </w:r>
                </w:p>
              </w:tc>
              <w:tc>
                <w:tcPr>
                  <w:tcW w:w="181" w:type="pct"/>
                  <w:vMerge w:val="restart"/>
                  <w:tcBorders>
                    <w:tl2br w:val="nil"/>
                    <w:tr2bl w:val="nil"/>
                  </w:tcBorders>
                  <w:noWrap w:val="0"/>
                  <w:vAlign w:val="center"/>
                </w:tcPr>
                <w:p w14:paraId="7FCDE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去除率%</w:t>
                  </w:r>
                </w:p>
              </w:tc>
              <w:tc>
                <w:tcPr>
                  <w:tcW w:w="134" w:type="pct"/>
                  <w:vMerge w:val="restart"/>
                  <w:tcBorders>
                    <w:tl2br w:val="nil"/>
                    <w:tr2bl w:val="nil"/>
                  </w:tcBorders>
                  <w:noWrap w:val="0"/>
                  <w:vAlign w:val="center"/>
                </w:tcPr>
                <w:p w14:paraId="384EA1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是否可行</w:t>
                  </w:r>
                </w:p>
              </w:tc>
              <w:tc>
                <w:tcPr>
                  <w:tcW w:w="290" w:type="pct"/>
                  <w:vMerge w:val="restart"/>
                  <w:tcBorders>
                    <w:tl2br w:val="nil"/>
                    <w:tr2bl w:val="nil"/>
                  </w:tcBorders>
                  <w:noWrap w:val="0"/>
                  <w:vAlign w:val="center"/>
                </w:tcPr>
                <w:p w14:paraId="2135F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排放量t/a</w:t>
                  </w:r>
                </w:p>
              </w:tc>
              <w:tc>
                <w:tcPr>
                  <w:tcW w:w="290" w:type="pct"/>
                  <w:vMerge w:val="restart"/>
                  <w:tcBorders>
                    <w:tl2br w:val="nil"/>
                    <w:tr2bl w:val="nil"/>
                  </w:tcBorders>
                  <w:noWrap w:val="0"/>
                  <w:vAlign w:val="center"/>
                </w:tcPr>
                <w:p w14:paraId="23C307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排放速率</w:t>
                  </w:r>
                  <w:r>
                    <w:rPr>
                      <w:rFonts w:hint="default" w:ascii="Times New Roman" w:hAnsi="Times New Roman" w:eastAsia="宋体" w:cs="Times New Roman"/>
                      <w:sz w:val="21"/>
                      <w:szCs w:val="21"/>
                      <w:lang w:val="en-US" w:eastAsia="zh-CN"/>
                    </w:rPr>
                    <w:t>kg/h</w:t>
                  </w:r>
                </w:p>
              </w:tc>
              <w:tc>
                <w:tcPr>
                  <w:tcW w:w="235" w:type="pct"/>
                  <w:vMerge w:val="restart"/>
                  <w:tcBorders>
                    <w:tl2br w:val="nil"/>
                    <w:tr2bl w:val="nil"/>
                  </w:tcBorders>
                  <w:noWrap w:val="0"/>
                  <w:vAlign w:val="center"/>
                </w:tcPr>
                <w:p w14:paraId="49094C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排放浓度mg/m</w:t>
                  </w:r>
                  <w:r>
                    <w:rPr>
                      <w:rFonts w:hint="default" w:ascii="Times New Roman" w:hAnsi="Times New Roman" w:eastAsia="宋体" w:cs="Times New Roman"/>
                      <w:sz w:val="21"/>
                      <w:szCs w:val="21"/>
                      <w:vertAlign w:val="superscript"/>
                    </w:rPr>
                    <w:t>3</w:t>
                  </w:r>
                </w:p>
              </w:tc>
              <w:tc>
                <w:tcPr>
                  <w:tcW w:w="567" w:type="pct"/>
                  <w:gridSpan w:val="2"/>
                  <w:tcBorders>
                    <w:tl2br w:val="nil"/>
                    <w:tr2bl w:val="nil"/>
                  </w:tcBorders>
                  <w:noWrap w:val="0"/>
                  <w:vAlign w:val="center"/>
                </w:tcPr>
                <w:p w14:paraId="47149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地理</w:t>
                  </w:r>
                  <w:r>
                    <w:rPr>
                      <w:rFonts w:hint="default" w:ascii="Times New Roman" w:hAnsi="Times New Roman" w:eastAsia="宋体" w:cs="Times New Roman"/>
                      <w:sz w:val="21"/>
                      <w:szCs w:val="21"/>
                    </w:rPr>
                    <w:t>坐标</w:t>
                  </w:r>
                </w:p>
              </w:tc>
              <w:tc>
                <w:tcPr>
                  <w:tcW w:w="187" w:type="pct"/>
                  <w:vMerge w:val="restart"/>
                  <w:tcBorders>
                    <w:tl2br w:val="nil"/>
                    <w:tr2bl w:val="nil"/>
                  </w:tcBorders>
                  <w:noWrap w:val="0"/>
                  <w:vAlign w:val="center"/>
                </w:tcPr>
                <w:p w14:paraId="488FFA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246" w:type="pct"/>
                  <w:vMerge w:val="restart"/>
                  <w:tcBorders>
                    <w:tl2br w:val="nil"/>
                    <w:tr2bl w:val="nil"/>
                  </w:tcBorders>
                  <w:noWrap w:val="0"/>
                  <w:vAlign w:val="center"/>
                </w:tcPr>
                <w:p w14:paraId="3CF773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34" w:type="pct"/>
                  <w:vMerge w:val="restart"/>
                  <w:tcBorders>
                    <w:tl2br w:val="nil"/>
                    <w:tr2bl w:val="nil"/>
                  </w:tcBorders>
                  <w:noWrap w:val="0"/>
                  <w:vAlign w:val="center"/>
                </w:tcPr>
                <w:p w14:paraId="16F95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136" w:type="pct"/>
                  <w:vMerge w:val="restart"/>
                  <w:tcBorders>
                    <w:tl2br w:val="nil"/>
                    <w:tr2bl w:val="nil"/>
                  </w:tcBorders>
                  <w:noWrap w:val="0"/>
                  <w:vAlign w:val="center"/>
                </w:tcPr>
                <w:p w14:paraId="721E9E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高度m</w:t>
                  </w:r>
                </w:p>
              </w:tc>
              <w:tc>
                <w:tcPr>
                  <w:tcW w:w="154" w:type="pct"/>
                  <w:vMerge w:val="restart"/>
                  <w:tcBorders>
                    <w:tl2br w:val="nil"/>
                    <w:tr2bl w:val="nil"/>
                  </w:tcBorders>
                  <w:noWrap w:val="0"/>
                  <w:vAlign w:val="center"/>
                </w:tcPr>
                <w:p w14:paraId="03E79B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内径</w:t>
                  </w:r>
                </w:p>
                <w:p w14:paraId="72E8D0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226" w:type="pct"/>
                  <w:vMerge w:val="restart"/>
                  <w:tcBorders>
                    <w:tl2br w:val="nil"/>
                    <w:tr2bl w:val="nil"/>
                  </w:tcBorders>
                  <w:noWrap w:val="0"/>
                  <w:vAlign w:val="center"/>
                </w:tcPr>
                <w:p w14:paraId="423A53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浓度</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178" w:type="pct"/>
                  <w:vMerge w:val="restart"/>
                  <w:tcBorders>
                    <w:tl2br w:val="nil"/>
                    <w:tr2bl w:val="nil"/>
                  </w:tcBorders>
                  <w:noWrap w:val="0"/>
                  <w:vAlign w:val="center"/>
                </w:tcPr>
                <w:p w14:paraId="08629C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速率</w:t>
                  </w:r>
                  <w:r>
                    <w:rPr>
                      <w:rFonts w:hint="default" w:ascii="Times New Roman" w:hAnsi="Times New Roman" w:eastAsia="宋体" w:cs="Times New Roman"/>
                      <w:sz w:val="21"/>
                      <w:szCs w:val="21"/>
                      <w:lang w:val="en-US" w:eastAsia="zh-CN"/>
                    </w:rPr>
                    <w:t>kg/h</w:t>
                  </w:r>
                </w:p>
              </w:tc>
            </w:tr>
            <w:tr w14:paraId="276C3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vMerge w:val="continue"/>
                  <w:tcBorders>
                    <w:tl2br w:val="nil"/>
                    <w:tr2bl w:val="nil"/>
                  </w:tcBorders>
                  <w:noWrap w:val="0"/>
                  <w:vAlign w:val="center"/>
                </w:tcPr>
                <w:p w14:paraId="66A02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40" w:type="pct"/>
                  <w:vMerge w:val="continue"/>
                  <w:tcBorders>
                    <w:tl2br w:val="nil"/>
                    <w:tr2bl w:val="nil"/>
                  </w:tcBorders>
                  <w:noWrap w:val="0"/>
                  <w:vAlign w:val="center"/>
                </w:tcPr>
                <w:p w14:paraId="398310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92" w:type="pct"/>
                  <w:vMerge w:val="continue"/>
                  <w:tcBorders>
                    <w:tl2br w:val="nil"/>
                    <w:tr2bl w:val="nil"/>
                  </w:tcBorders>
                  <w:noWrap w:val="0"/>
                  <w:vAlign w:val="center"/>
                </w:tcPr>
                <w:p w14:paraId="5C4862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14" w:type="pct"/>
                  <w:vMerge w:val="continue"/>
                  <w:tcBorders>
                    <w:tl2br w:val="nil"/>
                    <w:tr2bl w:val="nil"/>
                  </w:tcBorders>
                  <w:noWrap w:val="0"/>
                  <w:vAlign w:val="center"/>
                </w:tcPr>
                <w:p w14:paraId="08C93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74" w:type="pct"/>
                  <w:vMerge w:val="continue"/>
                  <w:tcBorders>
                    <w:tl2br w:val="nil"/>
                    <w:tr2bl w:val="nil"/>
                  </w:tcBorders>
                  <w:noWrap w:val="0"/>
                  <w:vAlign w:val="center"/>
                </w:tcPr>
                <w:p w14:paraId="08EC0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36" w:type="pct"/>
                  <w:vMerge w:val="continue"/>
                  <w:tcBorders>
                    <w:tl2br w:val="nil"/>
                    <w:tr2bl w:val="nil"/>
                  </w:tcBorders>
                  <w:noWrap w:val="0"/>
                  <w:vAlign w:val="center"/>
                </w:tcPr>
                <w:p w14:paraId="24183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41" w:type="pct"/>
                  <w:vMerge w:val="continue"/>
                  <w:tcBorders>
                    <w:tl2br w:val="nil"/>
                    <w:tr2bl w:val="nil"/>
                  </w:tcBorders>
                  <w:noWrap w:val="0"/>
                  <w:vAlign w:val="center"/>
                </w:tcPr>
                <w:p w14:paraId="310B5E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43" w:type="pct"/>
                  <w:vMerge w:val="continue"/>
                  <w:tcBorders>
                    <w:tl2br w:val="nil"/>
                    <w:tr2bl w:val="nil"/>
                  </w:tcBorders>
                  <w:noWrap w:val="0"/>
                  <w:vAlign w:val="center"/>
                </w:tcPr>
                <w:p w14:paraId="51E6A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80" w:type="pct"/>
                  <w:vMerge w:val="continue"/>
                  <w:tcBorders>
                    <w:tl2br w:val="nil"/>
                    <w:tr2bl w:val="nil"/>
                  </w:tcBorders>
                  <w:noWrap w:val="0"/>
                  <w:vAlign w:val="center"/>
                </w:tcPr>
                <w:p w14:paraId="7C043B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81" w:type="pct"/>
                  <w:vMerge w:val="continue"/>
                  <w:tcBorders>
                    <w:tl2br w:val="nil"/>
                    <w:tr2bl w:val="nil"/>
                  </w:tcBorders>
                  <w:noWrap w:val="0"/>
                  <w:vAlign w:val="center"/>
                </w:tcPr>
                <w:p w14:paraId="730457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34" w:type="pct"/>
                  <w:vMerge w:val="continue"/>
                  <w:tcBorders>
                    <w:tl2br w:val="nil"/>
                    <w:tr2bl w:val="nil"/>
                  </w:tcBorders>
                  <w:noWrap w:val="0"/>
                  <w:vAlign w:val="center"/>
                </w:tcPr>
                <w:p w14:paraId="274744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90" w:type="pct"/>
                  <w:vMerge w:val="continue"/>
                  <w:tcBorders>
                    <w:tl2br w:val="nil"/>
                    <w:tr2bl w:val="nil"/>
                  </w:tcBorders>
                  <w:noWrap w:val="0"/>
                  <w:vAlign w:val="center"/>
                </w:tcPr>
                <w:p w14:paraId="179514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90" w:type="pct"/>
                  <w:vMerge w:val="continue"/>
                  <w:tcBorders>
                    <w:tl2br w:val="nil"/>
                    <w:tr2bl w:val="nil"/>
                  </w:tcBorders>
                  <w:noWrap w:val="0"/>
                  <w:vAlign w:val="center"/>
                </w:tcPr>
                <w:p w14:paraId="74328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35" w:type="pct"/>
                  <w:vMerge w:val="continue"/>
                  <w:tcBorders>
                    <w:tl2br w:val="nil"/>
                    <w:tr2bl w:val="nil"/>
                  </w:tcBorders>
                  <w:noWrap w:val="0"/>
                  <w:vAlign w:val="center"/>
                </w:tcPr>
                <w:p w14:paraId="1A5788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98" w:type="pct"/>
                  <w:tcBorders>
                    <w:tl2br w:val="nil"/>
                    <w:tr2bl w:val="nil"/>
                  </w:tcBorders>
                  <w:noWrap w:val="0"/>
                  <w:vAlign w:val="center"/>
                </w:tcPr>
                <w:p w14:paraId="0CFCFB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经度</w:t>
                  </w:r>
                </w:p>
              </w:tc>
              <w:tc>
                <w:tcPr>
                  <w:tcW w:w="269" w:type="pct"/>
                  <w:tcBorders>
                    <w:tl2br w:val="nil"/>
                    <w:tr2bl w:val="nil"/>
                  </w:tcBorders>
                  <w:noWrap w:val="0"/>
                  <w:vAlign w:val="center"/>
                </w:tcPr>
                <w:p w14:paraId="5B1F2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纬度</w:t>
                  </w:r>
                </w:p>
              </w:tc>
              <w:tc>
                <w:tcPr>
                  <w:tcW w:w="187" w:type="pct"/>
                  <w:vMerge w:val="continue"/>
                  <w:tcBorders>
                    <w:tl2br w:val="nil"/>
                    <w:tr2bl w:val="nil"/>
                  </w:tcBorders>
                  <w:noWrap w:val="0"/>
                  <w:vAlign w:val="center"/>
                </w:tcPr>
                <w:p w14:paraId="54F6F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46" w:type="pct"/>
                  <w:vMerge w:val="continue"/>
                  <w:tcBorders>
                    <w:tl2br w:val="nil"/>
                    <w:tr2bl w:val="nil"/>
                  </w:tcBorders>
                  <w:noWrap w:val="0"/>
                  <w:vAlign w:val="center"/>
                </w:tcPr>
                <w:p w14:paraId="56FC06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34" w:type="pct"/>
                  <w:vMerge w:val="continue"/>
                  <w:tcBorders>
                    <w:tl2br w:val="nil"/>
                    <w:tr2bl w:val="nil"/>
                  </w:tcBorders>
                  <w:noWrap w:val="0"/>
                  <w:vAlign w:val="center"/>
                </w:tcPr>
                <w:p w14:paraId="7126BD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36" w:type="pct"/>
                  <w:vMerge w:val="continue"/>
                  <w:tcBorders>
                    <w:tl2br w:val="nil"/>
                    <w:tr2bl w:val="nil"/>
                  </w:tcBorders>
                  <w:noWrap w:val="0"/>
                  <w:vAlign w:val="center"/>
                </w:tcPr>
                <w:p w14:paraId="53FC3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54" w:type="pct"/>
                  <w:vMerge w:val="continue"/>
                  <w:tcBorders>
                    <w:tl2br w:val="nil"/>
                    <w:tr2bl w:val="nil"/>
                  </w:tcBorders>
                  <w:noWrap w:val="0"/>
                  <w:vAlign w:val="center"/>
                </w:tcPr>
                <w:p w14:paraId="0295DB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226" w:type="pct"/>
                  <w:vMerge w:val="continue"/>
                  <w:tcBorders>
                    <w:tl2br w:val="nil"/>
                    <w:tr2bl w:val="nil"/>
                  </w:tcBorders>
                  <w:noWrap w:val="0"/>
                  <w:vAlign w:val="center"/>
                </w:tcPr>
                <w:p w14:paraId="2DD9FE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78" w:type="pct"/>
                  <w:vMerge w:val="continue"/>
                  <w:tcBorders>
                    <w:tl2br w:val="nil"/>
                    <w:tr2bl w:val="nil"/>
                  </w:tcBorders>
                  <w:noWrap w:val="0"/>
                  <w:vAlign w:val="center"/>
                </w:tcPr>
                <w:p w14:paraId="509505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r>
            <w:tr w14:paraId="3D1A8A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tcBorders>
                    <w:tl2br w:val="nil"/>
                    <w:tr2bl w:val="nil"/>
                  </w:tcBorders>
                  <w:noWrap w:val="0"/>
                  <w:vAlign w:val="center"/>
                </w:tcPr>
                <w:p w14:paraId="328E09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烘干、分选</w:t>
                  </w:r>
                </w:p>
              </w:tc>
              <w:tc>
                <w:tcPr>
                  <w:tcW w:w="140" w:type="pct"/>
                  <w:tcBorders>
                    <w:tl2br w:val="nil"/>
                    <w:tr2bl w:val="nil"/>
                  </w:tcBorders>
                  <w:noWrap w:val="0"/>
                  <w:vAlign w:val="center"/>
                </w:tcPr>
                <w:p w14:paraId="7473B5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292" w:type="pct"/>
                  <w:vMerge w:val="restart"/>
                  <w:tcBorders>
                    <w:tl2br w:val="nil"/>
                    <w:tr2bl w:val="nil"/>
                  </w:tcBorders>
                  <w:noWrap w:val="0"/>
                  <w:vAlign w:val="center"/>
                </w:tcPr>
                <w:p w14:paraId="508AA1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8000</w:t>
                  </w:r>
                </w:p>
              </w:tc>
              <w:tc>
                <w:tcPr>
                  <w:tcW w:w="214" w:type="pct"/>
                  <w:tcBorders>
                    <w:tl2br w:val="nil"/>
                    <w:tr2bl w:val="nil"/>
                  </w:tcBorders>
                  <w:noWrap w:val="0"/>
                  <w:vAlign w:val="center"/>
                </w:tcPr>
                <w:p w14:paraId="3DEB5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8.183</w:t>
                  </w:r>
                </w:p>
              </w:tc>
              <w:tc>
                <w:tcPr>
                  <w:tcW w:w="274" w:type="pct"/>
                  <w:tcBorders>
                    <w:tl2br w:val="nil"/>
                    <w:tr2bl w:val="nil"/>
                  </w:tcBorders>
                  <w:noWrap w:val="0"/>
                  <w:vAlign w:val="center"/>
                </w:tcPr>
                <w:p w14:paraId="7917E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1.894</w:t>
                  </w:r>
                </w:p>
              </w:tc>
              <w:tc>
                <w:tcPr>
                  <w:tcW w:w="236" w:type="pct"/>
                  <w:tcBorders>
                    <w:tl2br w:val="nil"/>
                    <w:tr2bl w:val="nil"/>
                  </w:tcBorders>
                  <w:noWrap w:val="0"/>
                  <w:vAlign w:val="center"/>
                </w:tcPr>
                <w:p w14:paraId="2FA815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236.75</w:t>
                  </w:r>
                </w:p>
              </w:tc>
              <w:tc>
                <w:tcPr>
                  <w:tcW w:w="141" w:type="pct"/>
                  <w:tcBorders>
                    <w:tl2br w:val="nil"/>
                    <w:tr2bl w:val="nil"/>
                  </w:tcBorders>
                  <w:noWrap w:val="0"/>
                  <w:vAlign w:val="center"/>
                </w:tcPr>
                <w:p w14:paraId="1B2B1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有组织</w:t>
                  </w:r>
                </w:p>
              </w:tc>
              <w:tc>
                <w:tcPr>
                  <w:tcW w:w="243" w:type="pct"/>
                  <w:vMerge w:val="restart"/>
                  <w:tcBorders>
                    <w:tl2br w:val="nil"/>
                    <w:tr2bl w:val="nil"/>
                  </w:tcBorders>
                  <w:noWrap w:val="0"/>
                  <w:vAlign w:val="center"/>
                </w:tcPr>
                <w:p w14:paraId="3E6612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旋风除尘器+沉降室+碱洗喷淋塔</w:t>
                  </w:r>
                </w:p>
              </w:tc>
              <w:tc>
                <w:tcPr>
                  <w:tcW w:w="180" w:type="pct"/>
                  <w:tcBorders>
                    <w:tl2br w:val="nil"/>
                    <w:tr2bl w:val="nil"/>
                  </w:tcBorders>
                  <w:noWrap w:val="0"/>
                  <w:vAlign w:val="center"/>
                </w:tcPr>
                <w:p w14:paraId="081038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c>
                <w:tcPr>
                  <w:tcW w:w="181" w:type="pct"/>
                  <w:tcBorders>
                    <w:tl2br w:val="nil"/>
                    <w:tr2bl w:val="nil"/>
                  </w:tcBorders>
                  <w:noWrap w:val="0"/>
                  <w:vAlign w:val="center"/>
                </w:tcPr>
                <w:p w14:paraId="0482D1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97.27</w:t>
                  </w:r>
                </w:p>
              </w:tc>
              <w:tc>
                <w:tcPr>
                  <w:tcW w:w="134" w:type="pct"/>
                  <w:tcBorders>
                    <w:tl2br w:val="nil"/>
                    <w:tr2bl w:val="nil"/>
                  </w:tcBorders>
                  <w:noWrap w:val="0"/>
                  <w:vAlign w:val="center"/>
                </w:tcPr>
                <w:p w14:paraId="4954B1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rPr>
                    <w:t>是</w:t>
                  </w:r>
                </w:p>
              </w:tc>
              <w:tc>
                <w:tcPr>
                  <w:tcW w:w="290" w:type="pct"/>
                  <w:tcBorders>
                    <w:tl2br w:val="nil"/>
                    <w:tr2bl w:val="nil"/>
                  </w:tcBorders>
                  <w:noWrap w:val="0"/>
                  <w:vAlign w:val="center"/>
                </w:tcPr>
                <w:p w14:paraId="3C5426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0.223</w:t>
                  </w:r>
                </w:p>
              </w:tc>
              <w:tc>
                <w:tcPr>
                  <w:tcW w:w="290" w:type="pct"/>
                  <w:tcBorders>
                    <w:tl2br w:val="nil"/>
                    <w:tr2bl w:val="nil"/>
                  </w:tcBorders>
                  <w:noWrap w:val="0"/>
                  <w:vAlign w:val="center"/>
                </w:tcPr>
                <w:p w14:paraId="13D16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0.0516</w:t>
                  </w:r>
                </w:p>
              </w:tc>
              <w:tc>
                <w:tcPr>
                  <w:tcW w:w="235" w:type="pct"/>
                  <w:tcBorders>
                    <w:tl2br w:val="nil"/>
                    <w:tr2bl w:val="nil"/>
                  </w:tcBorders>
                  <w:noWrap w:val="0"/>
                  <w:vAlign w:val="center"/>
                </w:tcPr>
                <w:p w14:paraId="1CC495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6.45</w:t>
                  </w:r>
                </w:p>
              </w:tc>
              <w:tc>
                <w:tcPr>
                  <w:tcW w:w="298" w:type="pct"/>
                  <w:vMerge w:val="restart"/>
                  <w:tcBorders>
                    <w:tl2br w:val="nil"/>
                    <w:tr2bl w:val="nil"/>
                  </w:tcBorders>
                  <w:noWrap w:val="0"/>
                  <w:vAlign w:val="center"/>
                </w:tcPr>
                <w:p w14:paraId="5D2C02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86°14′49.598″</w:t>
                  </w:r>
                </w:p>
              </w:tc>
              <w:tc>
                <w:tcPr>
                  <w:tcW w:w="269" w:type="pct"/>
                  <w:vMerge w:val="restart"/>
                  <w:tcBorders>
                    <w:tl2br w:val="nil"/>
                    <w:tr2bl w:val="nil"/>
                  </w:tcBorders>
                  <w:noWrap w:val="0"/>
                  <w:vAlign w:val="center"/>
                </w:tcPr>
                <w:p w14:paraId="5C0A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41°21′55.347″</w:t>
                  </w:r>
                </w:p>
              </w:tc>
              <w:tc>
                <w:tcPr>
                  <w:tcW w:w="187" w:type="pct"/>
                  <w:vMerge w:val="restart"/>
                  <w:tcBorders>
                    <w:tl2br w:val="nil"/>
                    <w:tr2bl w:val="nil"/>
                  </w:tcBorders>
                  <w:noWrap w:val="0"/>
                  <w:vAlign w:val="center"/>
                </w:tcPr>
                <w:p w14:paraId="0D5AFE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eastAsia="宋体" w:cs="Times New Roman"/>
                      <w:sz w:val="21"/>
                      <w:szCs w:val="21"/>
                      <w:highlight w:val="none"/>
                      <w:lang w:val="en-US" w:eastAsia="zh-CN"/>
                    </w:rPr>
                    <w:t>DA</w:t>
                  </w:r>
                  <w:r>
                    <w:rPr>
                      <w:rFonts w:hint="eastAsia" w:cs="Times New Roman"/>
                      <w:sz w:val="21"/>
                      <w:szCs w:val="21"/>
                      <w:highlight w:val="none"/>
                      <w:lang w:val="en-US" w:eastAsia="zh-CN"/>
                    </w:rPr>
                    <w:t>001</w:t>
                  </w:r>
                </w:p>
              </w:tc>
              <w:tc>
                <w:tcPr>
                  <w:tcW w:w="246" w:type="pct"/>
                  <w:vMerge w:val="restart"/>
                  <w:tcBorders>
                    <w:tl2br w:val="nil"/>
                    <w:tr2bl w:val="nil"/>
                  </w:tcBorders>
                  <w:noWrap w:val="0"/>
                  <w:vAlign w:val="center"/>
                </w:tcPr>
                <w:p w14:paraId="102B6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烘干</w:t>
                  </w:r>
                  <w:r>
                    <w:rPr>
                      <w:rFonts w:hint="eastAsia" w:cs="Times New Roman"/>
                      <w:sz w:val="21"/>
                      <w:szCs w:val="21"/>
                      <w:lang w:val="en-US" w:eastAsia="zh-CN"/>
                    </w:rPr>
                    <w:t>废气</w:t>
                  </w:r>
                  <w:r>
                    <w:rPr>
                      <w:rFonts w:hint="default" w:ascii="Times New Roman" w:hAnsi="Times New Roman" w:eastAsia="宋体" w:cs="Times New Roman"/>
                      <w:sz w:val="21"/>
                      <w:szCs w:val="21"/>
                      <w:lang w:val="en-US" w:eastAsia="zh-CN"/>
                    </w:rPr>
                    <w:t>排放口</w:t>
                  </w:r>
                </w:p>
              </w:tc>
              <w:tc>
                <w:tcPr>
                  <w:tcW w:w="134" w:type="pct"/>
                  <w:vMerge w:val="restart"/>
                  <w:tcBorders>
                    <w:tl2br w:val="nil"/>
                    <w:tr2bl w:val="nil"/>
                  </w:tcBorders>
                  <w:noWrap w:val="0"/>
                  <w:vAlign w:val="center"/>
                </w:tcPr>
                <w:p w14:paraId="540105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一般排放口</w:t>
                  </w:r>
                </w:p>
              </w:tc>
              <w:tc>
                <w:tcPr>
                  <w:tcW w:w="136" w:type="pct"/>
                  <w:vMerge w:val="restart"/>
                  <w:tcBorders>
                    <w:tl2br w:val="nil"/>
                    <w:tr2bl w:val="nil"/>
                  </w:tcBorders>
                  <w:noWrap w:val="0"/>
                  <w:vAlign w:val="center"/>
                </w:tcPr>
                <w:p w14:paraId="439072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54" w:type="pct"/>
                  <w:vMerge w:val="restart"/>
                  <w:tcBorders>
                    <w:tl2br w:val="nil"/>
                    <w:tr2bl w:val="nil"/>
                  </w:tcBorders>
                  <w:noWrap w:val="0"/>
                  <w:vAlign w:val="center"/>
                </w:tcPr>
                <w:p w14:paraId="70CDCC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c>
                <w:tcPr>
                  <w:tcW w:w="226" w:type="pct"/>
                  <w:tcBorders>
                    <w:tl2br w:val="nil"/>
                    <w:tr2bl w:val="nil"/>
                  </w:tcBorders>
                  <w:shd w:val="clear" w:color="auto" w:fill="auto"/>
                  <w:noWrap w:val="0"/>
                  <w:vAlign w:val="center"/>
                </w:tcPr>
                <w:p w14:paraId="70699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30</w:t>
                  </w:r>
                </w:p>
              </w:tc>
              <w:tc>
                <w:tcPr>
                  <w:tcW w:w="178" w:type="pct"/>
                  <w:tcBorders>
                    <w:tl2br w:val="nil"/>
                    <w:tr2bl w:val="nil"/>
                  </w:tcBorders>
                  <w:shd w:val="clear" w:color="auto" w:fill="auto"/>
                  <w:noWrap w:val="0"/>
                  <w:vAlign w:val="center"/>
                </w:tcPr>
                <w:p w14:paraId="78CA5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r w14:paraId="5866A0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tcBorders>
                    <w:tl2br w:val="nil"/>
                    <w:tr2bl w:val="nil"/>
                  </w:tcBorders>
                  <w:shd w:val="clear" w:color="auto" w:fill="auto"/>
                  <w:noWrap w:val="0"/>
                  <w:vAlign w:val="center"/>
                </w:tcPr>
                <w:p w14:paraId="54A77B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烘干</w:t>
                  </w:r>
                </w:p>
              </w:tc>
              <w:tc>
                <w:tcPr>
                  <w:tcW w:w="140" w:type="pct"/>
                  <w:tcBorders>
                    <w:tl2br w:val="nil"/>
                    <w:tr2bl w:val="nil"/>
                  </w:tcBorders>
                  <w:shd w:val="clear" w:color="auto" w:fill="auto"/>
                  <w:noWrap w:val="0"/>
                  <w:vAlign w:val="center"/>
                </w:tcPr>
                <w:p w14:paraId="5FC78E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硫酸雾</w:t>
                  </w:r>
                </w:p>
              </w:tc>
              <w:tc>
                <w:tcPr>
                  <w:tcW w:w="292" w:type="pct"/>
                  <w:vMerge w:val="continue"/>
                  <w:tcBorders>
                    <w:tl2br w:val="nil"/>
                    <w:tr2bl w:val="nil"/>
                  </w:tcBorders>
                  <w:shd w:val="clear" w:color="auto" w:fill="auto"/>
                  <w:noWrap w:val="0"/>
                  <w:vAlign w:val="center"/>
                </w:tcPr>
                <w:p w14:paraId="6FF4C2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p>
              </w:tc>
              <w:tc>
                <w:tcPr>
                  <w:tcW w:w="214" w:type="pct"/>
                  <w:tcBorders>
                    <w:tl2br w:val="nil"/>
                    <w:tr2bl w:val="nil"/>
                  </w:tcBorders>
                  <w:shd w:val="clear" w:color="auto" w:fill="auto"/>
                  <w:noWrap w:val="0"/>
                  <w:vAlign w:val="center"/>
                </w:tcPr>
                <w:p w14:paraId="065F6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yellow"/>
                      <w:lang w:val="en-US" w:eastAsia="zh-CN" w:bidi="ar-SA"/>
                    </w:rPr>
                  </w:pPr>
                  <w:r>
                    <w:rPr>
                      <w:rFonts w:hint="eastAsia" w:cs="Times New Roman"/>
                      <w:sz w:val="21"/>
                      <w:szCs w:val="21"/>
                      <w:highlight w:val="none"/>
                      <w:lang w:val="en-US" w:eastAsia="zh-CN"/>
                    </w:rPr>
                    <w:t>7.5</w:t>
                  </w:r>
                </w:p>
              </w:tc>
              <w:tc>
                <w:tcPr>
                  <w:tcW w:w="274" w:type="pct"/>
                  <w:tcBorders>
                    <w:tl2br w:val="nil"/>
                    <w:tr2bl w:val="nil"/>
                  </w:tcBorders>
                  <w:shd w:val="clear" w:color="auto" w:fill="auto"/>
                  <w:noWrap w:val="0"/>
                  <w:vAlign w:val="center"/>
                </w:tcPr>
                <w:p w14:paraId="4B8F3F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1.736</w:t>
                  </w:r>
                </w:p>
              </w:tc>
              <w:tc>
                <w:tcPr>
                  <w:tcW w:w="236" w:type="pct"/>
                  <w:tcBorders>
                    <w:tl2br w:val="nil"/>
                    <w:tr2bl w:val="nil"/>
                  </w:tcBorders>
                  <w:shd w:val="clear" w:color="auto" w:fill="auto"/>
                  <w:noWrap w:val="0"/>
                  <w:vAlign w:val="center"/>
                </w:tcPr>
                <w:p w14:paraId="43B96F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217</w:t>
                  </w:r>
                </w:p>
              </w:tc>
              <w:tc>
                <w:tcPr>
                  <w:tcW w:w="141" w:type="pct"/>
                  <w:tcBorders>
                    <w:tl2br w:val="nil"/>
                    <w:tr2bl w:val="nil"/>
                  </w:tcBorders>
                  <w:shd w:val="clear" w:color="auto" w:fill="auto"/>
                  <w:noWrap w:val="0"/>
                  <w:vAlign w:val="center"/>
                </w:tcPr>
                <w:p w14:paraId="5A6EA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有组织</w:t>
                  </w:r>
                </w:p>
              </w:tc>
              <w:tc>
                <w:tcPr>
                  <w:tcW w:w="243" w:type="pct"/>
                  <w:vMerge w:val="continue"/>
                  <w:tcBorders>
                    <w:tl2br w:val="nil"/>
                    <w:tr2bl w:val="nil"/>
                  </w:tcBorders>
                  <w:noWrap w:val="0"/>
                  <w:vAlign w:val="center"/>
                </w:tcPr>
                <w:p w14:paraId="122CB6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p>
              </w:tc>
              <w:tc>
                <w:tcPr>
                  <w:tcW w:w="180" w:type="pct"/>
                  <w:tcBorders>
                    <w:tl2br w:val="nil"/>
                    <w:tr2bl w:val="nil"/>
                  </w:tcBorders>
                  <w:noWrap w:val="0"/>
                  <w:vAlign w:val="center"/>
                </w:tcPr>
                <w:p w14:paraId="28A878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100</w:t>
                  </w:r>
                </w:p>
              </w:tc>
              <w:tc>
                <w:tcPr>
                  <w:tcW w:w="181" w:type="pct"/>
                  <w:tcBorders>
                    <w:tl2br w:val="nil"/>
                    <w:tr2bl w:val="nil"/>
                  </w:tcBorders>
                  <w:noWrap w:val="0"/>
                  <w:vAlign w:val="center"/>
                </w:tcPr>
                <w:p w14:paraId="0EB0F8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90</w:t>
                  </w:r>
                </w:p>
              </w:tc>
              <w:tc>
                <w:tcPr>
                  <w:tcW w:w="134" w:type="pct"/>
                  <w:tcBorders>
                    <w:tl2br w:val="nil"/>
                    <w:tr2bl w:val="nil"/>
                  </w:tcBorders>
                  <w:noWrap w:val="0"/>
                  <w:vAlign w:val="center"/>
                </w:tcPr>
                <w:p w14:paraId="719C2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是</w:t>
                  </w:r>
                </w:p>
              </w:tc>
              <w:tc>
                <w:tcPr>
                  <w:tcW w:w="290" w:type="pct"/>
                  <w:tcBorders>
                    <w:tl2br w:val="nil"/>
                    <w:tr2bl w:val="nil"/>
                  </w:tcBorders>
                  <w:noWrap w:val="0"/>
                  <w:vAlign w:val="center"/>
                </w:tcPr>
                <w:p w14:paraId="5CC03C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0.75</w:t>
                  </w:r>
                </w:p>
              </w:tc>
              <w:tc>
                <w:tcPr>
                  <w:tcW w:w="290" w:type="pct"/>
                  <w:tcBorders>
                    <w:tl2br w:val="nil"/>
                    <w:tr2bl w:val="nil"/>
                  </w:tcBorders>
                  <w:noWrap w:val="0"/>
                  <w:vAlign w:val="center"/>
                </w:tcPr>
                <w:p w14:paraId="1FBB6E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0.174</w:t>
                  </w:r>
                </w:p>
              </w:tc>
              <w:tc>
                <w:tcPr>
                  <w:tcW w:w="235" w:type="pct"/>
                  <w:tcBorders>
                    <w:tl2br w:val="nil"/>
                    <w:tr2bl w:val="nil"/>
                  </w:tcBorders>
                  <w:noWrap w:val="0"/>
                  <w:vAlign w:val="center"/>
                </w:tcPr>
                <w:p w14:paraId="0439F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21.75</w:t>
                  </w:r>
                </w:p>
              </w:tc>
              <w:tc>
                <w:tcPr>
                  <w:tcW w:w="298" w:type="pct"/>
                  <w:vMerge w:val="continue"/>
                  <w:tcBorders>
                    <w:tl2br w:val="nil"/>
                    <w:tr2bl w:val="nil"/>
                  </w:tcBorders>
                  <w:noWrap w:val="0"/>
                  <w:vAlign w:val="center"/>
                </w:tcPr>
                <w:p w14:paraId="2C871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69" w:type="pct"/>
                  <w:vMerge w:val="continue"/>
                  <w:tcBorders>
                    <w:tl2br w:val="nil"/>
                    <w:tr2bl w:val="nil"/>
                  </w:tcBorders>
                  <w:noWrap w:val="0"/>
                  <w:vAlign w:val="center"/>
                </w:tcPr>
                <w:p w14:paraId="56B433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87" w:type="pct"/>
                  <w:vMerge w:val="continue"/>
                  <w:tcBorders>
                    <w:tl2br w:val="nil"/>
                    <w:tr2bl w:val="nil"/>
                  </w:tcBorders>
                  <w:noWrap w:val="0"/>
                  <w:vAlign w:val="center"/>
                </w:tcPr>
                <w:p w14:paraId="0843DD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46" w:type="pct"/>
                  <w:vMerge w:val="continue"/>
                  <w:tcBorders>
                    <w:tl2br w:val="nil"/>
                    <w:tr2bl w:val="nil"/>
                  </w:tcBorders>
                  <w:noWrap w:val="0"/>
                  <w:vAlign w:val="center"/>
                </w:tcPr>
                <w:p w14:paraId="5B28B9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134" w:type="pct"/>
                  <w:vMerge w:val="continue"/>
                  <w:tcBorders>
                    <w:tl2br w:val="nil"/>
                    <w:tr2bl w:val="nil"/>
                  </w:tcBorders>
                  <w:noWrap w:val="0"/>
                  <w:vAlign w:val="center"/>
                </w:tcPr>
                <w:p w14:paraId="147D2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36" w:type="pct"/>
                  <w:vMerge w:val="continue"/>
                  <w:tcBorders>
                    <w:tl2br w:val="nil"/>
                    <w:tr2bl w:val="nil"/>
                  </w:tcBorders>
                  <w:noWrap w:val="0"/>
                  <w:vAlign w:val="center"/>
                </w:tcPr>
                <w:p w14:paraId="0B4543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54" w:type="pct"/>
                  <w:vMerge w:val="continue"/>
                  <w:tcBorders>
                    <w:tl2br w:val="nil"/>
                    <w:tr2bl w:val="nil"/>
                  </w:tcBorders>
                  <w:noWrap w:val="0"/>
                  <w:vAlign w:val="center"/>
                </w:tcPr>
                <w:p w14:paraId="15F891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z w:val="21"/>
                      <w:szCs w:val="21"/>
                      <w:lang w:val="en-US" w:eastAsia="zh-CN"/>
                    </w:rPr>
                  </w:pPr>
                </w:p>
              </w:tc>
              <w:tc>
                <w:tcPr>
                  <w:tcW w:w="226" w:type="pct"/>
                  <w:tcBorders>
                    <w:tl2br w:val="nil"/>
                    <w:tr2bl w:val="nil"/>
                  </w:tcBorders>
                  <w:noWrap w:val="0"/>
                  <w:vAlign w:val="center"/>
                </w:tcPr>
                <w:p w14:paraId="5B6208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178" w:type="pct"/>
                  <w:tcBorders>
                    <w:tl2br w:val="nil"/>
                    <w:tr2bl w:val="nil"/>
                  </w:tcBorders>
                  <w:noWrap w:val="0"/>
                  <w:vAlign w:val="center"/>
                </w:tcPr>
                <w:p w14:paraId="2E8F90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p>
              </w:tc>
            </w:tr>
            <w:tr w14:paraId="05B411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tcBorders>
                    <w:tl2br w:val="nil"/>
                    <w:tr2bl w:val="nil"/>
                  </w:tcBorders>
                  <w:noWrap w:val="0"/>
                  <w:vAlign w:val="center"/>
                </w:tcPr>
                <w:p w14:paraId="519392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sz w:val="21"/>
                      <w:szCs w:val="21"/>
                      <w:lang w:val="en-US" w:eastAsia="zh-CN"/>
                    </w:rPr>
                  </w:pPr>
                  <w:r>
                    <w:rPr>
                      <w:rFonts w:hint="eastAsia" w:cs="Times New Roman"/>
                      <w:sz w:val="21"/>
                      <w:szCs w:val="21"/>
                      <w:lang w:val="en-US" w:eastAsia="zh-CN"/>
                    </w:rPr>
                    <w:t>烘干</w:t>
                  </w:r>
                </w:p>
              </w:tc>
              <w:tc>
                <w:tcPr>
                  <w:tcW w:w="140" w:type="pct"/>
                  <w:tcBorders>
                    <w:tl2br w:val="nil"/>
                    <w:tr2bl w:val="nil"/>
                  </w:tcBorders>
                  <w:shd w:val="clear" w:color="auto" w:fill="auto"/>
                  <w:noWrap w:val="0"/>
                  <w:vAlign w:val="center"/>
                </w:tcPr>
                <w:p w14:paraId="748ED8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二氧化硫</w:t>
                  </w:r>
                </w:p>
              </w:tc>
              <w:tc>
                <w:tcPr>
                  <w:tcW w:w="292" w:type="pct"/>
                  <w:vMerge w:val="continue"/>
                  <w:tcBorders>
                    <w:tl2br w:val="nil"/>
                    <w:tr2bl w:val="nil"/>
                  </w:tcBorders>
                  <w:noWrap w:val="0"/>
                  <w:vAlign w:val="center"/>
                </w:tcPr>
                <w:p w14:paraId="773720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14" w:type="pct"/>
                  <w:tcBorders>
                    <w:tl2br w:val="nil"/>
                    <w:tr2bl w:val="nil"/>
                  </w:tcBorders>
                  <w:shd w:val="clear" w:color="auto" w:fill="auto"/>
                  <w:noWrap w:val="0"/>
                  <w:vAlign w:val="center"/>
                </w:tcPr>
                <w:p w14:paraId="4BA5C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0.143</w:t>
                  </w:r>
                </w:p>
              </w:tc>
              <w:tc>
                <w:tcPr>
                  <w:tcW w:w="274" w:type="pct"/>
                  <w:tcBorders>
                    <w:tl2br w:val="nil"/>
                    <w:tr2bl w:val="nil"/>
                  </w:tcBorders>
                  <w:shd w:val="clear" w:color="auto" w:fill="auto"/>
                  <w:noWrap w:val="0"/>
                  <w:vAlign w:val="center"/>
                </w:tcPr>
                <w:p w14:paraId="0BB1AC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0.0331</w:t>
                  </w:r>
                </w:p>
              </w:tc>
              <w:tc>
                <w:tcPr>
                  <w:tcW w:w="236" w:type="pct"/>
                  <w:tcBorders>
                    <w:tl2br w:val="nil"/>
                    <w:tr2bl w:val="nil"/>
                  </w:tcBorders>
                  <w:shd w:val="clear" w:color="auto" w:fill="auto"/>
                  <w:noWrap w:val="0"/>
                  <w:vAlign w:val="center"/>
                </w:tcPr>
                <w:p w14:paraId="35981E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4.138</w:t>
                  </w:r>
                </w:p>
              </w:tc>
              <w:tc>
                <w:tcPr>
                  <w:tcW w:w="141" w:type="pct"/>
                  <w:tcBorders>
                    <w:tl2br w:val="nil"/>
                    <w:tr2bl w:val="nil"/>
                  </w:tcBorders>
                  <w:noWrap w:val="0"/>
                  <w:vAlign w:val="center"/>
                </w:tcPr>
                <w:p w14:paraId="5D4EF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有组织</w:t>
                  </w:r>
                </w:p>
              </w:tc>
              <w:tc>
                <w:tcPr>
                  <w:tcW w:w="243" w:type="pct"/>
                  <w:vMerge w:val="continue"/>
                  <w:tcBorders>
                    <w:tl2br w:val="nil"/>
                    <w:tr2bl w:val="nil"/>
                  </w:tcBorders>
                  <w:noWrap w:val="0"/>
                  <w:vAlign w:val="center"/>
                </w:tcPr>
                <w:p w14:paraId="7C9443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80" w:type="pct"/>
                  <w:tcBorders>
                    <w:tl2br w:val="nil"/>
                    <w:tr2bl w:val="nil"/>
                  </w:tcBorders>
                  <w:shd w:val="clear" w:color="auto" w:fill="auto"/>
                  <w:noWrap w:val="0"/>
                  <w:vAlign w:val="center"/>
                </w:tcPr>
                <w:p w14:paraId="223D7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100</w:t>
                  </w:r>
                </w:p>
              </w:tc>
              <w:tc>
                <w:tcPr>
                  <w:tcW w:w="181" w:type="pct"/>
                  <w:tcBorders>
                    <w:tl2br w:val="nil"/>
                    <w:tr2bl w:val="nil"/>
                  </w:tcBorders>
                  <w:shd w:val="clear" w:color="auto" w:fill="auto"/>
                  <w:noWrap w:val="0"/>
                  <w:vAlign w:val="center"/>
                </w:tcPr>
                <w:p w14:paraId="22859E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70</w:t>
                  </w:r>
                </w:p>
              </w:tc>
              <w:tc>
                <w:tcPr>
                  <w:tcW w:w="134" w:type="pct"/>
                  <w:tcBorders>
                    <w:tl2br w:val="nil"/>
                    <w:tr2bl w:val="nil"/>
                  </w:tcBorders>
                  <w:shd w:val="clear" w:color="auto" w:fill="auto"/>
                  <w:noWrap w:val="0"/>
                  <w:vAlign w:val="center"/>
                </w:tcPr>
                <w:p w14:paraId="114772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是</w:t>
                  </w:r>
                </w:p>
              </w:tc>
              <w:tc>
                <w:tcPr>
                  <w:tcW w:w="290" w:type="pct"/>
                  <w:tcBorders>
                    <w:tl2br w:val="nil"/>
                    <w:tr2bl w:val="nil"/>
                  </w:tcBorders>
                  <w:shd w:val="clear" w:color="auto" w:fill="auto"/>
                  <w:noWrap w:val="0"/>
                  <w:vAlign w:val="center"/>
                </w:tcPr>
                <w:p w14:paraId="2CC0F2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0.0429</w:t>
                  </w:r>
                </w:p>
              </w:tc>
              <w:tc>
                <w:tcPr>
                  <w:tcW w:w="290" w:type="pct"/>
                  <w:tcBorders>
                    <w:tl2br w:val="nil"/>
                    <w:tr2bl w:val="nil"/>
                  </w:tcBorders>
                  <w:shd w:val="clear" w:color="auto" w:fill="auto"/>
                  <w:noWrap w:val="0"/>
                  <w:vAlign w:val="center"/>
                </w:tcPr>
                <w:p w14:paraId="7BD3D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0.00993</w:t>
                  </w:r>
                </w:p>
              </w:tc>
              <w:tc>
                <w:tcPr>
                  <w:tcW w:w="235" w:type="pct"/>
                  <w:tcBorders>
                    <w:tl2br w:val="nil"/>
                    <w:tr2bl w:val="nil"/>
                  </w:tcBorders>
                  <w:shd w:val="clear" w:color="auto" w:fill="auto"/>
                  <w:noWrap w:val="0"/>
                  <w:vAlign w:val="center"/>
                </w:tcPr>
                <w:p w14:paraId="61040E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1.241</w:t>
                  </w:r>
                </w:p>
              </w:tc>
              <w:tc>
                <w:tcPr>
                  <w:tcW w:w="298" w:type="pct"/>
                  <w:vMerge w:val="continue"/>
                  <w:tcBorders>
                    <w:tl2br w:val="nil"/>
                    <w:tr2bl w:val="nil"/>
                  </w:tcBorders>
                  <w:noWrap w:val="0"/>
                  <w:vAlign w:val="center"/>
                </w:tcPr>
                <w:p w14:paraId="54216E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69" w:type="pct"/>
                  <w:vMerge w:val="continue"/>
                  <w:tcBorders>
                    <w:tl2br w:val="nil"/>
                    <w:tr2bl w:val="nil"/>
                  </w:tcBorders>
                  <w:noWrap w:val="0"/>
                  <w:vAlign w:val="center"/>
                </w:tcPr>
                <w:p w14:paraId="76165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87" w:type="pct"/>
                  <w:vMerge w:val="continue"/>
                  <w:tcBorders>
                    <w:tl2br w:val="nil"/>
                    <w:tr2bl w:val="nil"/>
                  </w:tcBorders>
                  <w:noWrap w:val="0"/>
                  <w:vAlign w:val="center"/>
                </w:tcPr>
                <w:p w14:paraId="68A1DB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46" w:type="pct"/>
                  <w:vMerge w:val="continue"/>
                  <w:tcBorders>
                    <w:tl2br w:val="nil"/>
                    <w:tr2bl w:val="nil"/>
                  </w:tcBorders>
                  <w:noWrap w:val="0"/>
                  <w:vAlign w:val="center"/>
                </w:tcPr>
                <w:p w14:paraId="744F1B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34" w:type="pct"/>
                  <w:vMerge w:val="continue"/>
                  <w:tcBorders>
                    <w:tl2br w:val="nil"/>
                    <w:tr2bl w:val="nil"/>
                  </w:tcBorders>
                  <w:noWrap w:val="0"/>
                  <w:vAlign w:val="center"/>
                </w:tcPr>
                <w:p w14:paraId="2DF41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36" w:type="pct"/>
                  <w:vMerge w:val="continue"/>
                  <w:tcBorders>
                    <w:tl2br w:val="nil"/>
                    <w:tr2bl w:val="nil"/>
                  </w:tcBorders>
                  <w:noWrap w:val="0"/>
                  <w:vAlign w:val="center"/>
                </w:tcPr>
                <w:p w14:paraId="3672E5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54" w:type="pct"/>
                  <w:vMerge w:val="continue"/>
                  <w:tcBorders>
                    <w:tl2br w:val="nil"/>
                    <w:tr2bl w:val="nil"/>
                  </w:tcBorders>
                  <w:noWrap w:val="0"/>
                  <w:vAlign w:val="center"/>
                </w:tcPr>
                <w:p w14:paraId="1CEE7F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26" w:type="pct"/>
                  <w:tcBorders>
                    <w:tl2br w:val="nil"/>
                    <w:tr2bl w:val="nil"/>
                  </w:tcBorders>
                  <w:shd w:val="clear" w:color="auto" w:fill="auto"/>
                  <w:noWrap w:val="0"/>
                  <w:vAlign w:val="center"/>
                </w:tcPr>
                <w:p w14:paraId="2BBAC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200</w:t>
                  </w:r>
                </w:p>
              </w:tc>
              <w:tc>
                <w:tcPr>
                  <w:tcW w:w="178" w:type="pct"/>
                  <w:tcBorders>
                    <w:tl2br w:val="nil"/>
                    <w:tr2bl w:val="nil"/>
                  </w:tcBorders>
                  <w:shd w:val="clear" w:color="auto" w:fill="auto"/>
                  <w:noWrap w:val="0"/>
                  <w:vAlign w:val="center"/>
                </w:tcPr>
                <w:p w14:paraId="013A4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r w14:paraId="2FDB43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tcBorders>
                    <w:tl2br w:val="nil"/>
                    <w:tr2bl w:val="nil"/>
                  </w:tcBorders>
                  <w:noWrap w:val="0"/>
                  <w:vAlign w:val="center"/>
                </w:tcPr>
                <w:p w14:paraId="336C9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sz w:val="21"/>
                      <w:szCs w:val="21"/>
                      <w:lang w:val="en-US" w:eastAsia="zh-CN"/>
                    </w:rPr>
                  </w:pPr>
                  <w:r>
                    <w:rPr>
                      <w:rFonts w:hint="eastAsia" w:cs="Times New Roman"/>
                      <w:sz w:val="21"/>
                      <w:szCs w:val="21"/>
                      <w:lang w:val="en-US" w:eastAsia="zh-CN"/>
                    </w:rPr>
                    <w:t>烘干</w:t>
                  </w:r>
                </w:p>
              </w:tc>
              <w:tc>
                <w:tcPr>
                  <w:tcW w:w="140" w:type="pct"/>
                  <w:tcBorders>
                    <w:tl2br w:val="nil"/>
                    <w:tr2bl w:val="nil"/>
                  </w:tcBorders>
                  <w:shd w:val="clear" w:color="auto" w:fill="auto"/>
                  <w:noWrap w:val="0"/>
                  <w:vAlign w:val="center"/>
                </w:tcPr>
                <w:p w14:paraId="58CD82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氮氧化物</w:t>
                  </w:r>
                </w:p>
              </w:tc>
              <w:tc>
                <w:tcPr>
                  <w:tcW w:w="292" w:type="pct"/>
                  <w:vMerge w:val="continue"/>
                  <w:tcBorders>
                    <w:tl2br w:val="nil"/>
                    <w:tr2bl w:val="nil"/>
                  </w:tcBorders>
                  <w:noWrap w:val="0"/>
                  <w:vAlign w:val="center"/>
                </w:tcPr>
                <w:p w14:paraId="09A189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516" w:type="dxa"/>
                  <w:tcBorders>
                    <w:tl2br w:val="nil"/>
                    <w:tr2bl w:val="nil"/>
                  </w:tcBorders>
                  <w:shd w:val="clear" w:color="auto" w:fill="auto"/>
                  <w:noWrap w:val="0"/>
                  <w:vAlign w:val="center"/>
                </w:tcPr>
                <w:p w14:paraId="16D79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1.499</w:t>
                  </w:r>
                </w:p>
              </w:tc>
              <w:tc>
                <w:tcPr>
                  <w:tcW w:w="659" w:type="dxa"/>
                  <w:tcBorders>
                    <w:tl2br w:val="nil"/>
                    <w:tr2bl w:val="nil"/>
                  </w:tcBorders>
                  <w:shd w:val="clear" w:color="auto" w:fill="auto"/>
                  <w:noWrap w:val="0"/>
                  <w:vAlign w:val="center"/>
                </w:tcPr>
                <w:p w14:paraId="3DD7C7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0.347</w:t>
                  </w:r>
                </w:p>
              </w:tc>
              <w:tc>
                <w:tcPr>
                  <w:tcW w:w="569" w:type="dxa"/>
                  <w:tcBorders>
                    <w:tl2br w:val="nil"/>
                    <w:tr2bl w:val="nil"/>
                  </w:tcBorders>
                  <w:shd w:val="clear" w:color="auto" w:fill="auto"/>
                  <w:noWrap w:val="0"/>
                  <w:vAlign w:val="center"/>
                </w:tcPr>
                <w:p w14:paraId="569857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43.375</w:t>
                  </w:r>
                </w:p>
              </w:tc>
              <w:tc>
                <w:tcPr>
                  <w:tcW w:w="141" w:type="pct"/>
                  <w:tcBorders>
                    <w:tl2br w:val="nil"/>
                    <w:tr2bl w:val="nil"/>
                  </w:tcBorders>
                  <w:noWrap w:val="0"/>
                  <w:vAlign w:val="center"/>
                </w:tcPr>
                <w:p w14:paraId="76964B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有组织</w:t>
                  </w:r>
                </w:p>
              </w:tc>
              <w:tc>
                <w:tcPr>
                  <w:tcW w:w="243" w:type="pct"/>
                  <w:tcBorders>
                    <w:tl2br w:val="nil"/>
                    <w:tr2bl w:val="nil"/>
                  </w:tcBorders>
                  <w:noWrap w:val="0"/>
                  <w:vAlign w:val="center"/>
                </w:tcPr>
                <w:p w14:paraId="6168F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低氮燃烧器</w:t>
                  </w:r>
                </w:p>
              </w:tc>
              <w:tc>
                <w:tcPr>
                  <w:tcW w:w="180" w:type="pct"/>
                  <w:tcBorders>
                    <w:tl2br w:val="nil"/>
                    <w:tr2bl w:val="nil"/>
                  </w:tcBorders>
                  <w:shd w:val="clear" w:color="auto" w:fill="auto"/>
                  <w:noWrap w:val="0"/>
                  <w:vAlign w:val="center"/>
                </w:tcPr>
                <w:p w14:paraId="408F0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81" w:type="pct"/>
                  <w:tcBorders>
                    <w:tl2br w:val="nil"/>
                    <w:tr2bl w:val="nil"/>
                  </w:tcBorders>
                  <w:shd w:val="clear" w:color="auto" w:fill="auto"/>
                  <w:noWrap w:val="0"/>
                  <w:vAlign w:val="center"/>
                </w:tcPr>
                <w:p w14:paraId="5B11D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34" w:type="pct"/>
                  <w:tcBorders>
                    <w:tl2br w:val="nil"/>
                    <w:tr2bl w:val="nil"/>
                  </w:tcBorders>
                  <w:shd w:val="clear" w:color="auto" w:fill="auto"/>
                  <w:noWrap w:val="0"/>
                  <w:vAlign w:val="center"/>
                </w:tcPr>
                <w:p w14:paraId="30A0B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是</w:t>
                  </w:r>
                </w:p>
              </w:tc>
              <w:tc>
                <w:tcPr>
                  <w:tcW w:w="290" w:type="pct"/>
                  <w:tcBorders>
                    <w:tl2br w:val="nil"/>
                    <w:tr2bl w:val="nil"/>
                  </w:tcBorders>
                  <w:shd w:val="clear" w:color="auto" w:fill="auto"/>
                  <w:noWrap w:val="0"/>
                  <w:vAlign w:val="center"/>
                </w:tcPr>
                <w:p w14:paraId="3720D7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1.499</w:t>
                  </w:r>
                </w:p>
              </w:tc>
              <w:tc>
                <w:tcPr>
                  <w:tcW w:w="290" w:type="pct"/>
                  <w:tcBorders>
                    <w:tl2br w:val="nil"/>
                    <w:tr2bl w:val="nil"/>
                  </w:tcBorders>
                  <w:shd w:val="clear" w:color="auto" w:fill="auto"/>
                  <w:noWrap w:val="0"/>
                  <w:vAlign w:val="center"/>
                </w:tcPr>
                <w:p w14:paraId="5B6D8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0.347</w:t>
                  </w:r>
                </w:p>
              </w:tc>
              <w:tc>
                <w:tcPr>
                  <w:tcW w:w="235" w:type="pct"/>
                  <w:tcBorders>
                    <w:tl2br w:val="nil"/>
                    <w:tr2bl w:val="nil"/>
                  </w:tcBorders>
                  <w:shd w:val="clear" w:color="auto" w:fill="auto"/>
                  <w:noWrap w:val="0"/>
                  <w:vAlign w:val="center"/>
                </w:tcPr>
                <w:p w14:paraId="6E83E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43.375</w:t>
                  </w:r>
                </w:p>
              </w:tc>
              <w:tc>
                <w:tcPr>
                  <w:tcW w:w="298" w:type="pct"/>
                  <w:vMerge w:val="continue"/>
                  <w:tcBorders>
                    <w:tl2br w:val="nil"/>
                    <w:tr2bl w:val="nil"/>
                  </w:tcBorders>
                  <w:noWrap w:val="0"/>
                  <w:vAlign w:val="center"/>
                </w:tcPr>
                <w:p w14:paraId="285CF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69" w:type="pct"/>
                  <w:vMerge w:val="continue"/>
                  <w:tcBorders>
                    <w:tl2br w:val="nil"/>
                    <w:tr2bl w:val="nil"/>
                  </w:tcBorders>
                  <w:noWrap w:val="0"/>
                  <w:vAlign w:val="center"/>
                </w:tcPr>
                <w:p w14:paraId="591C8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87" w:type="pct"/>
                  <w:vMerge w:val="continue"/>
                  <w:tcBorders>
                    <w:tl2br w:val="nil"/>
                    <w:tr2bl w:val="nil"/>
                  </w:tcBorders>
                  <w:noWrap w:val="0"/>
                  <w:vAlign w:val="center"/>
                </w:tcPr>
                <w:p w14:paraId="30C398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46" w:type="pct"/>
                  <w:vMerge w:val="continue"/>
                  <w:tcBorders>
                    <w:tl2br w:val="nil"/>
                    <w:tr2bl w:val="nil"/>
                  </w:tcBorders>
                  <w:noWrap w:val="0"/>
                  <w:vAlign w:val="center"/>
                </w:tcPr>
                <w:p w14:paraId="71AFE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34" w:type="pct"/>
                  <w:vMerge w:val="continue"/>
                  <w:tcBorders>
                    <w:tl2br w:val="nil"/>
                    <w:tr2bl w:val="nil"/>
                  </w:tcBorders>
                  <w:noWrap w:val="0"/>
                  <w:vAlign w:val="center"/>
                </w:tcPr>
                <w:p w14:paraId="59ADDA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36" w:type="pct"/>
                  <w:vMerge w:val="continue"/>
                  <w:tcBorders>
                    <w:tl2br w:val="nil"/>
                    <w:tr2bl w:val="nil"/>
                  </w:tcBorders>
                  <w:noWrap w:val="0"/>
                  <w:vAlign w:val="center"/>
                </w:tcPr>
                <w:p w14:paraId="2ED0D7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154" w:type="pct"/>
                  <w:vMerge w:val="continue"/>
                  <w:tcBorders>
                    <w:tl2br w:val="nil"/>
                    <w:tr2bl w:val="nil"/>
                  </w:tcBorders>
                  <w:noWrap w:val="0"/>
                  <w:vAlign w:val="center"/>
                </w:tcPr>
                <w:p w14:paraId="5BEDA2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p>
              </w:tc>
              <w:tc>
                <w:tcPr>
                  <w:tcW w:w="226" w:type="pct"/>
                  <w:tcBorders>
                    <w:tl2br w:val="nil"/>
                    <w:tr2bl w:val="nil"/>
                  </w:tcBorders>
                  <w:shd w:val="clear" w:color="auto" w:fill="auto"/>
                  <w:noWrap w:val="0"/>
                  <w:vAlign w:val="center"/>
                </w:tcPr>
                <w:p w14:paraId="5DFB28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300</w:t>
                  </w:r>
                </w:p>
              </w:tc>
              <w:tc>
                <w:tcPr>
                  <w:tcW w:w="178" w:type="pct"/>
                  <w:tcBorders>
                    <w:tl2br w:val="nil"/>
                    <w:tr2bl w:val="nil"/>
                  </w:tcBorders>
                  <w:shd w:val="clear" w:color="auto" w:fill="auto"/>
                  <w:noWrap w:val="0"/>
                  <w:vAlign w:val="center"/>
                </w:tcPr>
                <w:p w14:paraId="359F79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bl>
          <w:p w14:paraId="026D7AD8">
            <w:pPr>
              <w:pStyle w:val="43"/>
              <w:rPr>
                <w:rFonts w:hint="default"/>
              </w:rPr>
            </w:pPr>
          </w:p>
        </w:tc>
      </w:tr>
    </w:tbl>
    <w:p w14:paraId="03DDC074">
      <w:p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8651"/>
      </w:tblGrid>
      <w:tr w14:paraId="20FC0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0" w:hRule="atLeast"/>
        </w:trPr>
        <w:tc>
          <w:tcPr>
            <w:tcW w:w="410" w:type="dxa"/>
            <w:tcBorders>
              <w:tl2br w:val="nil"/>
              <w:tr2bl w:val="nil"/>
            </w:tcBorders>
            <w:vAlign w:val="top"/>
          </w:tcPr>
          <w:p w14:paraId="7E8EAD0D">
            <w:pPr>
              <w:keepNext w:val="0"/>
              <w:keepLines w:val="0"/>
              <w:suppressLineNumbers w:val="0"/>
              <w:spacing w:before="0" w:beforeAutospacing="0" w:after="0" w:afterAutospacing="0"/>
              <w:ind w:left="0" w:right="0"/>
              <w:rPr>
                <w:rFonts w:hint="default"/>
                <w:b/>
                <w:bCs/>
                <w:vertAlign w:val="baseline"/>
              </w:rPr>
            </w:pPr>
            <w:r>
              <w:rPr>
                <w:rFonts w:hint="default"/>
                <w:b/>
                <w:bCs/>
                <w:vertAlign w:val="baseline"/>
              </w:rPr>
              <w:t>运营</w:t>
            </w:r>
          </w:p>
          <w:p w14:paraId="0FF95EE2">
            <w:pPr>
              <w:keepNext w:val="0"/>
              <w:keepLines w:val="0"/>
              <w:suppressLineNumbers w:val="0"/>
              <w:spacing w:before="0" w:beforeAutospacing="0" w:after="0" w:afterAutospacing="0"/>
              <w:ind w:left="0" w:right="0"/>
              <w:rPr>
                <w:rFonts w:hint="default"/>
                <w:b/>
                <w:bCs/>
                <w:vertAlign w:val="baseline"/>
              </w:rPr>
            </w:pPr>
            <w:r>
              <w:rPr>
                <w:rFonts w:hint="default"/>
                <w:b/>
                <w:bCs/>
                <w:vertAlign w:val="baseline"/>
              </w:rPr>
              <w:t>期环</w:t>
            </w:r>
          </w:p>
          <w:p w14:paraId="5B0E4FFA">
            <w:pPr>
              <w:keepNext w:val="0"/>
              <w:keepLines w:val="0"/>
              <w:suppressLineNumbers w:val="0"/>
              <w:spacing w:before="0" w:beforeAutospacing="0" w:after="0" w:afterAutospacing="0"/>
              <w:ind w:left="0" w:right="0"/>
              <w:rPr>
                <w:rFonts w:hint="default"/>
                <w:b/>
                <w:bCs/>
                <w:vertAlign w:val="baseline"/>
              </w:rPr>
            </w:pPr>
            <w:r>
              <w:rPr>
                <w:rFonts w:hint="default"/>
                <w:b/>
                <w:bCs/>
                <w:vertAlign w:val="baseline"/>
              </w:rPr>
              <w:t>境影</w:t>
            </w:r>
          </w:p>
          <w:p w14:paraId="68AABB1B">
            <w:pPr>
              <w:keepNext w:val="0"/>
              <w:keepLines w:val="0"/>
              <w:suppressLineNumbers w:val="0"/>
              <w:spacing w:before="0" w:beforeAutospacing="0" w:after="0" w:afterAutospacing="0"/>
              <w:ind w:left="0" w:right="0"/>
              <w:rPr>
                <w:rFonts w:hint="default"/>
                <w:b/>
                <w:bCs/>
                <w:vertAlign w:val="baseline"/>
              </w:rPr>
            </w:pPr>
            <w:r>
              <w:rPr>
                <w:rFonts w:hint="default"/>
                <w:b/>
                <w:bCs/>
                <w:vertAlign w:val="baseline"/>
              </w:rPr>
              <w:t>响和</w:t>
            </w:r>
          </w:p>
          <w:p w14:paraId="319A73D0">
            <w:pPr>
              <w:keepNext w:val="0"/>
              <w:keepLines w:val="0"/>
              <w:suppressLineNumbers w:val="0"/>
              <w:spacing w:before="0" w:beforeAutospacing="0" w:after="0" w:afterAutospacing="0"/>
              <w:ind w:left="0" w:right="0"/>
              <w:rPr>
                <w:rFonts w:hint="default"/>
                <w:b/>
                <w:bCs/>
                <w:vertAlign w:val="baseline"/>
              </w:rPr>
            </w:pPr>
            <w:r>
              <w:rPr>
                <w:rFonts w:hint="default"/>
                <w:b/>
                <w:bCs/>
                <w:vertAlign w:val="baseline"/>
              </w:rPr>
              <w:t>保护</w:t>
            </w:r>
          </w:p>
          <w:p w14:paraId="60B842F0">
            <w:pPr>
              <w:keepNext w:val="0"/>
              <w:keepLines w:val="0"/>
              <w:suppressLineNumbers w:val="0"/>
              <w:spacing w:before="0" w:beforeAutospacing="0" w:after="0" w:afterAutospacing="0"/>
              <w:ind w:left="0" w:right="0"/>
              <w:rPr>
                <w:rFonts w:hint="default"/>
                <w:vertAlign w:val="baseline"/>
              </w:rPr>
            </w:pPr>
            <w:r>
              <w:rPr>
                <w:rFonts w:hint="default"/>
                <w:b/>
                <w:bCs/>
                <w:vertAlign w:val="baseline"/>
              </w:rPr>
              <w:t>措施</w:t>
            </w:r>
          </w:p>
        </w:tc>
        <w:tc>
          <w:tcPr>
            <w:tcW w:w="8651" w:type="dxa"/>
            <w:tcBorders>
              <w:tl2br w:val="nil"/>
              <w:tr2bl w:val="nil"/>
            </w:tcBorders>
            <w:vAlign w:val="top"/>
          </w:tcPr>
          <w:p w14:paraId="4C0D6E01">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firstLine="482" w:firstLineChars="200"/>
              <w:textAlignment w:val="auto"/>
              <w:rPr>
                <w:rFonts w:hint="default" w:ascii="Times New Roman" w:hAnsi="Times New Roman" w:eastAsia="宋体" w:cs="Times New Roman"/>
                <w:b/>
                <w:bCs/>
                <w:color w:val="000000"/>
                <w:spacing w:val="0"/>
                <w:kern w:val="0"/>
                <w:sz w:val="24"/>
                <w:szCs w:val="24"/>
              </w:rPr>
            </w:pPr>
            <w:r>
              <w:rPr>
                <w:rFonts w:hint="default" w:ascii="Times New Roman" w:hAnsi="Times New Roman" w:eastAsia="宋体" w:cs="Times New Roman"/>
                <w:b/>
                <w:bCs/>
                <w:color w:val="000000"/>
                <w:spacing w:val="0"/>
                <w:kern w:val="0"/>
                <w:sz w:val="24"/>
                <w:szCs w:val="24"/>
              </w:rPr>
              <w:t>1废气</w:t>
            </w:r>
          </w:p>
          <w:p w14:paraId="44C54DD9">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firstLine="482" w:firstLineChars="200"/>
              <w:textAlignment w:val="auto"/>
              <w:rPr>
                <w:rFonts w:hint="default" w:ascii="Times New Roman" w:hAnsi="Times New Roman" w:eastAsia="宋体" w:cs="Times New Roman"/>
                <w:b/>
                <w:bCs/>
                <w:color w:val="000000"/>
                <w:spacing w:val="0"/>
                <w:kern w:val="0"/>
                <w:sz w:val="24"/>
                <w:szCs w:val="24"/>
              </w:rPr>
            </w:pPr>
            <w:r>
              <w:rPr>
                <w:rFonts w:hint="default" w:ascii="Times New Roman" w:hAnsi="Times New Roman" w:eastAsia="宋体" w:cs="Times New Roman"/>
                <w:b/>
                <w:bCs/>
                <w:color w:val="000000"/>
                <w:spacing w:val="0"/>
                <w:kern w:val="0"/>
                <w:sz w:val="24"/>
                <w:szCs w:val="24"/>
              </w:rPr>
              <w:t>1.1废气源强核算</w:t>
            </w:r>
          </w:p>
          <w:p w14:paraId="3F927F7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shd w:val="clear" w:color="auto" w:fill="auto"/>
              </w:rPr>
            </w:pPr>
            <w:r>
              <w:rPr>
                <w:rFonts w:hint="default" w:ascii="Times New Roman" w:hAnsi="Times New Roman" w:eastAsia="宋体" w:cs="Times New Roman"/>
                <w:sz w:val="24"/>
                <w:szCs w:val="24"/>
              </w:rPr>
              <w:t>本</w:t>
            </w:r>
            <w:r>
              <w:rPr>
                <w:rFonts w:hint="default" w:ascii="Times New Roman" w:hAnsi="Times New Roman" w:eastAsia="宋体" w:cs="Times New Roman"/>
                <w:b w:val="0"/>
                <w:bCs w:val="0"/>
                <w:color w:val="000000"/>
                <w:spacing w:val="0"/>
                <w:kern w:val="0"/>
                <w:sz w:val="24"/>
                <w:szCs w:val="24"/>
                <w:lang w:val="en-US" w:eastAsia="zh-CN"/>
              </w:rPr>
              <w:t>项目使用热风炉燃烧天然气烘干滚筒内的棉籽，天然气由管道天然气提供，为了节省用气量，延长设备使用寿命，本项目设置</w:t>
            </w:r>
            <w:r>
              <w:rPr>
                <w:rFonts w:hint="eastAsia" w:cs="Times New Roman"/>
                <w:b w:val="0"/>
                <w:bCs w:val="0"/>
                <w:color w:val="000000"/>
                <w:spacing w:val="0"/>
                <w:kern w:val="0"/>
                <w:sz w:val="24"/>
                <w:szCs w:val="24"/>
                <w:lang w:val="en-US" w:eastAsia="zh-CN"/>
              </w:rPr>
              <w:t>两台</w:t>
            </w:r>
            <w:r>
              <w:rPr>
                <w:rFonts w:hint="default" w:ascii="Times New Roman" w:hAnsi="Times New Roman" w:eastAsia="宋体" w:cs="Times New Roman"/>
                <w:b w:val="0"/>
                <w:bCs w:val="0"/>
                <w:color w:val="000000"/>
                <w:spacing w:val="0"/>
                <w:kern w:val="0"/>
                <w:sz w:val="24"/>
                <w:szCs w:val="24"/>
                <w:lang w:val="en-US" w:eastAsia="zh-CN"/>
              </w:rPr>
              <w:t>热风炉，分别为RS-50燃气热风炉、RS-130燃气热风炉一座，均</w:t>
            </w:r>
            <w:r>
              <w:rPr>
                <w:rFonts w:hint="eastAsia" w:cs="Times New Roman"/>
                <w:b w:val="0"/>
                <w:bCs w:val="0"/>
                <w:color w:val="000000"/>
                <w:spacing w:val="0"/>
                <w:kern w:val="0"/>
                <w:sz w:val="24"/>
                <w:szCs w:val="24"/>
                <w:lang w:val="en-US" w:eastAsia="zh-CN"/>
              </w:rPr>
              <w:t>采用低氮燃烧技术</w:t>
            </w:r>
            <w:r>
              <w:rPr>
                <w:rFonts w:hint="default" w:ascii="Times New Roman" w:hAnsi="Times New Roman" w:eastAsia="宋体" w:cs="Times New Roman"/>
                <w:b w:val="0"/>
                <w:bCs w:val="0"/>
                <w:color w:val="000000"/>
                <w:spacing w:val="0"/>
                <w:kern w:val="0"/>
                <w:sz w:val="24"/>
                <w:szCs w:val="24"/>
                <w:lang w:val="en-US" w:eastAsia="zh-CN"/>
              </w:rPr>
              <w:t>。</w:t>
            </w:r>
            <w:r>
              <w:rPr>
                <w:rFonts w:hint="default" w:ascii="Times New Roman" w:hAnsi="Times New Roman" w:eastAsia="宋体" w:cs="Times New Roman"/>
                <w:sz w:val="24"/>
                <w:szCs w:val="24"/>
                <w:shd w:val="clear" w:color="auto" w:fill="auto"/>
              </w:rPr>
              <w:t>项目废气主要为烘干</w:t>
            </w:r>
            <w:r>
              <w:rPr>
                <w:rFonts w:hint="eastAsia"/>
                <w:lang w:val="en-US" w:eastAsia="zh-CN"/>
              </w:rPr>
              <w:t>工序</w:t>
            </w:r>
            <w:r>
              <w:rPr>
                <w:rFonts w:hint="default" w:ascii="Times New Roman" w:hAnsi="Times New Roman" w:eastAsia="宋体" w:cs="Times New Roman"/>
                <w:sz w:val="24"/>
                <w:szCs w:val="24"/>
                <w:shd w:val="clear" w:color="auto" w:fill="auto"/>
                <w:lang w:val="en-US" w:eastAsia="zh-CN"/>
              </w:rPr>
              <w:t>产生的棉尘</w:t>
            </w:r>
            <w:r>
              <w:rPr>
                <w:rFonts w:hint="default" w:ascii="Times New Roman" w:hAnsi="Times New Roman" w:eastAsia="宋体" w:cs="Times New Roman"/>
                <w:sz w:val="24"/>
                <w:szCs w:val="24"/>
                <w:shd w:val="clear" w:color="auto" w:fill="auto"/>
              </w:rPr>
              <w:t>、硫酸雾</w:t>
            </w:r>
            <w:r>
              <w:rPr>
                <w:rFonts w:hint="default" w:ascii="Times New Roman" w:hAnsi="Times New Roman" w:eastAsia="宋体" w:cs="Times New Roman"/>
                <w:sz w:val="24"/>
                <w:szCs w:val="24"/>
                <w:shd w:val="clear" w:color="auto" w:fill="auto"/>
                <w:lang w:val="en-US" w:eastAsia="zh-CN"/>
              </w:rPr>
              <w:t>及</w:t>
            </w:r>
            <w:r>
              <w:rPr>
                <w:rFonts w:hint="default" w:ascii="Times New Roman" w:hAnsi="Times New Roman" w:eastAsia="宋体" w:cs="Times New Roman"/>
                <w:sz w:val="24"/>
                <w:szCs w:val="24"/>
                <w:shd w:val="clear" w:color="auto" w:fill="auto"/>
              </w:rPr>
              <w:t>热风炉</w:t>
            </w:r>
            <w:r>
              <w:rPr>
                <w:rFonts w:hint="default" w:ascii="Times New Roman" w:hAnsi="Times New Roman" w:eastAsia="宋体" w:cs="Times New Roman"/>
                <w:sz w:val="24"/>
                <w:szCs w:val="24"/>
                <w:shd w:val="clear" w:color="auto" w:fill="auto"/>
                <w:lang w:val="en-US" w:eastAsia="zh-CN"/>
              </w:rPr>
              <w:t>产生的颗粒物、二氧化硫和氮氧化物</w:t>
            </w:r>
            <w:r>
              <w:rPr>
                <w:rFonts w:hint="eastAsia" w:cs="Times New Roman"/>
                <w:sz w:val="24"/>
                <w:szCs w:val="24"/>
                <w:shd w:val="clear" w:color="auto" w:fill="auto"/>
                <w:lang w:val="en-US" w:eastAsia="zh-CN"/>
              </w:rPr>
              <w:t>及分选过程中产生的少量颗粒物</w:t>
            </w:r>
            <w:r>
              <w:rPr>
                <w:rFonts w:hint="default" w:ascii="Times New Roman" w:hAnsi="Times New Roman" w:eastAsia="宋体" w:cs="Times New Roman"/>
                <w:sz w:val="24"/>
                <w:szCs w:val="24"/>
                <w:shd w:val="clear" w:color="auto" w:fill="auto"/>
              </w:rPr>
              <w:t>。</w:t>
            </w:r>
          </w:p>
          <w:p w14:paraId="4567DD67">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ind w:left="0" w:leftChars="0" w:right="0" w:firstLine="482" w:firstLineChars="200"/>
              <w:textAlignment w:val="auto"/>
              <w:rPr>
                <w:rFonts w:hint="default"/>
              </w:rPr>
            </w:pPr>
            <w:r>
              <w:rPr>
                <w:rFonts w:hint="default" w:ascii="Times New Roman" w:hAnsi="Times New Roman" w:eastAsia="宋体" w:cs="Times New Roman"/>
                <w:b/>
                <w:bCs/>
                <w:color w:val="000000"/>
                <w:spacing w:val="0"/>
                <w:kern w:val="0"/>
                <w:sz w:val="24"/>
                <w:szCs w:val="24"/>
                <w:lang w:val="en-US" w:eastAsia="zh-CN"/>
              </w:rPr>
              <w:t>1.1.1颗粒物</w:t>
            </w:r>
          </w:p>
          <w:p w14:paraId="05D42FCD">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①棉尘</w:t>
            </w:r>
          </w:p>
          <w:p w14:paraId="0DCFC261">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 w:val="0"/>
                <w:bCs w:val="0"/>
                <w:color w:val="000000"/>
                <w:spacing w:val="0"/>
                <w:kern w:val="0"/>
                <w:sz w:val="24"/>
                <w:szCs w:val="24"/>
                <w:highlight w:val="none"/>
                <w:lang w:val="en-US" w:eastAsia="zh-CN"/>
              </w:rPr>
            </w:pPr>
            <w:r>
              <w:rPr>
                <w:rFonts w:hint="default" w:ascii="Times New Roman" w:hAnsi="Times New Roman" w:eastAsia="宋体" w:cs="Times New Roman"/>
                <w:b w:val="0"/>
                <w:bCs w:val="0"/>
                <w:color w:val="000000"/>
                <w:spacing w:val="0"/>
                <w:kern w:val="0"/>
                <w:sz w:val="24"/>
                <w:szCs w:val="24"/>
                <w:lang w:val="en-US" w:eastAsia="zh-CN"/>
              </w:rPr>
              <w:t>根据项目工艺、规模，结合国内同行业生产厂家的经验数据，烘干工序产生的颗粒物约为原材料使用量的0.1%，</w:t>
            </w:r>
            <w:r>
              <w:rPr>
                <w:rFonts w:hint="default" w:ascii="Times New Roman" w:hAnsi="Times New Roman" w:eastAsia="宋体" w:cs="Times New Roman"/>
                <w:b w:val="0"/>
                <w:bCs w:val="0"/>
                <w:color w:val="000000"/>
                <w:spacing w:val="0"/>
                <w:kern w:val="0"/>
                <w:sz w:val="24"/>
                <w:szCs w:val="24"/>
                <w:highlight w:val="none"/>
                <w:lang w:val="en-US" w:eastAsia="zh-CN"/>
              </w:rPr>
              <w:t>新疆鼎棉农业科技有限公司棉花种子生产建设项目</w:t>
            </w:r>
            <w:r>
              <w:rPr>
                <w:rFonts w:hint="default" w:ascii="Times New Roman" w:hAnsi="Times New Roman" w:eastAsia="宋体" w:cs="Times New Roman"/>
                <w:b w:val="0"/>
                <w:bCs w:val="0"/>
                <w:color w:val="000000"/>
                <w:spacing w:val="0"/>
                <w:kern w:val="0"/>
                <w:sz w:val="24"/>
                <w:szCs w:val="24"/>
                <w:lang w:val="en-US" w:eastAsia="zh-CN"/>
              </w:rPr>
              <w:t>毛棉籽使用量为</w:t>
            </w:r>
            <w:r>
              <w:rPr>
                <w:rFonts w:hint="default" w:ascii="Times New Roman" w:hAnsi="Times New Roman" w:eastAsia="宋体" w:cs="Times New Roman"/>
                <w:b w:val="0"/>
                <w:bCs w:val="0"/>
                <w:color w:val="000000"/>
                <w:spacing w:val="0"/>
                <w:kern w:val="0"/>
                <w:sz w:val="24"/>
                <w:szCs w:val="24"/>
                <w:highlight w:val="none"/>
                <w:lang w:val="en-US" w:eastAsia="zh-CN"/>
              </w:rPr>
              <w:t>8000吨，则</w:t>
            </w:r>
            <w:r>
              <w:rPr>
                <w:rFonts w:hint="eastAsia" w:cs="Times New Roman"/>
                <w:b w:val="0"/>
                <w:bCs w:val="0"/>
                <w:color w:val="000000"/>
                <w:spacing w:val="0"/>
                <w:kern w:val="0"/>
                <w:sz w:val="24"/>
                <w:szCs w:val="24"/>
                <w:highlight w:val="none"/>
                <w:lang w:val="en-US" w:eastAsia="zh-CN"/>
              </w:rPr>
              <w:t>干燥</w:t>
            </w:r>
            <w:r>
              <w:rPr>
                <w:rFonts w:hint="default" w:ascii="Times New Roman" w:hAnsi="Times New Roman" w:eastAsia="宋体" w:cs="Times New Roman"/>
                <w:b w:val="0"/>
                <w:bCs w:val="0"/>
                <w:color w:val="000000"/>
                <w:spacing w:val="0"/>
                <w:kern w:val="0"/>
                <w:sz w:val="24"/>
                <w:szCs w:val="24"/>
                <w:highlight w:val="none"/>
                <w:lang w:val="en-US" w:eastAsia="zh-CN"/>
              </w:rPr>
              <w:t>工序产生的棉尘为8t/a。</w:t>
            </w:r>
          </w:p>
          <w:p w14:paraId="45632038">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②RS-50热风炉颗粒物</w:t>
            </w:r>
          </w:p>
          <w:p w14:paraId="72E028B4">
            <w:pPr>
              <w:pStyle w:val="12"/>
              <w:keepNext w:val="0"/>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color w:val="000000"/>
                <w:spacing w:val="0"/>
                <w:kern w:val="0"/>
                <w:sz w:val="24"/>
                <w:szCs w:val="24"/>
                <w:lang w:val="en-US" w:eastAsia="zh-CN"/>
              </w:rPr>
              <w:t>RS-50用气量为58m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/h，本项目年工作天数为180天，每天工作24h，全年生产4320h，故天然气年最大用量为25.1万m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eastAsia"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窑</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排放口参考绩效值表</w:t>
            </w:r>
            <w:r>
              <w:rPr>
                <w:rFonts w:hint="eastAsia"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w:t>
            </w:r>
            <w:r>
              <w:rPr>
                <w:rFonts w:hint="default" w:ascii="Times New Roman" w:hAnsi="Times New Roman" w:eastAsia="宋体" w:cs="Times New Roman"/>
                <w:sz w:val="24"/>
                <w:szCs w:val="24"/>
                <w:lang w:val="en-US" w:eastAsia="zh-CN"/>
              </w:rPr>
              <w:t>颗粒物</w:t>
            </w:r>
            <w:r>
              <w:rPr>
                <w:rFonts w:hint="default" w:ascii="Times New Roman" w:hAnsi="Times New Roman" w:eastAsia="宋体" w:cs="Times New Roman"/>
                <w:sz w:val="24"/>
                <w:szCs w:val="24"/>
              </w:rPr>
              <w:t>绩效值=0.1</w:t>
            </w:r>
            <w:r>
              <w:rPr>
                <w:rFonts w:hint="default" w:ascii="Times New Roman" w:hAnsi="Times New Roman" w:eastAsia="宋体" w:cs="Times New Roman"/>
                <w:sz w:val="24"/>
                <w:szCs w:val="24"/>
                <w:lang w:val="en-US" w:eastAsia="zh-CN"/>
              </w:rPr>
              <w:t>56</w:t>
            </w:r>
            <w:r>
              <w:rPr>
                <w:rFonts w:hint="default" w:ascii="Times New Roman" w:hAnsi="Times New Roman" w:eastAsia="宋体" w:cs="Times New Roman"/>
                <w:sz w:val="24"/>
                <w:szCs w:val="24"/>
              </w:rPr>
              <w:t>+</w:t>
            </w:r>
            <w:r>
              <w:rPr>
                <w:rFonts w:hint="eastAsia" w:cs="Times New Roman"/>
                <w:sz w:val="24"/>
                <w:szCs w:val="24"/>
                <w:lang w:eastAsia="zh-CN"/>
              </w:rPr>
              <w:t>（</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61</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56</w:t>
            </w:r>
            <w:r>
              <w:rPr>
                <w:rFonts w:hint="eastAsia" w:cs="Times New Roman"/>
                <w:sz w:val="24"/>
                <w:szCs w:val="24"/>
                <w:lang w:eastAsia="zh-CN"/>
              </w:rPr>
              <w:t>）</w:t>
            </w:r>
            <w:r>
              <w:rPr>
                <w:rFonts w:hint="default" w:ascii="Arial" w:hAnsi="Arial" w:cs="Arial"/>
                <w:sz w:val="24"/>
                <w:szCs w:val="24"/>
                <w:lang w:eastAsia="zh-CN"/>
              </w:rPr>
              <w:t>×</w:t>
            </w:r>
            <w:r>
              <w:rPr>
                <w:rFonts w:hint="eastAsia"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2.95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cs="Times New Roman"/>
                <w:sz w:val="24"/>
                <w:szCs w:val="24"/>
                <w:lang w:eastAsia="zh-CN"/>
              </w:rPr>
              <w:t>）</w:t>
            </w:r>
            <w:r>
              <w:rPr>
                <w:rFonts w:hint="default" w:ascii="Times New Roman" w:hAnsi="Times New Roman" w:eastAsia="宋体" w:cs="Times New Roman"/>
                <w:sz w:val="24"/>
                <w:szCs w:val="24"/>
              </w:rPr>
              <w:t>/</w:t>
            </w:r>
            <w:r>
              <w:rPr>
                <w:rFonts w:hint="eastAsia"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3.50</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cs="Times New Roman"/>
                <w:sz w:val="24"/>
                <w:szCs w:val="24"/>
                <w:lang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158</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燃料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热风炉烟气中颗粒物产生量=0.1</w:t>
            </w:r>
            <w:r>
              <w:rPr>
                <w:rFonts w:hint="default" w:ascii="Times New Roman" w:hAnsi="Times New Roman" w:eastAsia="宋体" w:cs="Times New Roman"/>
                <w:sz w:val="24"/>
                <w:szCs w:val="24"/>
                <w:lang w:val="en-US" w:eastAsia="zh-CN"/>
              </w:rPr>
              <w:t>58</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lang w:val="en-US" w:eastAsia="zh-CN"/>
              </w:rPr>
              <w:t>251000/</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04</w:t>
            </w:r>
            <w:r>
              <w:rPr>
                <w:rFonts w:hint="default" w:ascii="Times New Roman" w:hAnsi="Times New Roman" w:eastAsia="宋体" w:cs="Times New Roman"/>
                <w:sz w:val="24"/>
                <w:szCs w:val="24"/>
              </w:rPr>
              <w:t>t/a。</w:t>
            </w:r>
          </w:p>
          <w:p w14:paraId="0DDFAFD9">
            <w:pPr>
              <w:pStyle w:val="3"/>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w:t>
            </w:r>
            <w:r>
              <w:rPr>
                <w:rFonts w:hint="default"/>
                <w:lang w:val="en-US" w:eastAsia="zh-CN"/>
              </w:rPr>
              <w:t>RS-130</w:t>
            </w:r>
            <w:r>
              <w:rPr>
                <w:rFonts w:hint="eastAsia"/>
                <w:lang w:val="en-US" w:eastAsia="zh-CN"/>
              </w:rPr>
              <w:t>热风炉</w:t>
            </w:r>
            <w:r>
              <w:rPr>
                <w:rFonts w:hint="default" w:ascii="Times New Roman" w:hAnsi="Times New Roman" w:eastAsia="宋体" w:cs="Times New Roman"/>
                <w:sz w:val="24"/>
                <w:szCs w:val="24"/>
              </w:rPr>
              <w:t>颗粒物</w:t>
            </w:r>
          </w:p>
          <w:p w14:paraId="121FDA92">
            <w:pPr>
              <w:pStyle w:val="12"/>
              <w:keepNext w:val="0"/>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color w:val="000000"/>
                <w:spacing w:val="0"/>
                <w:kern w:val="0"/>
                <w:sz w:val="24"/>
                <w:szCs w:val="24"/>
                <w:lang w:val="en-US" w:eastAsia="zh-CN"/>
              </w:rPr>
              <w:t>RS-130用气量为151m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/h，本项目年工作天数为180天，每天工作24h，全年生产4320h，故天然气年最大用量为65.2万m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窑</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排放口参考绩效值表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MJ/m，颗粒物绩效值=0.1</w:t>
            </w:r>
            <w:r>
              <w:rPr>
                <w:rFonts w:hint="default" w:ascii="Times New Roman" w:hAnsi="Times New Roman" w:eastAsia="宋体" w:cs="Times New Roman"/>
                <w:sz w:val="24"/>
                <w:szCs w:val="24"/>
                <w:lang w:val="en-US" w:eastAsia="zh-CN"/>
              </w:rPr>
              <w:t>56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61</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56</w:t>
            </w:r>
            <w:r>
              <w:rPr>
                <w:rFonts w:hint="eastAsia" w:ascii="Times New Roman" w:hAnsi="Times New Roman" w:eastAsia="宋体" w:cs="Times New Roman"/>
                <w:sz w:val="24"/>
                <w:szCs w:val="24"/>
                <w:lang w:eastAsia="zh-CN"/>
              </w:rPr>
              <w:t>）</w:t>
            </w:r>
            <w:r>
              <w:rPr>
                <w:rFonts w:hint="default" w:ascii="Arial" w:hAnsi="Arial" w:cs="Arial"/>
                <w:sz w:val="24"/>
                <w:szCs w:val="24"/>
                <w:lang w:eastAsia="zh-CN"/>
              </w:rPr>
              <w:t>×</w:t>
            </w:r>
            <w:r>
              <w:rPr>
                <w:rFonts w:hint="eastAsia" w:ascii="Arial" w:hAnsi="Arial" w:cs="Arial"/>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2.95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ascii="Arial" w:hAnsi="Arial" w:cs="Arial"/>
                <w:sz w:val="24"/>
                <w:szCs w:val="24"/>
                <w:lang w:eastAsia="zh-CN"/>
              </w:rPr>
              <w:t>）</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3.50</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158</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燃料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热风炉烟气中颗粒物产生量=0.1</w:t>
            </w:r>
            <w:r>
              <w:rPr>
                <w:rFonts w:hint="default" w:ascii="Times New Roman" w:hAnsi="Times New Roman" w:eastAsia="宋体" w:cs="Times New Roman"/>
                <w:sz w:val="24"/>
                <w:szCs w:val="24"/>
                <w:lang w:val="en-US" w:eastAsia="zh-CN"/>
              </w:rPr>
              <w:t>58</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lang w:val="en-US" w:eastAsia="zh-CN"/>
              </w:rPr>
              <w:t>652000/</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103</w:t>
            </w:r>
            <w:r>
              <w:rPr>
                <w:rFonts w:hint="default" w:ascii="Times New Roman" w:hAnsi="Times New Roman" w:eastAsia="宋体" w:cs="Times New Roman"/>
                <w:sz w:val="24"/>
                <w:szCs w:val="24"/>
              </w:rPr>
              <w:t>t/a</w:t>
            </w:r>
            <w:r>
              <w:rPr>
                <w:rFonts w:hint="default" w:ascii="Times New Roman" w:hAnsi="Times New Roman" w:eastAsia="宋体" w:cs="Times New Roman"/>
                <w:sz w:val="24"/>
                <w:szCs w:val="24"/>
                <w:lang w:eastAsia="zh-CN"/>
              </w:rPr>
              <w:t>。</w:t>
            </w:r>
          </w:p>
          <w:p w14:paraId="1E17A20C">
            <w:pPr>
              <w:pStyle w:val="3"/>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bCs/>
                <w:color w:val="000000"/>
                <w:spacing w:val="0"/>
                <w:kern w:val="0"/>
                <w:sz w:val="24"/>
                <w:szCs w:val="24"/>
                <w:highlight w:val="yellow"/>
                <w:lang w:val="en-US" w:eastAsia="zh-CN"/>
              </w:rPr>
            </w:pPr>
            <w:r>
              <w:rPr>
                <w:rFonts w:hint="default" w:ascii="Times New Roman" w:hAnsi="Times New Roman" w:eastAsia="微软雅黑" w:cs="Times New Roman"/>
                <w:b w:val="0"/>
                <w:bCs w:val="0"/>
                <w:color w:val="000000"/>
                <w:spacing w:val="0"/>
                <w:kern w:val="0"/>
                <w:sz w:val="24"/>
                <w:szCs w:val="24"/>
                <w:highlight w:val="none"/>
                <w:lang w:val="en-US" w:eastAsia="zh-CN"/>
              </w:rPr>
              <w:t>④</w:t>
            </w:r>
            <w:r>
              <w:rPr>
                <w:rFonts w:hint="eastAsia" w:hAnsi="Times New Roman" w:cs="Times New Roman"/>
                <w:b w:val="0"/>
                <w:bCs w:val="0"/>
                <w:lang w:val="en-US" w:eastAsia="zh-CN"/>
              </w:rPr>
              <w:t>分</w:t>
            </w:r>
            <w:r>
              <w:rPr>
                <w:rFonts w:hint="default" w:ascii="Times New Roman" w:hAnsi="Times New Roman" w:eastAsia="宋体" w:cs="Times New Roman"/>
                <w:b w:val="0"/>
                <w:bCs w:val="0"/>
                <w:lang w:val="en-US" w:eastAsia="zh-CN"/>
              </w:rPr>
              <w:t>选</w:t>
            </w:r>
            <w:r>
              <w:rPr>
                <w:rFonts w:hint="default" w:ascii="Times New Roman" w:hAnsi="Times New Roman" w:eastAsia="宋体" w:cs="Times New Roman"/>
                <w:b w:val="0"/>
                <w:bCs w:val="0"/>
                <w:sz w:val="24"/>
                <w:szCs w:val="24"/>
              </w:rPr>
              <w:t>颗粒物</w:t>
            </w:r>
          </w:p>
          <w:p w14:paraId="621631A5">
            <w:pPr>
              <w:keepNext w:val="0"/>
              <w:keepLines w:val="0"/>
              <w:suppressLineNumbers w:val="0"/>
              <w:bidi w:val="0"/>
              <w:spacing w:before="0" w:beforeAutospacing="0" w:after="0" w:afterAutospacing="0"/>
              <w:ind w:left="0" w:right="0" w:firstLine="480" w:firstLineChars="200"/>
              <w:rPr>
                <w:rFonts w:hint="default"/>
                <w:lang w:eastAsia="zh-CN"/>
              </w:rPr>
            </w:pPr>
            <w:r>
              <w:rPr>
                <w:rFonts w:hint="default" w:ascii="Times New Roman" w:hAnsi="Times New Roman" w:eastAsia="宋体" w:cs="Times New Roman"/>
                <w:szCs w:val="24"/>
              </w:rPr>
              <w:t>根据厂家提供的数据，酸处理后的棉籽的残绒率≤0.5%，酸处理后的棉籽再通过风筛选、比重选、色选机和磁选精选，去掉异常籽、瘪籽及轻杂物，得到饱满健壮的光籽，此过程会产生少量颗粒物。根据项目工艺、规模，结合国内同行业生产厂家的经验数据，颗粒物产生量约为残绒的0.1%，残绒</w:t>
            </w:r>
            <w:r>
              <w:rPr>
                <w:rFonts w:hint="eastAsia" w:ascii="Times New Roman" w:hAnsi="Times New Roman" w:eastAsia="宋体" w:cs="Times New Roman"/>
                <w:szCs w:val="24"/>
                <w:lang w:val="en-US" w:eastAsia="zh-CN"/>
              </w:rPr>
              <w:t>约</w:t>
            </w:r>
            <w:r>
              <w:rPr>
                <w:rFonts w:hint="default" w:ascii="Times New Roman" w:hAnsi="Times New Roman" w:eastAsia="宋体" w:cs="Times New Roman"/>
                <w:szCs w:val="24"/>
              </w:rPr>
              <w:t>为</w:t>
            </w:r>
            <w:r>
              <w:rPr>
                <w:rFonts w:hint="eastAsia" w:ascii="Times New Roman" w:hAnsi="Times New Roman" w:eastAsia="宋体" w:cs="Times New Roman"/>
                <w:szCs w:val="24"/>
                <w:lang w:val="en-US" w:eastAsia="zh-CN"/>
              </w:rPr>
              <w:t>40</w:t>
            </w:r>
            <w:r>
              <w:rPr>
                <w:rFonts w:hint="default" w:ascii="Times New Roman" w:hAnsi="Times New Roman" w:eastAsia="宋体" w:cs="Times New Roman"/>
                <w:szCs w:val="24"/>
              </w:rPr>
              <w:t>t，则颗粒物产生量为0.0</w:t>
            </w:r>
            <w:r>
              <w:rPr>
                <w:rFonts w:hint="eastAsia" w:ascii="Times New Roman" w:hAnsi="Times New Roman" w:eastAsia="宋体" w:cs="Times New Roman"/>
                <w:szCs w:val="24"/>
                <w:lang w:val="en-US" w:eastAsia="zh-CN"/>
              </w:rPr>
              <w:t>4</w:t>
            </w:r>
            <w:r>
              <w:rPr>
                <w:rFonts w:hint="default" w:ascii="Times New Roman" w:hAnsi="Times New Roman" w:eastAsia="宋体" w:cs="Times New Roman"/>
                <w:szCs w:val="24"/>
              </w:rPr>
              <w:t>吨/年</w:t>
            </w:r>
            <w:r>
              <w:rPr>
                <w:rFonts w:hint="eastAsia" w:ascii="Times New Roman" w:hAnsi="Times New Roman" w:eastAsia="宋体" w:cs="Times New Roman"/>
                <w:szCs w:val="24"/>
                <w:lang w:eastAsia="zh-CN"/>
              </w:rPr>
              <w:t>。</w:t>
            </w:r>
          </w:p>
          <w:p w14:paraId="510EBE40">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ind w:left="0" w:leftChars="0" w:right="0"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综上本项目产生的颗粒物为8.1</w:t>
            </w:r>
            <w:r>
              <w:rPr>
                <w:rFonts w:hint="eastAsia" w:cs="Times New Roman"/>
                <w:sz w:val="24"/>
                <w:szCs w:val="24"/>
                <w:lang w:val="en-US" w:eastAsia="zh-CN"/>
              </w:rPr>
              <w:t>8</w:t>
            </w:r>
            <w:r>
              <w:rPr>
                <w:rFonts w:hint="default" w:ascii="Times New Roman" w:hAnsi="Times New Roman" w:eastAsia="宋体" w:cs="Times New Roman"/>
                <w:sz w:val="24"/>
                <w:szCs w:val="24"/>
                <w:lang w:val="en-US" w:eastAsia="zh-CN"/>
              </w:rPr>
              <w:t>3t/a。</w:t>
            </w:r>
            <w:r>
              <w:rPr>
                <w:rFonts w:hint="default" w:ascii="Times New Roman" w:hAnsi="Times New Roman" w:eastAsia="宋体" w:cs="Times New Roman"/>
                <w:b w:val="0"/>
                <w:bCs w:val="0"/>
                <w:color w:val="000000"/>
                <w:spacing w:val="0"/>
                <w:kern w:val="0"/>
                <w:sz w:val="24"/>
                <w:szCs w:val="24"/>
                <w:highlight w:val="none"/>
                <w:lang w:val="en-US" w:eastAsia="zh-CN"/>
              </w:rPr>
              <w:t>产生的颗粒物通过旋风除尘器+沉降室+碱洗喷淋塔装置处理，参考《排放源统计调查产排污核算方法和系数手册》-“4430工业锅炉（热力供应）行业系数手册”旋风除尘器处理效率为70%，喷淋塔处理效率为87%，参考科普中国科学百科中的介绍，沉降室处理效率为30%-50%，本项目按最不利的状况取30%，综上，废气治理措施综合去除效率为97.27%，</w:t>
            </w:r>
            <w:r>
              <w:rPr>
                <w:rFonts w:hint="eastAsia" w:cs="Times New Roman"/>
                <w:b w:val="0"/>
                <w:bCs w:val="0"/>
                <w:color w:val="000000"/>
                <w:spacing w:val="0"/>
                <w:kern w:val="0"/>
                <w:sz w:val="24"/>
                <w:szCs w:val="24"/>
                <w:highlight w:val="none"/>
                <w:lang w:val="en-US" w:eastAsia="zh-CN"/>
              </w:rPr>
              <w:t>本项目</w:t>
            </w:r>
            <w:r>
              <w:rPr>
                <w:rFonts w:hint="default" w:ascii="Times New Roman" w:hAnsi="Times New Roman" w:eastAsia="宋体" w:cs="Times New Roman"/>
                <w:b w:val="0"/>
                <w:bCs w:val="0"/>
                <w:color w:val="000000"/>
                <w:spacing w:val="0"/>
                <w:kern w:val="0"/>
                <w:sz w:val="24"/>
                <w:szCs w:val="24"/>
                <w:lang w:val="en-US" w:eastAsia="zh-CN"/>
              </w:rPr>
              <w:t>废气</w:t>
            </w:r>
            <w:r>
              <w:rPr>
                <w:rFonts w:hint="eastAsia" w:cs="Times New Roman"/>
                <w:b w:val="0"/>
                <w:bCs w:val="0"/>
                <w:color w:val="000000"/>
                <w:spacing w:val="0"/>
                <w:kern w:val="0"/>
                <w:sz w:val="24"/>
                <w:szCs w:val="24"/>
                <w:lang w:val="en-US" w:eastAsia="zh-CN"/>
              </w:rPr>
              <w:t>皆</w:t>
            </w:r>
            <w:r>
              <w:rPr>
                <w:rFonts w:hint="default" w:ascii="Times New Roman" w:hAnsi="Times New Roman" w:eastAsia="宋体" w:cs="Times New Roman"/>
                <w:b w:val="0"/>
                <w:bCs w:val="0"/>
                <w:color w:val="000000"/>
                <w:spacing w:val="0"/>
                <w:kern w:val="0"/>
                <w:sz w:val="24"/>
                <w:szCs w:val="24"/>
                <w:lang w:val="en-US" w:eastAsia="zh-CN"/>
              </w:rPr>
              <w:t>通过管道连接进入旋风除尘器</w:t>
            </w:r>
            <w:r>
              <w:rPr>
                <w:rFonts w:hint="default" w:ascii="Times New Roman" w:hAnsi="Times New Roman" w:eastAsia="宋体" w:cs="Times New Roman"/>
                <w:b w:val="0"/>
                <w:bCs w:val="0"/>
                <w:color w:val="000000"/>
                <w:spacing w:val="0"/>
                <w:kern w:val="0"/>
                <w:sz w:val="24"/>
                <w:szCs w:val="24"/>
                <w:highlight w:val="none"/>
                <w:lang w:val="en-US" w:eastAsia="zh-CN"/>
              </w:rPr>
              <w:t>+沉降室+碱洗喷淋塔装置处理</w:t>
            </w:r>
            <w:r>
              <w:rPr>
                <w:rFonts w:hint="default" w:ascii="Times New Roman" w:hAnsi="Times New Roman" w:eastAsia="宋体" w:cs="Times New Roman"/>
                <w:b w:val="0"/>
                <w:bCs w:val="0"/>
                <w:color w:val="000000"/>
                <w:spacing w:val="0"/>
                <w:kern w:val="0"/>
                <w:sz w:val="24"/>
                <w:szCs w:val="24"/>
                <w:lang w:val="en-US" w:eastAsia="zh-CN"/>
              </w:rPr>
              <w:t>，此过程废气收集效率按</w:t>
            </w:r>
            <w:r>
              <w:rPr>
                <w:rFonts w:hint="eastAsia" w:cs="Times New Roman"/>
                <w:b w:val="0"/>
                <w:bCs w:val="0"/>
                <w:color w:val="000000"/>
                <w:spacing w:val="0"/>
                <w:kern w:val="0"/>
                <w:sz w:val="24"/>
                <w:szCs w:val="24"/>
                <w:lang w:val="en-US" w:eastAsia="zh-CN"/>
              </w:rPr>
              <w:t>100</w:t>
            </w:r>
            <w:r>
              <w:rPr>
                <w:rFonts w:hint="default" w:ascii="Times New Roman" w:hAnsi="Times New Roman" w:eastAsia="宋体" w:cs="Times New Roman"/>
                <w:b w:val="0"/>
                <w:bCs w:val="0"/>
                <w:color w:val="000000"/>
                <w:spacing w:val="0"/>
                <w:kern w:val="0"/>
                <w:sz w:val="24"/>
                <w:szCs w:val="24"/>
                <w:lang w:val="en-US" w:eastAsia="zh-CN"/>
              </w:rPr>
              <w:t>%计，</w:t>
            </w:r>
            <w:r>
              <w:rPr>
                <w:rFonts w:hint="default" w:ascii="Times New Roman" w:hAnsi="Times New Roman" w:eastAsia="宋体" w:cs="Times New Roman"/>
                <w:b w:val="0"/>
                <w:bCs w:val="0"/>
                <w:color w:val="000000"/>
                <w:spacing w:val="0"/>
                <w:kern w:val="0"/>
                <w:sz w:val="24"/>
                <w:szCs w:val="24"/>
                <w:highlight w:val="none"/>
                <w:lang w:val="en-US" w:eastAsia="zh-CN"/>
              </w:rPr>
              <w:t>风机风量为8000</w:t>
            </w:r>
            <w:r>
              <w:rPr>
                <w:rFonts w:hint="default" w:ascii="Times New Roman" w:hAnsi="Times New Roman" w:eastAsia="宋体" w:cs="Times New Roman"/>
                <w:color w:val="000000"/>
                <w:lang w:val="en-US" w:eastAsia="zh-CN"/>
              </w:rPr>
              <w:t>m</w:t>
            </w:r>
            <w:r>
              <w:rPr>
                <w:rFonts w:hint="default" w:ascii="Times New Roman" w:hAnsi="Times New Roman" w:eastAsia="宋体" w:cs="Times New Roman"/>
                <w:color w:val="000000"/>
                <w:vertAlign w:val="superscript"/>
                <w:lang w:val="en-US" w:eastAsia="zh-CN"/>
              </w:rPr>
              <w:t>3</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b w:val="0"/>
                <w:bCs w:val="0"/>
                <w:color w:val="000000"/>
                <w:spacing w:val="0"/>
                <w:kern w:val="0"/>
                <w:sz w:val="24"/>
                <w:szCs w:val="24"/>
                <w:highlight w:val="none"/>
                <w:lang w:val="en-US" w:eastAsia="zh-CN"/>
              </w:rPr>
              <w:t>。颗粒物的有组织产生量为</w:t>
            </w:r>
            <w:r>
              <w:rPr>
                <w:rFonts w:hint="eastAsia" w:cs="Times New Roman"/>
                <w:b w:val="0"/>
                <w:bCs w:val="0"/>
                <w:color w:val="000000"/>
                <w:spacing w:val="0"/>
                <w:kern w:val="0"/>
                <w:sz w:val="24"/>
                <w:szCs w:val="24"/>
                <w:highlight w:val="none"/>
                <w:lang w:val="en-US" w:eastAsia="zh-CN"/>
              </w:rPr>
              <w:t>8.183</w:t>
            </w:r>
            <w:r>
              <w:rPr>
                <w:rFonts w:hint="default" w:ascii="Times New Roman" w:hAnsi="Times New Roman" w:eastAsia="宋体" w:cs="Times New Roman"/>
                <w:b w:val="0"/>
                <w:bCs w:val="0"/>
                <w:color w:val="000000"/>
                <w:spacing w:val="0"/>
                <w:kern w:val="0"/>
                <w:sz w:val="24"/>
                <w:szCs w:val="24"/>
                <w:highlight w:val="none"/>
                <w:lang w:val="en-US" w:eastAsia="zh-CN"/>
              </w:rPr>
              <w:t>t/a，有组织排放量为0.2</w:t>
            </w:r>
            <w:r>
              <w:rPr>
                <w:rFonts w:hint="eastAsia" w:cs="Times New Roman"/>
                <w:b w:val="0"/>
                <w:bCs w:val="0"/>
                <w:color w:val="000000"/>
                <w:spacing w:val="0"/>
                <w:kern w:val="0"/>
                <w:sz w:val="24"/>
                <w:szCs w:val="24"/>
                <w:highlight w:val="none"/>
                <w:lang w:val="en-US" w:eastAsia="zh-CN"/>
              </w:rPr>
              <w:t>23</w:t>
            </w:r>
            <w:r>
              <w:rPr>
                <w:rFonts w:hint="default" w:ascii="Times New Roman" w:hAnsi="Times New Roman" w:eastAsia="宋体" w:cs="Times New Roman"/>
                <w:b w:val="0"/>
                <w:bCs w:val="0"/>
                <w:color w:val="000000"/>
                <w:spacing w:val="0"/>
                <w:kern w:val="0"/>
                <w:sz w:val="24"/>
                <w:szCs w:val="24"/>
                <w:highlight w:val="none"/>
                <w:lang w:val="en-US" w:eastAsia="zh-CN"/>
              </w:rPr>
              <w:t>t/a，有组织排放速率为0.0</w:t>
            </w:r>
            <w:r>
              <w:rPr>
                <w:rFonts w:hint="eastAsia" w:cs="Times New Roman"/>
                <w:b w:val="0"/>
                <w:bCs w:val="0"/>
                <w:color w:val="000000"/>
                <w:spacing w:val="0"/>
                <w:kern w:val="0"/>
                <w:sz w:val="24"/>
                <w:szCs w:val="24"/>
                <w:highlight w:val="none"/>
                <w:lang w:val="en-US" w:eastAsia="zh-CN"/>
              </w:rPr>
              <w:t>516</w:t>
            </w:r>
            <w:r>
              <w:rPr>
                <w:rFonts w:hint="default" w:ascii="Times New Roman" w:hAnsi="Times New Roman" w:eastAsia="宋体" w:cs="Times New Roman"/>
                <w:b w:val="0"/>
                <w:bCs w:val="0"/>
                <w:color w:val="000000"/>
                <w:spacing w:val="0"/>
                <w:kern w:val="0"/>
                <w:sz w:val="24"/>
                <w:szCs w:val="24"/>
                <w:highlight w:val="none"/>
                <w:lang w:val="en-US" w:eastAsia="zh-CN"/>
              </w:rPr>
              <w:t>kg/h，有组织排放浓度为</w:t>
            </w:r>
            <w:r>
              <w:rPr>
                <w:rFonts w:hint="eastAsia" w:cs="Times New Roman"/>
                <w:b w:val="0"/>
                <w:bCs w:val="0"/>
                <w:color w:val="000000"/>
                <w:spacing w:val="0"/>
                <w:kern w:val="0"/>
                <w:sz w:val="24"/>
                <w:szCs w:val="24"/>
                <w:highlight w:val="none"/>
                <w:lang w:val="en-US" w:eastAsia="zh-CN"/>
              </w:rPr>
              <w:t>6.45</w:t>
            </w:r>
            <w:r>
              <w:rPr>
                <w:rFonts w:hint="default" w:ascii="Times New Roman" w:hAnsi="Times New Roman" w:eastAsia="宋体" w:cs="Times New Roman"/>
                <w:b w:val="0"/>
                <w:bCs w:val="0"/>
                <w:color w:val="000000"/>
                <w:spacing w:val="0"/>
                <w:kern w:val="0"/>
                <w:sz w:val="24"/>
                <w:szCs w:val="24"/>
                <w:highlight w:val="none"/>
                <w:lang w:val="en-US" w:eastAsia="zh-CN"/>
              </w:rPr>
              <w:t>mg/m</w:t>
            </w:r>
            <w:r>
              <w:rPr>
                <w:rFonts w:hint="default" w:ascii="Times New Roman" w:hAnsi="Times New Roman" w:eastAsia="宋体" w:cs="Times New Roman"/>
                <w:b w:val="0"/>
                <w:bCs w:val="0"/>
                <w:color w:val="000000"/>
                <w:spacing w:val="0"/>
                <w:kern w:val="0"/>
                <w:sz w:val="24"/>
                <w:szCs w:val="24"/>
                <w:highlight w:val="none"/>
                <w:vertAlign w:val="superscript"/>
                <w:lang w:val="en-US" w:eastAsia="zh-CN"/>
              </w:rPr>
              <w:t>3</w:t>
            </w:r>
            <w:r>
              <w:rPr>
                <w:rFonts w:hint="default" w:ascii="Times New Roman" w:hAnsi="Times New Roman" w:eastAsia="宋体" w:cs="Times New Roman"/>
                <w:b w:val="0"/>
                <w:bCs w:val="0"/>
                <w:color w:val="000000"/>
                <w:spacing w:val="0"/>
                <w:kern w:val="0"/>
                <w:sz w:val="24"/>
                <w:szCs w:val="24"/>
                <w:highlight w:val="none"/>
                <w:lang w:val="en-US" w:eastAsia="zh-CN"/>
              </w:rPr>
              <w:t>；</w:t>
            </w:r>
          </w:p>
          <w:p w14:paraId="07C1967E">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000000"/>
                <w:spacing w:val="0"/>
                <w:kern w:val="0"/>
                <w:sz w:val="24"/>
                <w:szCs w:val="24"/>
                <w:lang w:val="en-US" w:eastAsia="zh-CN"/>
              </w:rPr>
            </w:pPr>
            <w:r>
              <w:rPr>
                <w:rFonts w:hint="eastAsia" w:cs="Times New Roman"/>
                <w:b/>
                <w:bCs/>
                <w:color w:val="000000"/>
                <w:spacing w:val="0"/>
                <w:kern w:val="0"/>
                <w:sz w:val="24"/>
                <w:szCs w:val="24"/>
                <w:lang w:val="en-US" w:eastAsia="zh-CN"/>
              </w:rPr>
              <w:t>1.1.2</w:t>
            </w:r>
            <w:r>
              <w:rPr>
                <w:rFonts w:hint="default" w:ascii="Times New Roman" w:hAnsi="Times New Roman" w:eastAsia="宋体" w:cs="Times New Roman"/>
                <w:b/>
                <w:bCs/>
                <w:color w:val="000000"/>
                <w:spacing w:val="0"/>
                <w:kern w:val="0"/>
                <w:sz w:val="24"/>
                <w:szCs w:val="24"/>
                <w:lang w:val="en-US" w:eastAsia="zh-CN"/>
              </w:rPr>
              <w:t>硫酸雾</w:t>
            </w:r>
          </w:p>
          <w:p w14:paraId="5281474D">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highlight w:val="none"/>
                <w:lang w:val="en-US" w:eastAsia="zh-CN"/>
              </w:rPr>
              <w:t>本项目烘干工序将浸透</w:t>
            </w:r>
            <w:r>
              <w:rPr>
                <w:rFonts w:hint="eastAsia" w:cs="Times New Roman"/>
                <w:b w:val="0"/>
                <w:bCs w:val="0"/>
                <w:color w:val="000000"/>
                <w:spacing w:val="0"/>
                <w:kern w:val="0"/>
                <w:sz w:val="24"/>
                <w:szCs w:val="24"/>
                <w:highlight w:val="none"/>
                <w:lang w:val="en-US" w:eastAsia="zh-CN"/>
              </w:rPr>
              <w:t>硫酸</w:t>
            </w:r>
            <w:r>
              <w:rPr>
                <w:rFonts w:hint="default" w:ascii="Times New Roman" w:hAnsi="Times New Roman" w:eastAsia="宋体" w:cs="Times New Roman"/>
                <w:b w:val="0"/>
                <w:bCs w:val="0"/>
                <w:color w:val="000000"/>
                <w:spacing w:val="0"/>
                <w:kern w:val="0"/>
                <w:sz w:val="24"/>
                <w:szCs w:val="24"/>
                <w:highlight w:val="none"/>
                <w:lang w:val="en-US" w:eastAsia="zh-CN"/>
              </w:rPr>
              <w:t>混合液的棉种送入滚筒内烘干，随着棉种温度的升高，硫酸溶液高度浓缩，浓硫酸具有脱水性，能把棉绒中的纤维素炭化，得到</w:t>
            </w:r>
            <w:r>
              <w:rPr>
                <w:rFonts w:hint="eastAsia" w:ascii="Times New Roman" w:hAnsi="Times New Roman" w:eastAsia="宋体" w:cs="Times New Roman"/>
                <w:b w:val="0"/>
                <w:bCs w:val="0"/>
                <w:color w:val="000000"/>
                <w:spacing w:val="0"/>
                <w:kern w:val="0"/>
                <w:sz w:val="24"/>
                <w:szCs w:val="24"/>
                <w:highlight w:val="none"/>
                <w:lang w:val="en-US" w:eastAsia="zh-CN"/>
              </w:rPr>
              <w:t>炭黑</w:t>
            </w:r>
            <w:r>
              <w:rPr>
                <w:rFonts w:hint="default" w:ascii="Times New Roman" w:hAnsi="Times New Roman" w:eastAsia="宋体" w:cs="Times New Roman"/>
                <w:b w:val="0"/>
                <w:bCs w:val="0"/>
                <w:color w:val="000000"/>
                <w:spacing w:val="0"/>
                <w:kern w:val="0"/>
                <w:sz w:val="24"/>
                <w:szCs w:val="24"/>
                <w:highlight w:val="none"/>
                <w:lang w:val="en-US" w:eastAsia="zh-CN"/>
              </w:rPr>
              <w:t>，浓硫酸有强氧化性，能把生产的炭黑氧化，自身还原成二氧化硫，二氧化硫、氧气和水又可生成硫酸雾，</w:t>
            </w:r>
            <w:r>
              <w:rPr>
                <w:rFonts w:hint="eastAsia" w:cs="Times New Roman"/>
                <w:b w:val="0"/>
                <w:bCs w:val="0"/>
                <w:color w:val="000000"/>
                <w:spacing w:val="0"/>
                <w:kern w:val="0"/>
                <w:sz w:val="24"/>
                <w:szCs w:val="24"/>
                <w:highlight w:val="none"/>
                <w:lang w:val="en-US" w:eastAsia="zh-CN"/>
              </w:rPr>
              <w:t>参考同类型企业并</w:t>
            </w:r>
            <w:r>
              <w:rPr>
                <w:rFonts w:hint="default" w:ascii="Times New Roman" w:hAnsi="Times New Roman" w:eastAsia="宋体" w:cs="Times New Roman"/>
                <w:b w:val="0"/>
                <w:bCs w:val="0"/>
                <w:color w:val="000000"/>
                <w:spacing w:val="0"/>
                <w:kern w:val="0"/>
                <w:sz w:val="24"/>
                <w:szCs w:val="24"/>
                <w:highlight w:val="none"/>
                <w:lang w:val="en-US" w:eastAsia="zh-CN"/>
              </w:rPr>
              <w:t>根据业主提供</w:t>
            </w:r>
            <w:r>
              <w:rPr>
                <w:rFonts w:hint="eastAsia" w:cs="Times New Roman"/>
                <w:b w:val="0"/>
                <w:bCs w:val="0"/>
                <w:color w:val="000000"/>
                <w:spacing w:val="0"/>
                <w:kern w:val="0"/>
                <w:sz w:val="24"/>
                <w:szCs w:val="24"/>
                <w:highlight w:val="none"/>
                <w:lang w:val="en-US" w:eastAsia="zh-CN"/>
              </w:rPr>
              <w:t>物料衡算数据</w:t>
            </w:r>
            <w:r>
              <w:rPr>
                <w:rFonts w:hint="default" w:ascii="Times New Roman" w:hAnsi="Times New Roman" w:eastAsia="宋体" w:cs="Times New Roman"/>
                <w:b w:val="0"/>
                <w:bCs w:val="0"/>
                <w:color w:val="000000"/>
                <w:spacing w:val="0"/>
                <w:kern w:val="0"/>
                <w:sz w:val="24"/>
                <w:szCs w:val="24"/>
                <w:highlight w:val="none"/>
                <w:lang w:val="en-US" w:eastAsia="zh-CN"/>
              </w:rPr>
              <w:t>，硫酸烘干时产生的硫酸雾量通常为硫酸用量的</w:t>
            </w:r>
            <w:r>
              <w:rPr>
                <w:rFonts w:hint="eastAsia" w:cs="Times New Roman"/>
                <w:b w:val="0"/>
                <w:bCs w:val="0"/>
                <w:color w:val="000000"/>
                <w:spacing w:val="0"/>
                <w:kern w:val="0"/>
                <w:sz w:val="24"/>
                <w:szCs w:val="24"/>
                <w:highlight w:val="none"/>
                <w:lang w:val="en-US" w:eastAsia="zh-CN"/>
              </w:rPr>
              <w:t>5</w:t>
            </w:r>
            <w:r>
              <w:rPr>
                <w:rFonts w:hint="default" w:ascii="Times New Roman" w:hAnsi="Times New Roman" w:eastAsia="宋体" w:cs="Times New Roman"/>
                <w:b w:val="0"/>
                <w:bCs w:val="0"/>
                <w:color w:val="000000"/>
                <w:spacing w:val="0"/>
                <w:kern w:val="0"/>
                <w:sz w:val="24"/>
                <w:szCs w:val="24"/>
                <w:highlight w:val="none"/>
                <w:lang w:val="en-US" w:eastAsia="zh-CN"/>
              </w:rPr>
              <w:t>%，新疆鼎棉农业科技有限公司棉花种子生产建设项目硫酸使用量为</w:t>
            </w:r>
            <w:r>
              <w:rPr>
                <w:rFonts w:hint="eastAsia" w:cs="Times New Roman"/>
                <w:b w:val="0"/>
                <w:bCs w:val="0"/>
                <w:color w:val="000000"/>
                <w:spacing w:val="0"/>
                <w:kern w:val="0"/>
                <w:sz w:val="24"/>
                <w:szCs w:val="24"/>
                <w:highlight w:val="none"/>
                <w:lang w:val="en-US" w:eastAsia="zh-CN"/>
              </w:rPr>
              <w:t>150</w:t>
            </w:r>
            <w:r>
              <w:rPr>
                <w:rFonts w:hint="default" w:ascii="Times New Roman" w:hAnsi="Times New Roman" w:eastAsia="宋体" w:cs="Times New Roman"/>
                <w:b w:val="0"/>
                <w:bCs w:val="0"/>
                <w:color w:val="000000"/>
                <w:spacing w:val="0"/>
                <w:kern w:val="0"/>
                <w:sz w:val="24"/>
                <w:szCs w:val="24"/>
                <w:highlight w:val="none"/>
                <w:lang w:val="en-US" w:eastAsia="zh-CN"/>
              </w:rPr>
              <w:t>t/a，因此硫酸雾的产生量为</w:t>
            </w:r>
            <w:r>
              <w:rPr>
                <w:rFonts w:hint="eastAsia" w:cs="Times New Roman"/>
                <w:b w:val="0"/>
                <w:bCs w:val="0"/>
                <w:color w:val="000000"/>
                <w:spacing w:val="0"/>
                <w:kern w:val="0"/>
                <w:sz w:val="24"/>
                <w:szCs w:val="24"/>
                <w:highlight w:val="none"/>
                <w:lang w:val="en-US" w:eastAsia="zh-CN"/>
              </w:rPr>
              <w:t>7.5</w:t>
            </w:r>
            <w:r>
              <w:rPr>
                <w:rFonts w:hint="default" w:ascii="Times New Roman" w:hAnsi="Times New Roman" w:eastAsia="宋体" w:cs="Times New Roman"/>
                <w:b w:val="0"/>
                <w:bCs w:val="0"/>
                <w:color w:val="000000"/>
                <w:spacing w:val="0"/>
                <w:kern w:val="0"/>
                <w:sz w:val="24"/>
                <w:szCs w:val="24"/>
                <w:highlight w:val="none"/>
                <w:lang w:val="en-US" w:eastAsia="zh-CN"/>
              </w:rPr>
              <w:t>t/a，生成的硫酸雾通过</w:t>
            </w:r>
            <w:r>
              <w:rPr>
                <w:rFonts w:hint="eastAsia" w:ascii="Times New Roman" w:hAnsi="Times New Roman" w:eastAsia="宋体" w:cs="Times New Roman"/>
                <w:b w:val="0"/>
                <w:bCs w:val="0"/>
                <w:color w:val="000000"/>
                <w:spacing w:val="0"/>
                <w:kern w:val="0"/>
                <w:sz w:val="24"/>
                <w:szCs w:val="24"/>
                <w:highlight w:val="none"/>
                <w:lang w:val="en-US" w:eastAsia="zh-CN"/>
              </w:rPr>
              <w:t>旋风除尘器+沉降室+碱洗喷淋塔</w:t>
            </w:r>
            <w:r>
              <w:rPr>
                <w:rFonts w:hint="default" w:ascii="Times New Roman" w:hAnsi="Times New Roman" w:eastAsia="宋体" w:cs="Times New Roman"/>
                <w:b w:val="0"/>
                <w:bCs w:val="0"/>
                <w:color w:val="000000"/>
                <w:spacing w:val="0"/>
                <w:kern w:val="0"/>
                <w:sz w:val="24"/>
                <w:szCs w:val="24"/>
                <w:highlight w:val="none"/>
                <w:lang w:val="en-US" w:eastAsia="zh-CN"/>
              </w:rPr>
              <w:t>处理，碱洗塔是处理硫酸雾的常用设备，其处理效率受多种因素影响，通常在80%~99% 之间波动。本项目</w:t>
            </w:r>
            <w:r>
              <w:rPr>
                <w:rFonts w:hint="eastAsia" w:cs="Times New Roman"/>
                <w:b w:val="0"/>
                <w:bCs w:val="0"/>
                <w:color w:val="000000"/>
                <w:spacing w:val="0"/>
                <w:kern w:val="0"/>
                <w:sz w:val="24"/>
                <w:szCs w:val="24"/>
                <w:highlight w:val="none"/>
                <w:lang w:val="en-US" w:eastAsia="zh-CN"/>
              </w:rPr>
              <w:t>运行后，</w:t>
            </w:r>
            <w:r>
              <w:rPr>
                <w:rFonts w:hint="default" w:ascii="Times New Roman" w:hAnsi="Times New Roman" w:eastAsia="宋体" w:cs="Times New Roman"/>
                <w:b w:val="0"/>
                <w:bCs w:val="0"/>
                <w:color w:val="000000"/>
                <w:spacing w:val="0"/>
                <w:kern w:val="0"/>
                <w:sz w:val="24"/>
                <w:szCs w:val="24"/>
                <w:highlight w:val="none"/>
                <w:lang w:val="en-US" w:eastAsia="zh-CN"/>
              </w:rPr>
              <w:t>在通过预处理去除部分粉尘杂质、碱液优先采用氢氧化钠、保持出口碱液充足且保证气液接触时间≥1~2秒的前提下，碱洗塔对硫酸雾的处理效率能够稳定达到90%以上，收集效率为</w:t>
            </w:r>
            <w:r>
              <w:rPr>
                <w:rFonts w:hint="eastAsia" w:cs="Times New Roman"/>
                <w:b w:val="0"/>
                <w:bCs w:val="0"/>
                <w:color w:val="000000"/>
                <w:spacing w:val="0"/>
                <w:kern w:val="0"/>
                <w:sz w:val="24"/>
                <w:szCs w:val="24"/>
                <w:highlight w:val="none"/>
                <w:lang w:val="en-US" w:eastAsia="zh-CN"/>
              </w:rPr>
              <w:t>100</w:t>
            </w:r>
            <w:r>
              <w:rPr>
                <w:rFonts w:hint="default" w:ascii="Times New Roman" w:hAnsi="Times New Roman" w:eastAsia="宋体" w:cs="Times New Roman"/>
                <w:b w:val="0"/>
                <w:bCs w:val="0"/>
                <w:color w:val="000000"/>
                <w:spacing w:val="0"/>
                <w:kern w:val="0"/>
                <w:sz w:val="24"/>
                <w:szCs w:val="24"/>
                <w:highlight w:val="none"/>
                <w:lang w:val="en-US" w:eastAsia="zh-CN"/>
              </w:rPr>
              <w:t>%，风机风量为8000</w:t>
            </w:r>
            <w:r>
              <w:rPr>
                <w:rFonts w:hint="default" w:ascii="Times New Roman" w:hAnsi="Times New Roman" w:eastAsia="宋体" w:cs="Times New Roman"/>
                <w:color w:val="000000"/>
                <w:lang w:val="en-US" w:eastAsia="zh-CN"/>
              </w:rPr>
              <w:t>m</w:t>
            </w:r>
            <w:r>
              <w:rPr>
                <w:rFonts w:hint="default" w:ascii="Times New Roman" w:hAnsi="Times New Roman" w:eastAsia="宋体" w:cs="Times New Roman"/>
                <w:color w:val="000000"/>
                <w:vertAlign w:val="superscript"/>
                <w:lang w:val="en-US" w:eastAsia="zh-CN"/>
              </w:rPr>
              <w:t>3</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b w:val="0"/>
                <w:bCs w:val="0"/>
                <w:color w:val="000000"/>
                <w:spacing w:val="0"/>
                <w:kern w:val="0"/>
                <w:sz w:val="24"/>
                <w:szCs w:val="24"/>
                <w:highlight w:val="none"/>
                <w:lang w:val="en-US" w:eastAsia="zh-CN"/>
              </w:rPr>
              <w:t>。则硫酸雾的有组织产生量为</w:t>
            </w:r>
            <w:r>
              <w:rPr>
                <w:rFonts w:hint="eastAsia" w:cs="Times New Roman"/>
                <w:b w:val="0"/>
                <w:bCs w:val="0"/>
                <w:color w:val="000000"/>
                <w:spacing w:val="0"/>
                <w:kern w:val="0"/>
                <w:sz w:val="24"/>
                <w:szCs w:val="24"/>
                <w:highlight w:val="none"/>
                <w:lang w:val="en-US" w:eastAsia="zh-CN"/>
              </w:rPr>
              <w:t>7.5</w:t>
            </w:r>
            <w:r>
              <w:rPr>
                <w:rFonts w:hint="default" w:ascii="Times New Roman" w:hAnsi="Times New Roman" w:eastAsia="宋体" w:cs="Times New Roman"/>
                <w:b w:val="0"/>
                <w:bCs w:val="0"/>
                <w:color w:val="000000"/>
                <w:spacing w:val="0"/>
                <w:kern w:val="0"/>
                <w:sz w:val="24"/>
                <w:szCs w:val="24"/>
                <w:highlight w:val="none"/>
                <w:lang w:val="en-US" w:eastAsia="zh-CN"/>
              </w:rPr>
              <w:t>t/a，有组织排放量为</w:t>
            </w:r>
            <w:r>
              <w:rPr>
                <w:rFonts w:hint="eastAsia" w:cs="Times New Roman"/>
                <w:b w:val="0"/>
                <w:bCs w:val="0"/>
                <w:color w:val="000000"/>
                <w:spacing w:val="0"/>
                <w:kern w:val="0"/>
                <w:sz w:val="24"/>
                <w:szCs w:val="24"/>
                <w:highlight w:val="none"/>
                <w:lang w:val="en-US" w:eastAsia="zh-CN"/>
              </w:rPr>
              <w:t>0.75</w:t>
            </w:r>
            <w:r>
              <w:rPr>
                <w:rFonts w:hint="default" w:ascii="Times New Roman" w:hAnsi="Times New Roman" w:eastAsia="宋体" w:cs="Times New Roman"/>
                <w:b w:val="0"/>
                <w:bCs w:val="0"/>
                <w:color w:val="000000"/>
                <w:spacing w:val="0"/>
                <w:kern w:val="0"/>
                <w:sz w:val="24"/>
                <w:szCs w:val="24"/>
                <w:highlight w:val="none"/>
                <w:lang w:val="en-US" w:eastAsia="zh-CN"/>
              </w:rPr>
              <w:t>t/a，有组织排放速率为</w:t>
            </w:r>
            <w:r>
              <w:rPr>
                <w:rFonts w:hint="eastAsia" w:cs="Times New Roman"/>
                <w:b w:val="0"/>
                <w:bCs w:val="0"/>
                <w:color w:val="000000"/>
                <w:spacing w:val="0"/>
                <w:kern w:val="0"/>
                <w:sz w:val="24"/>
                <w:szCs w:val="24"/>
                <w:highlight w:val="none"/>
                <w:lang w:val="en-US" w:eastAsia="zh-CN"/>
              </w:rPr>
              <w:t>0.174</w:t>
            </w:r>
            <w:r>
              <w:rPr>
                <w:rFonts w:hint="default" w:ascii="Times New Roman" w:hAnsi="Times New Roman" w:eastAsia="宋体" w:cs="Times New Roman"/>
                <w:b w:val="0"/>
                <w:bCs w:val="0"/>
                <w:color w:val="000000"/>
                <w:spacing w:val="0"/>
                <w:kern w:val="0"/>
                <w:sz w:val="24"/>
                <w:szCs w:val="24"/>
                <w:highlight w:val="none"/>
                <w:lang w:val="en-US" w:eastAsia="zh-CN"/>
              </w:rPr>
              <w:t>kg/h</w:t>
            </w:r>
            <w:r>
              <w:rPr>
                <w:rFonts w:hint="eastAsia" w:cs="Times New Roman"/>
                <w:b w:val="0"/>
                <w:bCs w:val="0"/>
                <w:color w:val="000000"/>
                <w:spacing w:val="0"/>
                <w:kern w:val="0"/>
                <w:sz w:val="24"/>
                <w:szCs w:val="24"/>
                <w:highlight w:val="none"/>
                <w:lang w:val="en-US" w:eastAsia="zh-CN"/>
              </w:rPr>
              <w:t>。</w:t>
            </w:r>
          </w:p>
          <w:p w14:paraId="450615FA">
            <w:pPr>
              <w:keepNext w:val="0"/>
              <w:keepLines w:val="0"/>
              <w:pageBreakBefore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spacing w:val="0"/>
                <w:kern w:val="0"/>
                <w:sz w:val="24"/>
                <w:szCs w:val="24"/>
                <w:lang w:val="en-US" w:eastAsia="zh-CN"/>
              </w:rPr>
            </w:pPr>
            <w:r>
              <w:rPr>
                <w:rFonts w:hint="eastAsia" w:cs="Times New Roman"/>
                <w:b/>
                <w:bCs/>
                <w:color w:val="000000"/>
                <w:spacing w:val="0"/>
                <w:kern w:val="0"/>
                <w:sz w:val="24"/>
                <w:szCs w:val="24"/>
                <w:lang w:val="en-US" w:eastAsia="zh-CN"/>
              </w:rPr>
              <w:t>1.1.3</w:t>
            </w:r>
            <w:r>
              <w:rPr>
                <w:rFonts w:hint="default" w:ascii="Times New Roman" w:hAnsi="Times New Roman" w:eastAsia="宋体" w:cs="Times New Roman"/>
                <w:b/>
                <w:bCs/>
                <w:color w:val="000000"/>
                <w:spacing w:val="0"/>
                <w:kern w:val="0"/>
                <w:sz w:val="24"/>
                <w:szCs w:val="24"/>
                <w:lang w:val="en-US" w:eastAsia="zh-CN"/>
              </w:rPr>
              <w:t>二氧化硫</w:t>
            </w:r>
          </w:p>
          <w:p w14:paraId="6B087920">
            <w:pPr>
              <w:keepNext w:val="0"/>
              <w:keepLines w:val="0"/>
              <w:pageBreakBefore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sz w:val="24"/>
                <w:szCs w:val="24"/>
              </w:rPr>
              <w:t>①</w:t>
            </w:r>
            <w:r>
              <w:rPr>
                <w:rFonts w:hint="default" w:ascii="Times New Roman" w:hAnsi="Times New Roman" w:eastAsia="宋体" w:cs="Times New Roman"/>
                <w:b w:val="0"/>
                <w:bCs w:val="0"/>
                <w:color w:val="000000"/>
                <w:spacing w:val="0"/>
                <w:kern w:val="0"/>
                <w:sz w:val="24"/>
                <w:szCs w:val="24"/>
                <w:lang w:val="en-US" w:eastAsia="zh-CN"/>
              </w:rPr>
              <w:t>RS-50热风炉</w:t>
            </w:r>
            <w:r>
              <w:rPr>
                <w:rFonts w:hint="default" w:ascii="Times New Roman" w:hAnsi="Times New Roman" w:eastAsia="宋体" w:cs="Times New Roman"/>
                <w:b w:val="0"/>
                <w:bCs w:val="0"/>
                <w:color w:val="000000"/>
                <w:spacing w:val="0"/>
                <w:kern w:val="0"/>
                <w:sz w:val="24"/>
                <w:szCs w:val="24"/>
                <w:lang w:val="en-US" w:eastAsia="zh-CN" w:bidi="ar-SA"/>
              </w:rPr>
              <w:t>二氧化硫</w:t>
            </w:r>
          </w:p>
          <w:p w14:paraId="0B670D99">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RS-50用气量为58m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/h，本项目年工作天数为180天，每天工作24h，全年生产4320h，故天然气年最大用量为25.1万m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cs="Times New Roman"/>
                <w:sz w:val="24"/>
                <w:szCs w:val="24"/>
                <w:lang w:eastAsia="zh-CN"/>
              </w:rPr>
              <w:t>（</w:t>
            </w:r>
            <w:r>
              <w:rPr>
                <w:rFonts w:hint="default" w:ascii="Times New Roman" w:hAnsi="Times New Roman" w:eastAsia="宋体" w:cs="Times New Roman"/>
                <w:sz w:val="24"/>
                <w:szCs w:val="24"/>
              </w:rPr>
              <w:t>窑</w:t>
            </w:r>
            <w:r>
              <w:rPr>
                <w:rFonts w:hint="eastAsia" w:cs="Times New Roman"/>
                <w:sz w:val="24"/>
                <w:szCs w:val="24"/>
                <w:lang w:eastAsia="zh-CN"/>
              </w:rPr>
              <w:t>）</w:t>
            </w:r>
            <w:r>
              <w:rPr>
                <w:rFonts w:hint="default" w:ascii="Times New Roman" w:hAnsi="Times New Roman" w:eastAsia="宋体" w:cs="Times New Roman"/>
                <w:sz w:val="24"/>
                <w:szCs w:val="24"/>
              </w:rPr>
              <w:t>排放口参考绩效值表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w:t>
            </w:r>
            <w:r>
              <w:rPr>
                <w:rFonts w:hint="default" w:ascii="Times New Roman" w:hAnsi="Times New Roman" w:eastAsia="宋体" w:cs="Times New Roman"/>
                <w:sz w:val="24"/>
                <w:szCs w:val="24"/>
                <w:lang w:val="en-US" w:eastAsia="zh-CN"/>
              </w:rPr>
              <w:t>二氧化硫绩效值=0.156+</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0.161-0.156</w:t>
            </w:r>
            <w:r>
              <w:rPr>
                <w:rFonts w:hint="eastAsia" w:cs="Times New Roman"/>
                <w:sz w:val="24"/>
                <w:szCs w:val="24"/>
                <w:lang w:val="en-US" w:eastAsia="zh-CN"/>
              </w:rPr>
              <w:t>）</w:t>
            </w:r>
            <w:r>
              <w:rPr>
                <w:rFonts w:hint="default" w:ascii="Arial" w:hAnsi="Arial" w:eastAsia="宋体" w:cs="Arial"/>
                <w:sz w:val="24"/>
                <w:szCs w:val="24"/>
                <w:lang w:val="en-US" w:eastAsia="zh-CN"/>
              </w:rPr>
              <w:t>×</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32.95-32.45</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33.50-32.45</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=0.158g/m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燃料。热风炉烟气中二氧化硫产生量=0.158</w:t>
            </w:r>
            <w:r>
              <w:rPr>
                <w:rFonts w:hint="default" w:ascii="Arial" w:hAnsi="Arial" w:eastAsia="宋体" w:cs="Arial"/>
                <w:sz w:val="24"/>
                <w:szCs w:val="24"/>
                <w:lang w:val="en-US" w:eastAsia="zh-CN"/>
              </w:rPr>
              <w:t>×</w:t>
            </w:r>
            <w:r>
              <w:rPr>
                <w:rFonts w:hint="default" w:ascii="Times New Roman" w:hAnsi="Times New Roman" w:eastAsia="宋体" w:cs="Times New Roman"/>
                <w:sz w:val="24"/>
                <w:szCs w:val="24"/>
                <w:lang w:val="en-US" w:eastAsia="zh-CN"/>
              </w:rPr>
              <w:t>251000/106=0.04t/a。</w:t>
            </w:r>
          </w:p>
          <w:p w14:paraId="2107736F">
            <w:pPr>
              <w:pStyle w:val="3"/>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lang w:val="en-US" w:eastAsia="zh-CN"/>
              </w:rPr>
              <w:t>RS-130热风炉二氧化硫</w:t>
            </w:r>
          </w:p>
          <w:p w14:paraId="54801E37">
            <w:pPr>
              <w:pStyle w:val="12"/>
              <w:keepNext w:val="0"/>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color w:val="000000"/>
                <w:spacing w:val="0"/>
                <w:kern w:val="0"/>
                <w:sz w:val="24"/>
                <w:szCs w:val="24"/>
                <w:lang w:val="en-US" w:eastAsia="zh-CN"/>
              </w:rPr>
              <w:t>RS-130用气量为151m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/h，本项目年工作天数为180天，每天工作24h，全年生产4320h，故天然气年最大用量为65.2万m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cs="Times New Roman"/>
                <w:sz w:val="24"/>
                <w:szCs w:val="24"/>
                <w:lang w:eastAsia="zh-CN"/>
              </w:rPr>
              <w:t>（</w:t>
            </w:r>
            <w:r>
              <w:rPr>
                <w:rFonts w:hint="default" w:ascii="Times New Roman" w:hAnsi="Times New Roman" w:eastAsia="宋体" w:cs="Times New Roman"/>
                <w:sz w:val="24"/>
                <w:szCs w:val="24"/>
              </w:rPr>
              <w:t>窑</w:t>
            </w:r>
            <w:r>
              <w:rPr>
                <w:rFonts w:hint="eastAsia" w:cs="Times New Roman"/>
                <w:sz w:val="24"/>
                <w:szCs w:val="24"/>
                <w:lang w:eastAsia="zh-CN"/>
              </w:rPr>
              <w:t>）</w:t>
            </w:r>
            <w:r>
              <w:rPr>
                <w:rFonts w:hint="default" w:ascii="Times New Roman" w:hAnsi="Times New Roman" w:eastAsia="宋体" w:cs="Times New Roman"/>
                <w:sz w:val="24"/>
                <w:szCs w:val="24"/>
              </w:rPr>
              <w:t>排放口参考绩效值表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MJ/m，二氧化硫绩效值=0.1</w:t>
            </w:r>
            <w:r>
              <w:rPr>
                <w:rFonts w:hint="default" w:ascii="Times New Roman" w:hAnsi="Times New Roman" w:eastAsia="宋体" w:cs="Times New Roman"/>
                <w:sz w:val="24"/>
                <w:szCs w:val="24"/>
                <w:lang w:val="en-US" w:eastAsia="zh-CN"/>
              </w:rPr>
              <w:t>56</w:t>
            </w:r>
            <w:r>
              <w:rPr>
                <w:rFonts w:hint="default" w:ascii="Times New Roman" w:hAnsi="Times New Roman" w:eastAsia="宋体" w:cs="Times New Roman"/>
                <w:sz w:val="24"/>
                <w:szCs w:val="24"/>
              </w:rPr>
              <w:t>+</w:t>
            </w:r>
            <w:r>
              <w:rPr>
                <w:rFonts w:hint="eastAsia" w:cs="Times New Roman"/>
                <w:sz w:val="24"/>
                <w:szCs w:val="24"/>
                <w:lang w:eastAsia="zh-CN"/>
              </w:rPr>
              <w:t>（</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61</w:t>
            </w:r>
            <w:r>
              <w:rPr>
                <w:rFonts w:hint="default" w:ascii="Times New Roman" w:hAnsi="Times New Roman" w:eastAsia="宋体" w:cs="Times New Roman"/>
                <w:sz w:val="24"/>
                <w:szCs w:val="24"/>
              </w:rPr>
              <w:t>-0.1</w:t>
            </w:r>
            <w:r>
              <w:rPr>
                <w:rFonts w:hint="default" w:ascii="Times New Roman" w:hAnsi="Times New Roman" w:eastAsia="宋体" w:cs="Times New Roman"/>
                <w:sz w:val="24"/>
                <w:szCs w:val="24"/>
                <w:lang w:val="en-US" w:eastAsia="zh-CN"/>
              </w:rPr>
              <w:t>56</w:t>
            </w:r>
            <w:r>
              <w:rPr>
                <w:rFonts w:hint="eastAsia" w:cs="Times New Roman"/>
                <w:sz w:val="24"/>
                <w:szCs w:val="24"/>
                <w:lang w:eastAsia="zh-CN"/>
              </w:rPr>
              <w:t>）</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2.95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ascii="Arial" w:hAnsi="Arial" w:eastAsia="宋体" w:cs="Arial"/>
                <w:sz w:val="24"/>
                <w:szCs w:val="24"/>
                <w:lang w:val="en-US" w:eastAsia="zh-CN"/>
              </w:rPr>
              <w:t>）</w:t>
            </w:r>
            <w:r>
              <w:rPr>
                <w:rFonts w:hint="default" w:ascii="Times New Roman" w:hAnsi="Times New Roman" w:eastAsia="宋体" w:cs="Times New Roman"/>
                <w:sz w:val="24"/>
                <w:szCs w:val="24"/>
              </w:rPr>
              <w:t>/</w:t>
            </w:r>
            <w:r>
              <w:rPr>
                <w:rFonts w:hint="eastAsia"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3.50</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eastAsia" w:cs="Times New Roman"/>
                <w:sz w:val="24"/>
                <w:szCs w:val="24"/>
                <w:lang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158</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燃料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热风炉烟气中二氧化硫产生量=0.1</w:t>
            </w:r>
            <w:r>
              <w:rPr>
                <w:rFonts w:hint="default" w:ascii="Times New Roman" w:hAnsi="Times New Roman" w:eastAsia="宋体" w:cs="Times New Roman"/>
                <w:sz w:val="24"/>
                <w:szCs w:val="24"/>
                <w:lang w:val="en-US" w:eastAsia="zh-CN"/>
              </w:rPr>
              <w:t>58</w:t>
            </w:r>
            <w:r>
              <w:rPr>
                <w:rFonts w:hint="default" w:ascii="Arial" w:hAnsi="Arial" w:eastAsia="宋体" w:cs="Arial"/>
                <w:sz w:val="24"/>
                <w:szCs w:val="24"/>
                <w:lang w:val="en-US" w:eastAsia="zh-CN"/>
              </w:rPr>
              <w:t>×</w:t>
            </w:r>
            <w:r>
              <w:rPr>
                <w:rFonts w:hint="default" w:ascii="Times New Roman" w:hAnsi="Times New Roman" w:eastAsia="宋体" w:cs="Times New Roman"/>
                <w:sz w:val="24"/>
                <w:szCs w:val="24"/>
                <w:lang w:val="en-US" w:eastAsia="zh-CN"/>
              </w:rPr>
              <w:t>251000/</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103</w:t>
            </w: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val="en-US" w:eastAsia="zh-CN"/>
              </w:rPr>
              <w:t>a。</w:t>
            </w:r>
          </w:p>
          <w:p w14:paraId="41FC8DC6">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综上本项目烘干工序产生的二氧化硫为0.143t/a。产生速率为0.0331</w:t>
            </w:r>
            <w:r>
              <w:rPr>
                <w:rFonts w:hint="default" w:ascii="Times New Roman" w:hAnsi="Times New Roman" w:eastAsia="宋体" w:cs="Times New Roman"/>
                <w:b w:val="0"/>
                <w:bCs w:val="0"/>
                <w:color w:val="000000"/>
                <w:spacing w:val="0"/>
                <w:kern w:val="0"/>
                <w:sz w:val="24"/>
                <w:szCs w:val="24"/>
                <w:highlight w:val="none"/>
                <w:lang w:val="en-US" w:eastAsia="zh-CN"/>
              </w:rPr>
              <w:t>kg/h。</w:t>
            </w:r>
            <w:r>
              <w:rPr>
                <w:rFonts w:hint="eastAsia" w:cs="Times New Roman"/>
                <w:b w:val="0"/>
                <w:bCs w:val="0"/>
                <w:color w:val="000000"/>
                <w:spacing w:val="0"/>
                <w:kern w:val="0"/>
                <w:sz w:val="24"/>
                <w:szCs w:val="24"/>
                <w:highlight w:val="none"/>
                <w:lang w:val="en-US" w:eastAsia="zh-CN"/>
              </w:rPr>
              <w:t>本项目废气采用“旋风除尘器+重力沉降室+碱洗喷淋塔”，碱洗塔是处理二氧化硫的常用设备，其处理效率参考《排放源统计调查产排污核算方法和系数手册》-“4430工业锅炉（热力供应）行业系数手册”S12其他（钠碱法）处理效率为70%</w:t>
            </w:r>
            <w:r>
              <w:rPr>
                <w:rFonts w:hint="eastAsia" w:eastAsia="宋体" w:cs="Times New Roman"/>
                <w:b w:val="0"/>
                <w:bCs w:val="0"/>
                <w:color w:val="000000"/>
                <w:spacing w:val="0"/>
                <w:kern w:val="0"/>
                <w:sz w:val="24"/>
                <w:szCs w:val="24"/>
                <w:highlight w:val="none"/>
                <w:lang w:val="en-US" w:eastAsia="zh-CN"/>
              </w:rPr>
              <w:t>收集效率为</w:t>
            </w:r>
            <w:r>
              <w:rPr>
                <w:rFonts w:hint="eastAsia" w:cs="Times New Roman"/>
                <w:b w:val="0"/>
                <w:bCs w:val="0"/>
                <w:color w:val="000000"/>
                <w:spacing w:val="0"/>
                <w:kern w:val="0"/>
                <w:sz w:val="24"/>
                <w:szCs w:val="24"/>
                <w:highlight w:val="none"/>
                <w:lang w:val="en-US" w:eastAsia="zh-CN"/>
              </w:rPr>
              <w:t>100</w:t>
            </w:r>
            <w:r>
              <w:rPr>
                <w:rFonts w:hint="eastAsia" w:eastAsia="宋体" w:cs="Times New Roman"/>
                <w:b w:val="0"/>
                <w:bCs w:val="0"/>
                <w:color w:val="000000"/>
                <w:spacing w:val="0"/>
                <w:kern w:val="0"/>
                <w:sz w:val="24"/>
                <w:szCs w:val="24"/>
                <w:highlight w:val="none"/>
                <w:lang w:val="en-US" w:eastAsia="zh-CN"/>
              </w:rPr>
              <w:t>%，本项目</w:t>
            </w:r>
            <w:r>
              <w:rPr>
                <w:rFonts w:hint="eastAsia" w:eastAsia="宋体" w:cs="Times New Roman"/>
                <w:sz w:val="24"/>
                <w:szCs w:val="24"/>
                <w:lang w:val="en-US" w:eastAsia="zh-CN"/>
              </w:rPr>
              <w:t>二氧化硫有组织产生量为0.129t/a，排放量</w:t>
            </w:r>
            <w:r>
              <w:rPr>
                <w:rFonts w:hint="default" w:ascii="Times New Roman" w:hAnsi="Times New Roman" w:eastAsia="宋体" w:cs="Times New Roman"/>
                <w:sz w:val="24"/>
                <w:szCs w:val="24"/>
                <w:lang w:val="en-US" w:eastAsia="zh-CN"/>
              </w:rPr>
              <w:t>为</w:t>
            </w:r>
            <w:r>
              <w:rPr>
                <w:rFonts w:hint="eastAsia" w:eastAsia="宋体" w:cs="Times New Roman"/>
                <w:sz w:val="24"/>
                <w:szCs w:val="24"/>
                <w:lang w:val="en-US" w:eastAsia="zh-CN"/>
              </w:rPr>
              <w:t>0.0387</w:t>
            </w:r>
            <w:r>
              <w:rPr>
                <w:rFonts w:hint="default" w:ascii="Times New Roman" w:hAnsi="Times New Roman" w:eastAsia="宋体" w:cs="Times New Roman"/>
                <w:sz w:val="24"/>
                <w:szCs w:val="24"/>
                <w:lang w:val="en-US" w:eastAsia="zh-CN"/>
              </w:rPr>
              <w:t>t/a。产生速率为0.</w:t>
            </w:r>
            <w:r>
              <w:rPr>
                <w:rFonts w:hint="eastAsia" w:eastAsia="宋体" w:cs="Times New Roman"/>
                <w:sz w:val="24"/>
                <w:szCs w:val="24"/>
                <w:lang w:val="en-US" w:eastAsia="zh-CN"/>
              </w:rPr>
              <w:t>00896</w:t>
            </w:r>
            <w:r>
              <w:rPr>
                <w:rFonts w:hint="default" w:ascii="Times New Roman" w:hAnsi="Times New Roman" w:eastAsia="宋体" w:cs="Times New Roman"/>
                <w:b w:val="0"/>
                <w:bCs w:val="0"/>
                <w:color w:val="000000"/>
                <w:spacing w:val="0"/>
                <w:kern w:val="0"/>
                <w:sz w:val="24"/>
                <w:szCs w:val="24"/>
                <w:highlight w:val="none"/>
                <w:lang w:val="en-US" w:eastAsia="zh-CN"/>
              </w:rPr>
              <w:t>kg/h，产生浓度</w:t>
            </w:r>
            <w:r>
              <w:rPr>
                <w:rFonts w:hint="eastAsia" w:eastAsia="宋体" w:cs="Times New Roman"/>
                <w:b w:val="0"/>
                <w:bCs w:val="0"/>
                <w:color w:val="000000"/>
                <w:spacing w:val="0"/>
                <w:kern w:val="0"/>
                <w:sz w:val="24"/>
                <w:szCs w:val="24"/>
                <w:highlight w:val="none"/>
                <w:lang w:val="en-US" w:eastAsia="zh-CN"/>
              </w:rPr>
              <w:t>1.12</w:t>
            </w:r>
            <w:r>
              <w:rPr>
                <w:rFonts w:hint="default" w:ascii="Times New Roman" w:hAnsi="Times New Roman" w:eastAsia="宋体" w:cs="Times New Roman"/>
                <w:b w:val="0"/>
                <w:bCs w:val="0"/>
                <w:color w:val="000000"/>
                <w:spacing w:val="0"/>
                <w:kern w:val="0"/>
                <w:sz w:val="24"/>
                <w:szCs w:val="24"/>
                <w:highlight w:val="none"/>
                <w:lang w:val="en-US" w:eastAsia="zh-CN"/>
              </w:rPr>
              <w:t>mg/m</w:t>
            </w:r>
            <w:r>
              <w:rPr>
                <w:rFonts w:hint="default" w:ascii="Times New Roman" w:hAnsi="Times New Roman" w:eastAsia="宋体" w:cs="Times New Roman"/>
                <w:b w:val="0"/>
                <w:bCs w:val="0"/>
                <w:color w:val="000000"/>
                <w:spacing w:val="0"/>
                <w:kern w:val="0"/>
                <w:sz w:val="24"/>
                <w:szCs w:val="24"/>
                <w:highlight w:val="none"/>
                <w:vertAlign w:val="superscript"/>
                <w:lang w:val="en-US" w:eastAsia="zh-CN"/>
              </w:rPr>
              <w:t>3</w:t>
            </w:r>
            <w:r>
              <w:rPr>
                <w:rFonts w:hint="default" w:ascii="Times New Roman" w:hAnsi="Times New Roman" w:eastAsia="宋体" w:cs="Times New Roman"/>
                <w:b w:val="0"/>
                <w:bCs w:val="0"/>
                <w:color w:val="000000"/>
                <w:spacing w:val="0"/>
                <w:kern w:val="0"/>
                <w:sz w:val="24"/>
                <w:szCs w:val="24"/>
                <w:highlight w:val="none"/>
                <w:lang w:val="en-US" w:eastAsia="zh-CN"/>
              </w:rPr>
              <w:t>。</w:t>
            </w:r>
          </w:p>
          <w:p w14:paraId="40740928">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1.1.4</w:t>
            </w:r>
            <w:r>
              <w:rPr>
                <w:rFonts w:hint="default" w:ascii="Times New Roman" w:hAnsi="Times New Roman" w:eastAsia="宋体" w:cs="Times New Roman"/>
                <w:b/>
                <w:bCs/>
                <w:sz w:val="24"/>
                <w:szCs w:val="24"/>
                <w:lang w:val="en-US" w:eastAsia="zh-CN"/>
              </w:rPr>
              <w:t>氮氧化物</w:t>
            </w:r>
          </w:p>
          <w:p w14:paraId="6CF182C1">
            <w:pPr>
              <w:keepNext w:val="0"/>
              <w:keepLines w:val="0"/>
              <w:pageBreakBefore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sz w:val="24"/>
                <w:szCs w:val="24"/>
              </w:rPr>
              <w:t>①</w:t>
            </w:r>
            <w:r>
              <w:rPr>
                <w:rFonts w:hint="default" w:ascii="Times New Roman" w:hAnsi="Times New Roman" w:eastAsia="宋体" w:cs="Times New Roman"/>
                <w:b w:val="0"/>
                <w:bCs w:val="0"/>
                <w:color w:val="000000"/>
                <w:spacing w:val="0"/>
                <w:kern w:val="0"/>
                <w:sz w:val="24"/>
                <w:szCs w:val="24"/>
                <w:lang w:val="en-US" w:eastAsia="zh-CN"/>
              </w:rPr>
              <w:t>RS-50热风炉</w:t>
            </w:r>
            <w:r>
              <w:rPr>
                <w:rFonts w:hint="default" w:ascii="Times New Roman" w:hAnsi="Times New Roman" w:eastAsia="宋体" w:cs="Times New Roman"/>
                <w:b w:val="0"/>
                <w:bCs w:val="0"/>
                <w:color w:val="000000"/>
                <w:spacing w:val="0"/>
                <w:kern w:val="0"/>
                <w:sz w:val="24"/>
                <w:szCs w:val="24"/>
                <w:lang w:val="en-US" w:eastAsia="zh-CN" w:bidi="ar-SA"/>
              </w:rPr>
              <w:t>氮氧化物</w:t>
            </w:r>
          </w:p>
          <w:p w14:paraId="1CA5DBAF">
            <w:pPr>
              <w:pStyle w:val="12"/>
              <w:keepNext w:val="0"/>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RS-50用气量为58m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/h，本项目年工作天数为180天，每天工作24h，全年生产4320h，故天然气年最大用量为25.1万m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cs="Times New Roman"/>
                <w:sz w:val="24"/>
                <w:szCs w:val="24"/>
                <w:lang w:eastAsia="zh-CN"/>
              </w:rPr>
              <w:t>（</w:t>
            </w:r>
            <w:r>
              <w:rPr>
                <w:rFonts w:hint="default" w:ascii="Times New Roman" w:hAnsi="Times New Roman" w:eastAsia="宋体" w:cs="Times New Roman"/>
                <w:sz w:val="24"/>
                <w:szCs w:val="24"/>
              </w:rPr>
              <w:t>窑</w:t>
            </w:r>
            <w:r>
              <w:rPr>
                <w:rFonts w:hint="eastAsia" w:cs="Times New Roman"/>
                <w:sz w:val="24"/>
                <w:szCs w:val="24"/>
                <w:lang w:eastAsia="zh-CN"/>
              </w:rPr>
              <w:t>）</w:t>
            </w:r>
            <w:r>
              <w:rPr>
                <w:rFonts w:hint="default" w:ascii="Times New Roman" w:hAnsi="Times New Roman" w:eastAsia="宋体" w:cs="Times New Roman"/>
                <w:sz w:val="24"/>
                <w:szCs w:val="24"/>
              </w:rPr>
              <w:t>排放口参考绩效值表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MJ/m，氮氧化物绩效值=2.</w:t>
            </w:r>
            <w:r>
              <w:rPr>
                <w:rFonts w:hint="default" w:ascii="Times New Roman" w:hAnsi="Times New Roman" w:eastAsia="宋体" w:cs="Times New Roman"/>
                <w:sz w:val="24"/>
                <w:szCs w:val="24"/>
                <w:lang w:val="en-US" w:eastAsia="zh-CN"/>
              </w:rPr>
              <w:t>339</w:t>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lang w:val="en-US" w:eastAsia="zh-CN"/>
              </w:rPr>
              <w:t>09</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339</w:t>
            </w:r>
            <w:r>
              <w:rPr>
                <w:rFonts w:hint="default" w:ascii="Times New Roman" w:hAnsi="Times New Roman" w:eastAsia="宋体" w:cs="Times New Roman"/>
                <w:sz w:val="24"/>
                <w:szCs w:val="24"/>
              </w:rPr>
              <w:t>)x(3</w:t>
            </w:r>
            <w:r>
              <w:rPr>
                <w:rFonts w:hint="default" w:ascii="Times New Roman" w:hAnsi="Times New Roman" w:eastAsia="宋体" w:cs="Times New Roman"/>
                <w:sz w:val="24"/>
                <w:szCs w:val="24"/>
                <w:lang w:val="en-US" w:eastAsia="zh-CN"/>
              </w:rPr>
              <w:t>2.95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3.50</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2.372</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燃料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热风炉烟气中氮氧化物产生量</w:t>
            </w:r>
            <w:r>
              <w:rPr>
                <w:rFonts w:hint="eastAsia" w:cs="Times New Roman"/>
                <w:sz w:val="24"/>
                <w:szCs w:val="24"/>
                <w:lang w:val="en-US" w:eastAsia="zh-CN"/>
              </w:rPr>
              <w:t>应</w:t>
            </w:r>
            <w:r>
              <w:rPr>
                <w:rFonts w:hint="default" w:ascii="Times New Roman" w:hAnsi="Times New Roman" w:eastAsia="宋体" w:cs="Times New Roman"/>
                <w:sz w:val="24"/>
                <w:szCs w:val="24"/>
                <w:lang w:val="en-US" w:eastAsia="zh-CN"/>
              </w:rPr>
              <w:t>为：2.372</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lang w:val="en-US" w:eastAsia="zh-CN"/>
              </w:rPr>
              <w:t>251000/</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595</w:t>
            </w:r>
            <w:r>
              <w:rPr>
                <w:rFonts w:hint="default" w:ascii="Times New Roman" w:hAnsi="Times New Roman" w:eastAsia="宋体" w:cs="Times New Roman"/>
                <w:sz w:val="24"/>
                <w:szCs w:val="24"/>
              </w:rPr>
              <w:t>t/a。</w:t>
            </w:r>
          </w:p>
          <w:p w14:paraId="09C8235E">
            <w:pPr>
              <w:pStyle w:val="3"/>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lang w:val="en-US" w:eastAsia="zh-CN"/>
              </w:rPr>
              <w:t>RS-130热风炉氮氧化物</w:t>
            </w:r>
          </w:p>
          <w:p w14:paraId="1406CB01">
            <w:pPr>
              <w:pStyle w:val="12"/>
              <w:keepNext w:val="0"/>
              <w:keepLines w:val="0"/>
              <w:pageBreakBefore w:val="0"/>
              <w:widowControl/>
              <w:numPr>
                <w:ilvl w:val="0"/>
                <w:numId w:val="0"/>
              </w:numPr>
              <w:suppressLineNumbers w:val="0"/>
              <w:kinsoku/>
              <w:wordWrap/>
              <w:overflowPunct w:val="0"/>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color w:val="000000"/>
                <w:spacing w:val="0"/>
                <w:kern w:val="0"/>
                <w:sz w:val="24"/>
                <w:szCs w:val="24"/>
                <w:lang w:val="en-US" w:eastAsia="zh-CN"/>
              </w:rPr>
              <w:t>RS-130用气量为151m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/h，本项目年工作天数为180天，每天工作24h，全年生产4320h，故天然气年最大用量为65.2万m</w:t>
            </w:r>
            <w:r>
              <w:rPr>
                <w:rFonts w:hint="default" w:ascii="Times New Roman" w:hAnsi="Times New Roman" w:eastAsia="宋体" w:cs="Times New Roman"/>
                <w:b w:val="0"/>
                <w:bCs w:val="0"/>
                <w:color w:val="000000"/>
                <w:spacing w:val="0"/>
                <w:kern w:val="0"/>
                <w:sz w:val="24"/>
                <w:szCs w:val="24"/>
                <w:vertAlign w:val="superscript"/>
                <w:lang w:val="en-US" w:eastAsia="zh-CN"/>
              </w:rPr>
              <w:t>3</w:t>
            </w:r>
            <w:r>
              <w:rPr>
                <w:rFonts w:hint="default" w:ascii="Times New Roman" w:hAnsi="Times New Roman" w:eastAsia="宋体" w:cs="Times New Roman"/>
                <w:b w:val="0"/>
                <w:bCs w:val="0"/>
                <w:color w:val="000000"/>
                <w:spacing w:val="0"/>
                <w:kern w:val="0"/>
                <w:sz w:val="24"/>
                <w:szCs w:val="24"/>
                <w:lang w:val="en-US" w:eastAsia="zh-CN"/>
              </w:rPr>
              <w:t>/a（标准状况），</w:t>
            </w:r>
            <w:r>
              <w:rPr>
                <w:rFonts w:hint="default" w:ascii="Times New Roman" w:hAnsi="Times New Roman" w:eastAsia="宋体" w:cs="Times New Roman"/>
                <w:sz w:val="24"/>
                <w:szCs w:val="24"/>
              </w:rPr>
              <w:t>各污染物排放量参考《排污许可证申请与核发技术规范 工业炉窑》</w:t>
            </w:r>
            <w:r>
              <w:rPr>
                <w:rFonts w:hint="eastAsia" w:cs="Times New Roman"/>
                <w:sz w:val="24"/>
                <w:szCs w:val="24"/>
                <w:lang w:eastAsia="zh-CN"/>
              </w:rPr>
              <w:t>（</w:t>
            </w:r>
            <w:r>
              <w:rPr>
                <w:rFonts w:hint="default" w:ascii="Times New Roman" w:hAnsi="Times New Roman" w:eastAsia="宋体" w:cs="Times New Roman"/>
                <w:sz w:val="24"/>
                <w:szCs w:val="24"/>
              </w:rPr>
              <w:t>HJ1121-2020</w:t>
            </w:r>
            <w:r>
              <w:rPr>
                <w:rFonts w:hint="eastAsia" w:cs="Times New Roman"/>
                <w:sz w:val="24"/>
                <w:szCs w:val="24"/>
                <w:lang w:eastAsia="zh-CN"/>
              </w:rPr>
              <w:t>）</w:t>
            </w:r>
            <w:r>
              <w:rPr>
                <w:rFonts w:hint="default" w:ascii="Times New Roman" w:hAnsi="Times New Roman" w:eastAsia="宋体" w:cs="Times New Roman"/>
                <w:sz w:val="24"/>
                <w:szCs w:val="24"/>
              </w:rPr>
              <w:t>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表6加热炉、热处理炉、干燥炉</w:t>
            </w:r>
            <w:r>
              <w:rPr>
                <w:rFonts w:hint="eastAsia" w:cs="Times New Roman"/>
                <w:sz w:val="24"/>
                <w:szCs w:val="24"/>
                <w:lang w:eastAsia="zh-CN"/>
              </w:rPr>
              <w:t>（</w:t>
            </w:r>
            <w:r>
              <w:rPr>
                <w:rFonts w:hint="default" w:ascii="Times New Roman" w:hAnsi="Times New Roman" w:eastAsia="宋体" w:cs="Times New Roman"/>
                <w:sz w:val="24"/>
                <w:szCs w:val="24"/>
              </w:rPr>
              <w:t>窑</w:t>
            </w:r>
            <w:r>
              <w:rPr>
                <w:rFonts w:hint="eastAsia" w:cs="Times New Roman"/>
                <w:sz w:val="24"/>
                <w:szCs w:val="24"/>
                <w:lang w:eastAsia="zh-CN"/>
              </w:rPr>
              <w:t>）</w:t>
            </w:r>
            <w:r>
              <w:rPr>
                <w:rFonts w:hint="default" w:ascii="Times New Roman" w:hAnsi="Times New Roman" w:eastAsia="宋体" w:cs="Times New Roman"/>
                <w:sz w:val="24"/>
                <w:szCs w:val="24"/>
              </w:rPr>
              <w:t>排放口参考绩效值表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中气体燃料低位热值对应的绩效值计算。本项目天然气低位发热量为</w:t>
            </w:r>
            <w:r>
              <w:rPr>
                <w:rFonts w:hint="default" w:ascii="Times New Roman" w:hAnsi="Times New Roman" w:eastAsia="宋体" w:cs="Times New Roman"/>
                <w:sz w:val="24"/>
                <w:szCs w:val="24"/>
                <w:lang w:val="en-US" w:eastAsia="zh-CN"/>
              </w:rPr>
              <w:t>32.95</w:t>
            </w:r>
            <w:r>
              <w:rPr>
                <w:rFonts w:hint="default" w:ascii="Times New Roman" w:hAnsi="Times New Roman" w:eastAsia="宋体" w:cs="Times New Roman"/>
                <w:sz w:val="24"/>
                <w:szCs w:val="24"/>
              </w:rPr>
              <w:t>MJ/m，氮氧化物绩效值=2.</w:t>
            </w:r>
            <w:r>
              <w:rPr>
                <w:rFonts w:hint="default" w:ascii="Times New Roman" w:hAnsi="Times New Roman" w:eastAsia="宋体" w:cs="Times New Roman"/>
                <w:sz w:val="24"/>
                <w:szCs w:val="24"/>
                <w:lang w:val="en-US" w:eastAsia="zh-CN"/>
              </w:rPr>
              <w:t>339</w:t>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lang w:val="en-US" w:eastAsia="zh-CN"/>
              </w:rPr>
              <w:t>09</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339</w:t>
            </w:r>
            <w:r>
              <w:rPr>
                <w:rFonts w:hint="default" w:ascii="Times New Roman" w:hAnsi="Times New Roman" w:eastAsia="宋体" w:cs="Times New Roman"/>
                <w:sz w:val="24"/>
                <w:szCs w:val="24"/>
              </w:rPr>
              <w:t>)x(3</w:t>
            </w:r>
            <w:r>
              <w:rPr>
                <w:rFonts w:hint="default" w:ascii="Times New Roman" w:hAnsi="Times New Roman" w:eastAsia="宋体" w:cs="Times New Roman"/>
                <w:sz w:val="24"/>
                <w:szCs w:val="24"/>
                <w:lang w:val="en-US" w:eastAsia="zh-CN"/>
              </w:rPr>
              <w:t>2.95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3.50</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2.45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2.372</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燃料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热风炉烟气中氮氧化物产生量</w:t>
            </w:r>
            <w:r>
              <w:rPr>
                <w:rFonts w:hint="eastAsia" w:cs="Times New Roman"/>
                <w:sz w:val="24"/>
                <w:szCs w:val="24"/>
                <w:lang w:val="en-US" w:eastAsia="zh-CN"/>
              </w:rPr>
              <w:t>应</w:t>
            </w:r>
            <w:r>
              <w:rPr>
                <w:rFonts w:hint="default" w:ascii="Times New Roman" w:hAnsi="Times New Roman" w:eastAsia="宋体" w:cs="Times New Roman"/>
                <w:sz w:val="24"/>
                <w:szCs w:val="24"/>
                <w:lang w:val="en-US" w:eastAsia="zh-CN"/>
              </w:rPr>
              <w:t>为：2.372</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lang w:val="en-US" w:eastAsia="zh-CN"/>
              </w:rPr>
              <w:t>251000/</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vertAlign w:val="superscript"/>
              </w:rPr>
              <w:t>6</w:t>
            </w:r>
            <w:r>
              <w:rPr>
                <w:rFonts w:hint="default" w:ascii="Times New Roman" w:hAnsi="Times New Roman" w:eastAsia="宋体" w:cs="Times New Roman"/>
                <w:sz w:val="24"/>
                <w:szCs w:val="24"/>
                <w:lang w:val="en-US" w:eastAsia="zh-CN"/>
              </w:rPr>
              <w:t>=1.547</w:t>
            </w:r>
            <w:r>
              <w:rPr>
                <w:rFonts w:hint="default" w:ascii="Times New Roman" w:hAnsi="Times New Roman" w:eastAsia="宋体" w:cs="Times New Roman"/>
                <w:sz w:val="24"/>
                <w:szCs w:val="24"/>
              </w:rPr>
              <w:t>t/a。</w:t>
            </w:r>
          </w:p>
          <w:p w14:paraId="089ADC24">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pacing w:val="0"/>
                <w:kern w:val="0"/>
                <w:sz w:val="24"/>
                <w:szCs w:val="24"/>
                <w:highlight w:val="none"/>
                <w:lang w:val="en-US" w:eastAsia="zh-CN"/>
              </w:rPr>
            </w:pPr>
            <w:r>
              <w:rPr>
                <w:rFonts w:hint="default" w:ascii="Times New Roman" w:hAnsi="Times New Roman" w:eastAsia="宋体" w:cs="Times New Roman"/>
                <w:sz w:val="24"/>
                <w:szCs w:val="24"/>
                <w:lang w:val="en-US" w:eastAsia="zh-CN"/>
              </w:rPr>
              <w:t>综上本项目烘干工序产生的氮氧化物</w:t>
            </w:r>
            <w:r>
              <w:rPr>
                <w:rFonts w:hint="eastAsia" w:cs="Times New Roman"/>
                <w:sz w:val="24"/>
                <w:szCs w:val="24"/>
                <w:lang w:val="en-US" w:eastAsia="zh-CN"/>
              </w:rPr>
              <w:t>在未采用低氮燃烧技术时产生量</w:t>
            </w:r>
            <w:r>
              <w:rPr>
                <w:rFonts w:hint="default" w:ascii="Times New Roman" w:hAnsi="Times New Roman" w:eastAsia="宋体" w:cs="Times New Roman"/>
                <w:sz w:val="24"/>
                <w:szCs w:val="24"/>
                <w:lang w:val="en-US" w:eastAsia="zh-CN"/>
              </w:rPr>
              <w:t>为2.142t/a。</w:t>
            </w:r>
            <w:r>
              <w:rPr>
                <w:rFonts w:hint="eastAsia" w:cs="Times New Roman"/>
                <w:sz w:val="24"/>
                <w:szCs w:val="24"/>
                <w:lang w:val="en-US" w:eastAsia="zh-CN"/>
              </w:rPr>
              <w:t>由于</w:t>
            </w:r>
            <w:r>
              <w:rPr>
                <w:rFonts w:hint="eastAsia" w:cs="Times New Roman"/>
                <w:b w:val="0"/>
                <w:bCs w:val="0"/>
                <w:color w:val="000000"/>
                <w:spacing w:val="0"/>
                <w:kern w:val="0"/>
                <w:sz w:val="24"/>
                <w:szCs w:val="24"/>
                <w:highlight w:val="none"/>
                <w:lang w:val="en-US" w:eastAsia="zh-CN"/>
              </w:rPr>
              <w:t>本项目热风炉采用低氮燃烧技术，参考</w:t>
            </w:r>
            <w:r>
              <w:rPr>
                <w:rFonts w:hint="default" w:ascii="Times New Roman" w:hAnsi="Times New Roman" w:eastAsia="宋体" w:cs="Times New Roman"/>
                <w:b w:val="0"/>
                <w:bCs w:val="0"/>
                <w:color w:val="000000"/>
                <w:spacing w:val="0"/>
                <w:kern w:val="0"/>
                <w:sz w:val="24"/>
                <w:szCs w:val="24"/>
                <w:highlight w:val="none"/>
                <w:lang w:val="en-US" w:eastAsia="zh-CN"/>
              </w:rPr>
              <w:t>《排放源统计调查产排污核算方法和系数手册》-“4430工业锅炉（热力供应）行业系数手册”</w:t>
            </w:r>
            <w:r>
              <w:rPr>
                <w:rFonts w:hint="eastAsia" w:eastAsia="宋体" w:cs="Times New Roman"/>
                <w:b w:val="0"/>
                <w:bCs w:val="0"/>
                <w:color w:val="000000"/>
                <w:spacing w:val="0"/>
                <w:kern w:val="0"/>
                <w:sz w:val="24"/>
                <w:szCs w:val="24"/>
                <w:highlight w:val="none"/>
                <w:lang w:val="en-US" w:eastAsia="zh-CN"/>
              </w:rPr>
              <w:t>低氮燃烧</w:t>
            </w:r>
            <w:r>
              <w:rPr>
                <w:rFonts w:hint="default" w:ascii="Times New Roman" w:hAnsi="Times New Roman" w:eastAsia="宋体" w:cs="Times New Roman"/>
                <w:b w:val="0"/>
                <w:bCs w:val="0"/>
                <w:color w:val="000000"/>
                <w:spacing w:val="0"/>
                <w:kern w:val="0"/>
                <w:sz w:val="24"/>
                <w:szCs w:val="24"/>
                <w:highlight w:val="none"/>
                <w:lang w:val="en-US" w:eastAsia="zh-CN"/>
              </w:rPr>
              <w:t>处理效率为</w:t>
            </w:r>
            <w:r>
              <w:rPr>
                <w:rFonts w:hint="eastAsia" w:eastAsia="宋体" w:cs="Times New Roman"/>
                <w:b w:val="0"/>
                <w:bCs w:val="0"/>
                <w:color w:val="000000"/>
                <w:spacing w:val="0"/>
                <w:kern w:val="0"/>
                <w:sz w:val="24"/>
                <w:szCs w:val="24"/>
                <w:highlight w:val="none"/>
                <w:lang w:val="en-US" w:eastAsia="zh-CN"/>
              </w:rPr>
              <w:t>3</w:t>
            </w:r>
            <w:r>
              <w:rPr>
                <w:rFonts w:hint="default" w:ascii="Times New Roman" w:hAnsi="Times New Roman" w:eastAsia="宋体" w:cs="Times New Roman"/>
                <w:b w:val="0"/>
                <w:bCs w:val="0"/>
                <w:color w:val="000000"/>
                <w:spacing w:val="0"/>
                <w:kern w:val="0"/>
                <w:sz w:val="24"/>
                <w:szCs w:val="24"/>
                <w:highlight w:val="none"/>
                <w:lang w:val="en-US" w:eastAsia="zh-CN"/>
              </w:rPr>
              <w:t>0%，</w:t>
            </w:r>
            <w:r>
              <w:rPr>
                <w:rFonts w:hint="eastAsia" w:eastAsia="宋体" w:cs="Times New Roman"/>
                <w:b w:val="0"/>
                <w:bCs w:val="0"/>
                <w:color w:val="000000"/>
                <w:spacing w:val="0"/>
                <w:kern w:val="0"/>
                <w:sz w:val="24"/>
                <w:szCs w:val="24"/>
                <w:highlight w:val="none"/>
                <w:lang w:val="en-US" w:eastAsia="zh-CN"/>
              </w:rPr>
              <w:t>本项目</w:t>
            </w:r>
            <w:r>
              <w:rPr>
                <w:rFonts w:hint="default" w:ascii="Times New Roman" w:hAnsi="Times New Roman" w:eastAsia="宋体" w:cs="Times New Roman"/>
                <w:sz w:val="24"/>
                <w:szCs w:val="24"/>
                <w:lang w:val="en-US" w:eastAsia="zh-CN"/>
              </w:rPr>
              <w:t>氮氧化物</w:t>
            </w:r>
            <w:r>
              <w:rPr>
                <w:rFonts w:hint="eastAsia" w:cs="Times New Roman"/>
                <w:sz w:val="24"/>
                <w:szCs w:val="24"/>
                <w:lang w:val="en-US" w:eastAsia="zh-CN"/>
              </w:rPr>
              <w:t>实际产生量</w:t>
            </w:r>
            <w:r>
              <w:rPr>
                <w:rFonts w:hint="default" w:ascii="Times New Roman" w:hAnsi="Times New Roman" w:eastAsia="宋体" w:cs="Times New Roman"/>
                <w:sz w:val="24"/>
                <w:szCs w:val="24"/>
                <w:lang w:val="en-US" w:eastAsia="zh-CN"/>
              </w:rPr>
              <w:t>为</w:t>
            </w:r>
            <w:r>
              <w:rPr>
                <w:rFonts w:hint="eastAsia" w:eastAsia="宋体" w:cs="Times New Roman"/>
                <w:sz w:val="24"/>
                <w:szCs w:val="24"/>
                <w:lang w:val="en-US" w:eastAsia="zh-CN"/>
              </w:rPr>
              <w:t>1.499</w:t>
            </w:r>
            <w:r>
              <w:rPr>
                <w:rFonts w:hint="default" w:ascii="Times New Roman" w:hAnsi="Times New Roman" w:eastAsia="宋体" w:cs="Times New Roman"/>
                <w:sz w:val="24"/>
                <w:szCs w:val="24"/>
                <w:lang w:val="en-US" w:eastAsia="zh-CN"/>
              </w:rPr>
              <w:t>t/a。产生速率为0.</w:t>
            </w:r>
            <w:r>
              <w:rPr>
                <w:rFonts w:hint="eastAsia" w:eastAsia="宋体" w:cs="Times New Roman"/>
                <w:sz w:val="24"/>
                <w:szCs w:val="24"/>
                <w:lang w:val="en-US" w:eastAsia="zh-CN"/>
              </w:rPr>
              <w:t>347</w:t>
            </w:r>
            <w:r>
              <w:rPr>
                <w:rFonts w:hint="default" w:ascii="Times New Roman" w:hAnsi="Times New Roman" w:eastAsia="宋体" w:cs="Times New Roman"/>
                <w:b w:val="0"/>
                <w:bCs w:val="0"/>
                <w:color w:val="000000"/>
                <w:spacing w:val="0"/>
                <w:kern w:val="0"/>
                <w:sz w:val="24"/>
                <w:szCs w:val="24"/>
                <w:highlight w:val="none"/>
                <w:lang w:val="en-US" w:eastAsia="zh-CN"/>
              </w:rPr>
              <w:t>kg/h，产生浓度</w:t>
            </w:r>
            <w:r>
              <w:rPr>
                <w:rFonts w:hint="eastAsia" w:eastAsia="宋体" w:cs="Times New Roman"/>
                <w:b w:val="0"/>
                <w:bCs w:val="0"/>
                <w:color w:val="000000"/>
                <w:spacing w:val="0"/>
                <w:kern w:val="0"/>
                <w:sz w:val="24"/>
                <w:szCs w:val="24"/>
                <w:highlight w:val="none"/>
                <w:lang w:val="en-US" w:eastAsia="zh-CN"/>
              </w:rPr>
              <w:t>43.375</w:t>
            </w:r>
            <w:r>
              <w:rPr>
                <w:rFonts w:hint="default" w:ascii="Times New Roman" w:hAnsi="Times New Roman" w:eastAsia="宋体" w:cs="Times New Roman"/>
                <w:b w:val="0"/>
                <w:bCs w:val="0"/>
                <w:color w:val="000000"/>
                <w:spacing w:val="0"/>
                <w:kern w:val="0"/>
                <w:sz w:val="24"/>
                <w:szCs w:val="24"/>
                <w:highlight w:val="none"/>
                <w:lang w:val="en-US" w:eastAsia="zh-CN"/>
              </w:rPr>
              <w:t>mg/m</w:t>
            </w:r>
            <w:r>
              <w:rPr>
                <w:rFonts w:hint="default" w:ascii="Times New Roman" w:hAnsi="Times New Roman" w:eastAsia="宋体" w:cs="Times New Roman"/>
                <w:b w:val="0"/>
                <w:bCs w:val="0"/>
                <w:color w:val="000000"/>
                <w:spacing w:val="0"/>
                <w:kern w:val="0"/>
                <w:sz w:val="24"/>
                <w:szCs w:val="24"/>
                <w:highlight w:val="none"/>
                <w:vertAlign w:val="superscript"/>
                <w:lang w:val="en-US" w:eastAsia="zh-CN"/>
              </w:rPr>
              <w:t>3</w:t>
            </w:r>
            <w:r>
              <w:rPr>
                <w:rFonts w:hint="default" w:ascii="Times New Roman" w:hAnsi="Times New Roman" w:eastAsia="宋体" w:cs="Times New Roman"/>
                <w:b w:val="0"/>
                <w:bCs w:val="0"/>
                <w:color w:val="000000"/>
                <w:spacing w:val="0"/>
                <w:kern w:val="0"/>
                <w:sz w:val="24"/>
                <w:szCs w:val="24"/>
                <w:highlight w:val="none"/>
                <w:lang w:val="en-US" w:eastAsia="zh-CN"/>
              </w:rPr>
              <w:t>。</w:t>
            </w:r>
          </w:p>
          <w:p w14:paraId="586EEF60">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2" w:firstLineChars="200"/>
              <w:textAlignment w:val="auto"/>
              <w:rPr>
                <w:rFonts w:hint="default" w:ascii="Times New Roman" w:hAnsi="Times New Roman" w:eastAsia="宋体" w:cs="Times New Roman"/>
                <w:color w:val="000000"/>
                <w:spacing w:val="0"/>
                <w:kern w:val="0"/>
                <w:sz w:val="24"/>
                <w:szCs w:val="24"/>
              </w:rPr>
            </w:pPr>
            <w:r>
              <w:rPr>
                <w:rFonts w:hint="default" w:ascii="Times New Roman" w:hAnsi="Times New Roman" w:eastAsia="宋体" w:cs="Times New Roman"/>
                <w:b/>
                <w:bCs/>
                <w:color w:val="000000"/>
                <w:spacing w:val="0"/>
                <w:kern w:val="0"/>
                <w:sz w:val="24"/>
                <w:szCs w:val="24"/>
              </w:rPr>
              <w:t>1.2废气治理措施及影响分析</w:t>
            </w:r>
          </w:p>
          <w:p w14:paraId="5645B563">
            <w:pPr>
              <w:keepNext w:val="0"/>
              <w:keepLines w:val="0"/>
              <w:pageBreakBefore w:val="0"/>
              <w:suppressLineNumbers w:val="0"/>
              <w:tabs>
                <w:tab w:val="left" w:pos="0"/>
              </w:tabs>
              <w:kinsoku/>
              <w:wordWrap/>
              <w:overflowPunct w:val="0"/>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pacing w:val="0"/>
                <w:kern w:val="0"/>
                <w:sz w:val="24"/>
                <w:szCs w:val="24"/>
                <w:highlight w:val="none"/>
                <w:lang w:val="en-US" w:eastAsia="zh-CN"/>
              </w:rPr>
            </w:pPr>
            <w:r>
              <w:rPr>
                <w:rFonts w:hint="eastAsia" w:ascii="Times New Roman" w:hAnsi="Times New Roman" w:eastAsia="宋体" w:cs="Times New Roman"/>
                <w:color w:val="000000"/>
                <w:spacing w:val="0"/>
                <w:kern w:val="0"/>
                <w:sz w:val="24"/>
                <w:szCs w:val="24"/>
                <w:highlight w:val="none"/>
                <w:lang w:val="en-US" w:eastAsia="zh-CN"/>
              </w:rPr>
              <w:t>本项目烘干工序产生的</w:t>
            </w:r>
            <w:r>
              <w:rPr>
                <w:rFonts w:hint="eastAsia" w:cs="Times New Roman"/>
                <w:color w:val="000000"/>
                <w:spacing w:val="0"/>
                <w:kern w:val="0"/>
                <w:sz w:val="24"/>
                <w:szCs w:val="24"/>
                <w:highlight w:val="none"/>
                <w:lang w:val="en-US" w:eastAsia="zh-CN"/>
              </w:rPr>
              <w:t>硫酸雾</w:t>
            </w:r>
            <w:r>
              <w:rPr>
                <w:rFonts w:hint="eastAsia" w:ascii="Times New Roman" w:hAnsi="Times New Roman" w:eastAsia="宋体" w:cs="Times New Roman"/>
                <w:color w:val="000000"/>
                <w:spacing w:val="0"/>
                <w:kern w:val="0"/>
                <w:sz w:val="24"/>
                <w:szCs w:val="24"/>
                <w:highlight w:val="none"/>
                <w:lang w:val="en-US" w:eastAsia="zh-CN"/>
              </w:rPr>
              <w:t>，硫酸具有强腐蚀性，而布袋除尘器的滤袋多由涤纶、丙纶等化纤材料或棉、毛等天然纤维制成，这些材料均不耐浓硫酸腐蚀。当含硫酸的颗粒物与滤袋接触时，浓硫酸会迅速破坏滤袋的纤维结构，导致滤袋被腐蚀、烧穿，不仅失去过滤功能，还会因滤袋破损造成颗粒物直接泄漏，污染环境，同时频繁更换滤袋也会大幅增加运行成本，</w:t>
            </w:r>
            <w:r>
              <w:rPr>
                <w:rFonts w:hint="eastAsia" w:cs="Times New Roman"/>
                <w:color w:val="000000"/>
                <w:spacing w:val="0"/>
                <w:kern w:val="0"/>
                <w:sz w:val="24"/>
                <w:szCs w:val="24"/>
                <w:highlight w:val="none"/>
                <w:lang w:val="en-US" w:eastAsia="zh-CN"/>
              </w:rPr>
              <w:t>如先进行碱洗，棉尘中的短纤维和细小颗粒会随气流进入碱洗塔，被喷淋的碱液湿润后，会黏附在喷嘴、管道内壁和循环泵叶轮上。由于棉纤维具有韧性，易缠绕在喷嘴的细小孔径（通常2-5mm）处，与碱液中生成的硫酸盐结晶结合，形成“纤维-盐垢”复合堵塞物，导致喷嘴雾化效果骤降、流量分布不均，甚至完全堵死，严重影响碱洗塔的传质效率，</w:t>
            </w:r>
            <w:r>
              <w:rPr>
                <w:rFonts w:hint="eastAsia" w:ascii="Times New Roman" w:hAnsi="Times New Roman" w:eastAsia="宋体" w:cs="Times New Roman"/>
                <w:color w:val="000000"/>
                <w:spacing w:val="0"/>
                <w:kern w:val="0"/>
                <w:sz w:val="24"/>
                <w:szCs w:val="24"/>
                <w:highlight w:val="none"/>
                <w:lang w:val="en-US" w:eastAsia="zh-CN"/>
              </w:rPr>
              <w:t>因此该场景下布袋除尘器完全不适用</w:t>
            </w:r>
            <w:r>
              <w:rPr>
                <w:rFonts w:hint="eastAsia" w:cs="Times New Roman"/>
                <w:color w:val="000000"/>
                <w:spacing w:val="0"/>
                <w:kern w:val="0"/>
                <w:sz w:val="24"/>
                <w:szCs w:val="24"/>
                <w:highlight w:val="none"/>
                <w:lang w:val="en-US" w:eastAsia="zh-CN"/>
              </w:rPr>
              <w:t>。</w:t>
            </w:r>
          </w:p>
          <w:p w14:paraId="1D6EE550">
            <w:pPr>
              <w:pStyle w:val="3"/>
              <w:keepNext w:val="0"/>
              <w:keepLines w:val="0"/>
              <w:suppressLineNumbers w:val="0"/>
              <w:spacing w:before="0" w:beforeAutospacing="0" w:after="0" w:afterAutospacing="0"/>
              <w:ind w:left="0" w:right="0"/>
              <w:rPr>
                <w:rFonts w:hint="default"/>
                <w:lang w:val="en-US" w:eastAsia="zh-CN"/>
              </w:rPr>
            </w:pPr>
            <w:r>
              <w:rPr>
                <w:rFonts w:hint="default"/>
                <w:lang w:val="en-US" w:eastAsia="zh-CN"/>
              </w:rPr>
              <w:t>碱洗喷淋塔工作原理：废气由风机通过布局的风道泵入喷淋塔，气体从下到上高速移动，在喷淋水中加入一定比例NaOH，使硫酸雾与从上到下的喷淋水触碰，发生化学反应，中和硫酸雾，实现良好的正确处理的效果。含尘气流向上运动，液滴由喷嘴喷出向下运动，粉尘颗粒与液滴之间通过惯性碰撞、接触阻留、粉尘因加湿而凝聚等作用机制，使较大的尘粒被液滴捕集，塔中过滤填料层可以吸附去除颗粒物和氮氧化物，实现净化处理的目的，净化处理后的气体直接从喷淋塔顶端的排气管排出来，洗涤液在沉淀池中沉淀后进入循环往复水箱，再经喷淋塔顶端的排气管排出来喷淋水由循环泵提高循环往复应用。在整个废气净化过程中，所用喷淋水可循环往复应用，一整个处理方式可自动控制系统，操作比较简单。主要是因为特殊的螺旋喷嘴和特殊的塔结构特征，从喷嘴出来的药液能够实现完全性雾化的状态，产生细水雾，并与上游气体产生完全性触碰。此工艺净化效率可达90%以上。喷淋塔的流程工艺图如下：</w:t>
            </w:r>
          </w:p>
          <w:p w14:paraId="06A5259E">
            <w:pPr>
              <w:pStyle w:val="3"/>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drawing>
                <wp:inline distT="0" distB="0" distL="114300" distR="114300">
                  <wp:extent cx="3408680" cy="3002280"/>
                  <wp:effectExtent l="0" t="0" r="1270" b="7620"/>
                  <wp:docPr id="16" name="图片 11" descr="1595222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1595222874(1)"/>
                          <pic:cNvPicPr>
                            <a:picLocks noChangeAspect="1"/>
                          </pic:cNvPicPr>
                        </pic:nvPicPr>
                        <pic:blipFill>
                          <a:blip r:embed="rId12"/>
                          <a:stretch>
                            <a:fillRect/>
                          </a:stretch>
                        </pic:blipFill>
                        <pic:spPr>
                          <a:xfrm>
                            <a:off x="0" y="0"/>
                            <a:ext cx="3408680" cy="3002280"/>
                          </a:xfrm>
                          <a:prstGeom prst="rect">
                            <a:avLst/>
                          </a:prstGeom>
                          <a:noFill/>
                          <a:ln>
                            <a:noFill/>
                          </a:ln>
                        </pic:spPr>
                      </pic:pic>
                    </a:graphicData>
                  </a:graphic>
                </wp:inline>
              </w:drawing>
            </w:r>
          </w:p>
          <w:p w14:paraId="781F55B1">
            <w:pPr>
              <w:pStyle w:val="3"/>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图</w:t>
            </w:r>
            <w:r>
              <w:rPr>
                <w:rFonts w:hint="eastAsia"/>
                <w:lang w:val="en-US" w:eastAsia="zh-CN"/>
              </w:rPr>
              <w:t>4</w:t>
            </w:r>
            <w:r>
              <w:rPr>
                <w:rFonts w:hint="default"/>
                <w:lang w:val="en-US" w:eastAsia="zh-CN"/>
              </w:rPr>
              <w:t xml:space="preserve"> 喷淋塔的流程工艺图</w:t>
            </w:r>
          </w:p>
          <w:p w14:paraId="329F7E55">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旋风</w:t>
            </w:r>
            <w:r>
              <w:rPr>
                <w:rFonts w:hint="eastAsia" w:cs="Times New Roman"/>
                <w:sz w:val="24"/>
                <w:szCs w:val="24"/>
                <w:highlight w:val="none"/>
                <w:lang w:val="en-US" w:eastAsia="zh-CN"/>
              </w:rPr>
              <w:t>除尘器</w:t>
            </w:r>
            <w:r>
              <w:rPr>
                <w:rFonts w:hint="default" w:ascii="Times New Roman" w:hAnsi="Times New Roman" w:eastAsia="宋体" w:cs="Times New Roman"/>
                <w:sz w:val="24"/>
                <w:szCs w:val="24"/>
                <w:highlight w:val="none"/>
                <w:lang w:val="en-US" w:eastAsia="zh-CN"/>
              </w:rPr>
              <w:t>原理：</w:t>
            </w:r>
            <w:r>
              <w:rPr>
                <w:rFonts w:hint="default" w:ascii="Times New Roman" w:hAnsi="Times New Roman" w:eastAsia="宋体" w:cs="Times New Roman"/>
                <w:sz w:val="24"/>
                <w:szCs w:val="24"/>
                <w:lang w:val="en-US" w:eastAsia="zh-CN"/>
              </w:rPr>
              <w:t>旋风除尘器是一种除尘器，其结构是由内外两个圆筒、圆锥筒以及进气口、排灰口所组成，内、外圆筒和排灰口位于同一条轴线上。含尘空气以较高的速度沿外圆筒上部的进气口切向进入后，在内，外圆筒之间和锥体部位作自上而下的，螺旋形高速旋转。在旋转中，尘粒在较大离心力的作用下被甩到外圆筒内壁并与壁面碰撞，摩擦而逐渐失去速度，然后在重力作用下，沿着筒壁降落到锥体部分，后由底部非龙口飞出，气流在接近锥体下端时，由于出口安装了闭风设备，空气无法从底部流出，开始反转上升，然后经内圆筒排出。此工艺旋风除尘器效率为70%。</w:t>
            </w:r>
          </w:p>
          <w:p w14:paraId="491BA7E7">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重力沉降室</w:t>
            </w:r>
            <w:r>
              <w:rPr>
                <w:rFonts w:hint="eastAsia" w:cs="Times New Roman"/>
                <w:sz w:val="24"/>
                <w:szCs w:val="24"/>
                <w:highlight w:val="none"/>
                <w:lang w:val="en-US" w:eastAsia="zh-CN"/>
              </w:rPr>
              <w:t>原理：重力沉降室</w:t>
            </w:r>
            <w:r>
              <w:rPr>
                <w:rFonts w:hint="default" w:ascii="Times New Roman" w:hAnsi="Times New Roman" w:eastAsia="宋体" w:cs="Times New Roman"/>
                <w:sz w:val="24"/>
                <w:szCs w:val="24"/>
                <w:highlight w:val="none"/>
                <w:lang w:val="en-US" w:eastAsia="zh-CN"/>
              </w:rPr>
              <w:t>的除尘原理本质是利用重力与气流减速的协同作用，实现粗颗粒与气流的自然分离，其核心优势在于结构简单、成本低、能耗小，适合作为粗颗粒粉尘的预处理设备。但受限于重力作用的局限性，对细颗粒（尤其是PM2.5）的除尘效率较低，实际应用中常与旋风分离器、布袋除尘器等配合使用，形成多级除尘系统。</w:t>
            </w:r>
          </w:p>
          <w:p w14:paraId="1165B531">
            <w:pPr>
              <w:keepNext w:val="0"/>
              <w:keepLines w:val="0"/>
              <w:pageBreakBefore w:val="0"/>
              <w:suppressLineNumbers w:val="0"/>
              <w:tabs>
                <w:tab w:val="left" w:pos="0"/>
              </w:tabs>
              <w:kinsoku/>
              <w:wordWrap/>
              <w:overflowPunct w:val="0"/>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lang w:val="en-US" w:eastAsia="zh-CN"/>
              </w:rPr>
            </w:pPr>
            <w:r>
              <w:rPr>
                <w:rFonts w:hint="default"/>
                <w:lang w:val="en-US" w:eastAsia="zh-CN"/>
              </w:rPr>
              <w:t>本</w:t>
            </w:r>
            <w:r>
              <w:rPr>
                <w:rFonts w:hint="eastAsia"/>
                <w:lang w:val="en-US" w:eastAsia="zh-CN"/>
              </w:rPr>
              <w:t>项目</w:t>
            </w:r>
            <w:r>
              <w:rPr>
                <w:rFonts w:hint="default"/>
                <w:lang w:val="en-US" w:eastAsia="zh-CN"/>
              </w:rPr>
              <w:t>采用“旋风除尘器+重力沉降室+碱洗喷淋塔”三级组合工艺治理棉花种子烘干废气，技术可行且经济适用：旋风除尘器利用离心力去除≥10μm的粗颗粒与棉尘，重力沉降室通过降速利用重力进一步净化≥50μm的残留颗粒，碱洗喷淋塔则通过碱性溶液中和二氧化硫、硫酸雾等酸性污染物并去除＜10μm细颗粒，可有效去除各类污染物以满足现行排放标准，设备兼容性好、运行稳定、维护成本低，适合</w:t>
            </w:r>
            <w:r>
              <w:rPr>
                <w:rFonts w:hint="eastAsia"/>
                <w:lang w:val="en-US" w:eastAsia="zh-CN"/>
              </w:rPr>
              <w:t>棉花种子生产</w:t>
            </w:r>
            <w:r>
              <w:rPr>
                <w:rFonts w:hint="default"/>
                <w:lang w:val="en-US" w:eastAsia="zh-CN"/>
              </w:rPr>
              <w:t>的废气处理需求。</w:t>
            </w:r>
            <w:r>
              <w:rPr>
                <w:rFonts w:hint="eastAsia" w:eastAsia="宋体" w:cs="Times New Roman"/>
                <w:color w:val="000000"/>
                <w:spacing w:val="0"/>
                <w:kern w:val="0"/>
                <w:sz w:val="24"/>
                <w:szCs w:val="24"/>
                <w:highlight w:val="none"/>
                <w:lang w:val="en-US" w:eastAsia="zh-CN"/>
              </w:rPr>
              <w:t>且</w:t>
            </w:r>
            <w:r>
              <w:rPr>
                <w:rFonts w:hint="default" w:ascii="Times New Roman" w:hAnsi="Times New Roman" w:eastAsia="宋体" w:cs="Times New Roman"/>
                <w:color w:val="000000"/>
                <w:spacing w:val="0"/>
                <w:kern w:val="0"/>
                <w:sz w:val="24"/>
                <w:szCs w:val="24"/>
                <w:highlight w:val="none"/>
              </w:rPr>
              <w:t>本项目</w:t>
            </w:r>
            <w:r>
              <w:rPr>
                <w:rFonts w:hint="default" w:ascii="Times New Roman" w:hAnsi="Times New Roman" w:eastAsia="宋体" w:cs="Times New Roman"/>
                <w:color w:val="000000"/>
                <w:spacing w:val="0"/>
                <w:kern w:val="0"/>
                <w:sz w:val="24"/>
                <w:szCs w:val="24"/>
                <w:highlight w:val="none"/>
                <w:lang w:val="en-US" w:eastAsia="zh-CN"/>
              </w:rPr>
              <w:t>产生的颗粒物</w:t>
            </w:r>
            <w:r>
              <w:rPr>
                <w:rFonts w:hint="eastAsia" w:cs="Times New Roman"/>
                <w:color w:val="000000"/>
                <w:spacing w:val="0"/>
                <w:kern w:val="0"/>
                <w:sz w:val="24"/>
                <w:szCs w:val="24"/>
                <w:highlight w:val="none"/>
                <w:lang w:val="en-US" w:eastAsia="zh-CN"/>
              </w:rPr>
              <w:t>、二氧化硫</w:t>
            </w:r>
            <w:r>
              <w:rPr>
                <w:rFonts w:hint="default" w:ascii="Times New Roman" w:hAnsi="Times New Roman" w:eastAsia="宋体" w:cs="Times New Roman"/>
                <w:color w:val="000000"/>
                <w:spacing w:val="0"/>
                <w:kern w:val="0"/>
                <w:sz w:val="24"/>
                <w:szCs w:val="24"/>
                <w:highlight w:val="none"/>
                <w:lang w:val="en-US" w:eastAsia="zh-CN"/>
              </w:rPr>
              <w:t>和硫酸雾经收集后进入</w:t>
            </w:r>
            <w:r>
              <w:rPr>
                <w:rFonts w:hint="eastAsia" w:ascii="Times New Roman" w:hAnsi="Times New Roman" w:eastAsia="宋体" w:cs="Times New Roman"/>
                <w:color w:val="000000"/>
                <w:spacing w:val="0"/>
                <w:kern w:val="0"/>
                <w:sz w:val="24"/>
                <w:szCs w:val="24"/>
                <w:highlight w:val="none"/>
                <w:lang w:val="en-US" w:eastAsia="zh-CN"/>
              </w:rPr>
              <w:t>旋风除尘器+沉降室+碱洗喷淋塔</w:t>
            </w:r>
            <w:r>
              <w:rPr>
                <w:rFonts w:hint="default" w:ascii="Times New Roman" w:hAnsi="Times New Roman" w:eastAsia="宋体" w:cs="Times New Roman"/>
                <w:color w:val="000000"/>
                <w:spacing w:val="0"/>
                <w:kern w:val="0"/>
                <w:sz w:val="24"/>
                <w:szCs w:val="24"/>
                <w:highlight w:val="none"/>
                <w:lang w:val="en-US" w:eastAsia="zh-CN"/>
              </w:rPr>
              <w:t>处理，处理后的废气通过15m排气筒排放，</w:t>
            </w:r>
            <w:r>
              <w:rPr>
                <w:rFonts w:hint="eastAsia" w:cs="Times New Roman"/>
                <w:color w:val="000000"/>
                <w:spacing w:val="0"/>
                <w:kern w:val="0"/>
                <w:sz w:val="24"/>
                <w:szCs w:val="24"/>
                <w:highlight w:val="none"/>
                <w:lang w:val="en-US" w:eastAsia="zh-CN"/>
              </w:rPr>
              <w:t>硫酸雾</w:t>
            </w:r>
            <w:r>
              <w:rPr>
                <w:rFonts w:hint="default" w:ascii="Times New Roman" w:hAnsi="Times New Roman" w:eastAsia="宋体" w:cs="Times New Roman"/>
                <w:color w:val="000000"/>
                <w:spacing w:val="0"/>
                <w:kern w:val="0"/>
                <w:sz w:val="24"/>
                <w:szCs w:val="24"/>
                <w:highlight w:val="none"/>
                <w:lang w:val="en-US" w:eastAsia="zh-CN"/>
              </w:rPr>
              <w:t>排放浓度满足《大气污染物综合排放标准》（GB16297-1996）中表2中标准限值要求。颗粒物</w:t>
            </w:r>
            <w:r>
              <w:rPr>
                <w:rFonts w:hint="eastAsia" w:cs="Times New Roman"/>
                <w:color w:val="000000"/>
                <w:spacing w:val="0"/>
                <w:kern w:val="0"/>
                <w:sz w:val="24"/>
                <w:szCs w:val="24"/>
                <w:highlight w:val="none"/>
                <w:lang w:val="en-US" w:eastAsia="zh-CN"/>
              </w:rPr>
              <w:t>、二氧化硫排</w:t>
            </w:r>
            <w:r>
              <w:rPr>
                <w:rFonts w:hint="default" w:ascii="Times New Roman" w:hAnsi="Times New Roman" w:eastAsia="宋体" w:cs="Times New Roman"/>
                <w:color w:val="000000"/>
                <w:spacing w:val="0"/>
                <w:kern w:val="0"/>
                <w:sz w:val="24"/>
                <w:szCs w:val="24"/>
                <w:highlight w:val="none"/>
                <w:lang w:val="en-US" w:eastAsia="zh-CN"/>
              </w:rPr>
              <w:t>放浓度满足</w:t>
            </w:r>
            <w:r>
              <w:rPr>
                <w:rFonts w:hint="default" w:ascii="Times New Roman" w:hAnsi="Times New Roman" w:eastAsia="宋体" w:cs="Times New Roman"/>
                <w:sz w:val="24"/>
                <w:szCs w:val="24"/>
                <w:shd w:val="clear" w:color="auto" w:fill="auto"/>
              </w:rPr>
              <w:t>《关于印发自治州工业窑炉大气污染综合治理实施方案的通知》中重点区域工业窑炉大气污染物排放特别限值</w:t>
            </w:r>
            <w:r>
              <w:rPr>
                <w:rFonts w:hint="default" w:ascii="Times New Roman" w:hAnsi="Times New Roman" w:eastAsia="宋体" w:cs="Times New Roman"/>
                <w:color w:val="000000"/>
                <w:spacing w:val="0"/>
                <w:kern w:val="0"/>
                <w:sz w:val="24"/>
                <w:szCs w:val="24"/>
                <w:highlight w:val="none"/>
                <w:lang w:val="en-US" w:eastAsia="zh-CN"/>
              </w:rPr>
              <w:t>。</w:t>
            </w:r>
            <w:r>
              <w:rPr>
                <w:rFonts w:hint="eastAsia" w:cs="Times New Roman"/>
                <w:color w:val="000000"/>
                <w:spacing w:val="0"/>
                <w:kern w:val="0"/>
                <w:sz w:val="24"/>
                <w:szCs w:val="24"/>
                <w:highlight w:val="none"/>
                <w:lang w:val="en-US" w:eastAsia="zh-CN"/>
              </w:rPr>
              <w:t>经现场勘探，根据本项目实际情况且类比</w:t>
            </w:r>
            <w:r>
              <w:rPr>
                <w:rFonts w:hint="eastAsia" w:ascii="Times New Roman" w:hAnsi="Times New Roman" w:eastAsia="宋体" w:cs="Times New Roman"/>
                <w:szCs w:val="24"/>
                <w:lang w:val="en-US" w:eastAsia="zh-CN"/>
              </w:rPr>
              <w:t>本</w:t>
            </w:r>
            <w:r>
              <w:rPr>
                <w:rFonts w:hint="eastAsia" w:cs="Times New Roman"/>
                <w:szCs w:val="24"/>
                <w:lang w:val="en-US" w:eastAsia="zh-CN"/>
              </w:rPr>
              <w:t>地</w:t>
            </w:r>
            <w:r>
              <w:rPr>
                <w:rFonts w:hint="default" w:ascii="Times New Roman" w:hAnsi="Times New Roman" w:eastAsia="宋体" w:cs="Times New Roman"/>
                <w:szCs w:val="24"/>
              </w:rPr>
              <w:t>同行业生产厂家</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此类项目</w:t>
            </w:r>
            <w:r>
              <w:rPr>
                <w:rFonts w:hint="eastAsia" w:cs="Times New Roman"/>
                <w:szCs w:val="24"/>
                <w:lang w:val="en-US" w:eastAsia="zh-CN"/>
              </w:rPr>
              <w:t>均</w:t>
            </w:r>
            <w:r>
              <w:rPr>
                <w:rFonts w:hint="eastAsia" w:ascii="Times New Roman" w:hAnsi="Times New Roman" w:eastAsia="宋体" w:cs="Times New Roman"/>
                <w:szCs w:val="24"/>
                <w:lang w:val="en-US" w:eastAsia="zh-CN"/>
              </w:rPr>
              <w:t>采用</w:t>
            </w:r>
            <w:r>
              <w:rPr>
                <w:rFonts w:hint="default"/>
                <w:lang w:val="en-US" w:eastAsia="zh-CN"/>
              </w:rPr>
              <w:t>“旋风除尘器+重力沉降室+碱洗喷淋塔”三级组合工艺治理</w:t>
            </w:r>
            <w:r>
              <w:rPr>
                <w:rFonts w:hint="eastAsia"/>
                <w:lang w:val="en-US" w:eastAsia="zh-CN"/>
              </w:rPr>
              <w:t>废气，</w:t>
            </w:r>
            <w:r>
              <w:rPr>
                <w:rFonts w:hint="eastAsia" w:eastAsia="宋体" w:cs="Times New Roman"/>
                <w:color w:val="000000"/>
                <w:spacing w:val="0"/>
                <w:kern w:val="0"/>
                <w:sz w:val="24"/>
                <w:szCs w:val="24"/>
                <w:highlight w:val="none"/>
                <w:lang w:val="en-US" w:eastAsia="zh-CN"/>
              </w:rPr>
              <w:t>因此</w:t>
            </w:r>
            <w:r>
              <w:rPr>
                <w:rFonts w:hint="default"/>
                <w:lang w:val="en-US" w:eastAsia="zh-CN"/>
              </w:rPr>
              <w:t>采用“旋风除尘器+重力沉降室+碱洗喷淋塔”三级组合工艺治理棉花种子烘干废气</w:t>
            </w:r>
            <w:r>
              <w:rPr>
                <w:rFonts w:hint="eastAsia"/>
                <w:lang w:val="en-US" w:eastAsia="zh-CN"/>
              </w:rPr>
              <w:t>可行。</w:t>
            </w:r>
          </w:p>
          <w:p w14:paraId="5EEFB36E">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根据《排污许可证申请与核发技术规范 锅炉》（HJ 953-2018）表8“锅炉废气污染防治可行技术”，“低氮燃烧法”属于可行技术，因此本项目废气治理措施可行。</w:t>
            </w:r>
          </w:p>
          <w:p w14:paraId="53609F7B">
            <w:pPr>
              <w:pStyle w:val="2"/>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低氮燃烧器原理：它通过特殊设计的燃烧器结构，改变通过燃烧器的风气比例，使在燃烧器内部或出口射流的空气分级，以控制燃烧器中燃料与空气的混合过程，尽可能降低着火区的温度和降低着火区的氧浓度，在保证燃气着火和燃烧的同时能有效的抑制NOx的生成。并在富燃料燃烧条件下，选择合适的停留时间和温度使“N”最大限度</w:t>
            </w:r>
            <w:r>
              <w:rPr>
                <w:rFonts w:hint="eastAsia" w:cs="Times New Roman"/>
                <w:sz w:val="24"/>
                <w:szCs w:val="24"/>
                <w:highlight w:val="none"/>
                <w:lang w:val="en-US" w:eastAsia="zh-CN"/>
              </w:rPr>
              <w:t>地</w:t>
            </w:r>
            <w:r>
              <w:rPr>
                <w:rFonts w:hint="default" w:ascii="Times New Roman" w:hAnsi="Times New Roman" w:eastAsia="宋体" w:cs="Times New Roman"/>
                <w:sz w:val="24"/>
                <w:szCs w:val="24"/>
                <w:highlight w:val="none"/>
                <w:lang w:val="en-US" w:eastAsia="zh-CN"/>
              </w:rPr>
              <w:t>转化成</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N</w:t>
            </w:r>
            <w:r>
              <w:rPr>
                <w:rFonts w:hint="default" w:ascii="Times New Roman" w:hAnsi="Times New Roman" w:eastAsia="宋体" w:cs="Times New Roman"/>
                <w:sz w:val="24"/>
                <w:szCs w:val="24"/>
                <w:highlight w:val="none"/>
                <w:vertAlign w:val="subscript"/>
                <w:lang w:val="en-US" w:eastAsia="zh-CN"/>
              </w:rPr>
              <w:t>2</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，以达到减少NOx排放。</w:t>
            </w:r>
          </w:p>
          <w:p w14:paraId="78FFE4A7">
            <w:pPr>
              <w:pStyle w:val="21"/>
              <w:keepNext w:val="0"/>
              <w:keepLines w:val="0"/>
              <w:suppressLineNumbers w:val="0"/>
              <w:spacing w:before="0" w:beforeAutospacing="0" w:after="0" w:afterAutospacing="0"/>
              <w:ind w:left="0" w:right="0" w:firstLine="482" w:firstLineChars="200"/>
              <w:rPr>
                <w:rFonts w:hint="default"/>
                <w:highlight w:val="none"/>
              </w:rPr>
            </w:pPr>
            <w:r>
              <w:rPr>
                <w:rFonts w:hint="eastAsia"/>
                <w:color w:val="000000"/>
                <w:spacing w:val="0"/>
                <w:kern w:val="0"/>
                <w:highlight w:val="none"/>
                <w:lang w:val="en-US" w:eastAsia="zh-CN"/>
              </w:rPr>
              <w:t>1.3</w:t>
            </w:r>
            <w:r>
              <w:rPr>
                <w:rFonts w:hint="default"/>
                <w:color w:val="000000"/>
                <w:spacing w:val="0"/>
                <w:kern w:val="0"/>
                <w:highlight w:val="none"/>
              </w:rPr>
              <w:t>非正常工况</w:t>
            </w:r>
          </w:p>
          <w:p w14:paraId="23E78CFC">
            <w:pPr>
              <w:pStyle w:val="69"/>
              <w:keepNext w:val="0"/>
              <w:keepLines w:val="0"/>
              <w:suppressLineNumbers w:val="0"/>
              <w:adjustRightInd w:val="0"/>
              <w:snapToGrid w:val="0"/>
              <w:spacing w:before="0" w:beforeAutospacing="0" w:after="0" w:afterAutospacing="0"/>
              <w:ind w:left="0" w:right="0"/>
              <w:rPr>
                <w:rFonts w:hint="default"/>
                <w:spacing w:val="0"/>
                <w:kern w:val="0"/>
              </w:rPr>
            </w:pPr>
            <w:r>
              <w:rPr>
                <w:rFonts w:hint="default"/>
                <w:spacing w:val="0"/>
                <w:kern w:val="0"/>
              </w:rPr>
              <w:t>非正常工况主要为</w:t>
            </w:r>
            <w:r>
              <w:rPr>
                <w:rFonts w:hint="eastAsia"/>
                <w:spacing w:val="0"/>
                <w:kern w:val="0"/>
              </w:rPr>
              <w:t>末端治理</w:t>
            </w:r>
            <w:r>
              <w:rPr>
                <w:rFonts w:hint="default"/>
                <w:spacing w:val="0"/>
                <w:kern w:val="0"/>
              </w:rPr>
              <w:t>设施故障导致的事故排放，本项目非正常工况主要为</w:t>
            </w:r>
            <w:r>
              <w:rPr>
                <w:rFonts w:hint="eastAsia"/>
                <w:spacing w:val="0"/>
                <w:kern w:val="0"/>
                <w:lang w:val="en-US" w:eastAsia="zh-CN"/>
              </w:rPr>
              <w:t>废气治理设施故障</w:t>
            </w:r>
            <w:r>
              <w:rPr>
                <w:rFonts w:hint="default"/>
                <w:spacing w:val="0"/>
                <w:kern w:val="0"/>
              </w:rPr>
              <w:t>导致除尘效率达不到要求</w:t>
            </w:r>
            <w:r>
              <w:rPr>
                <w:rFonts w:hint="eastAsia"/>
                <w:spacing w:val="0"/>
                <w:kern w:val="0"/>
                <w:lang w:eastAsia="zh-CN"/>
              </w:rPr>
              <w:t>，</w:t>
            </w:r>
            <w:r>
              <w:rPr>
                <w:rFonts w:hint="eastAsia"/>
                <w:spacing w:val="0"/>
                <w:kern w:val="0"/>
              </w:rPr>
              <w:t>对颗粒物</w:t>
            </w:r>
            <w:r>
              <w:rPr>
                <w:rFonts w:hint="eastAsia"/>
                <w:spacing w:val="0"/>
                <w:kern w:val="0"/>
                <w:lang w:val="en-US" w:eastAsia="zh-CN"/>
              </w:rPr>
              <w:t>及硫酸雾的</w:t>
            </w:r>
            <w:r>
              <w:rPr>
                <w:rFonts w:hint="default"/>
                <w:spacing w:val="0"/>
                <w:kern w:val="0"/>
              </w:rPr>
              <w:t>去除效率按</w:t>
            </w:r>
            <w:r>
              <w:rPr>
                <w:rFonts w:hint="eastAsia"/>
                <w:spacing w:val="0"/>
                <w:kern w:val="0"/>
              </w:rPr>
              <w:t>5</w:t>
            </w:r>
            <w:r>
              <w:rPr>
                <w:rFonts w:hint="default"/>
                <w:spacing w:val="0"/>
                <w:kern w:val="0"/>
              </w:rPr>
              <w:t>0%计，事故情况排放量见表</w:t>
            </w:r>
            <w:r>
              <w:rPr>
                <w:rFonts w:hint="eastAsia"/>
                <w:spacing w:val="0"/>
                <w:kern w:val="0"/>
                <w:lang w:val="en-US" w:eastAsia="zh-CN"/>
              </w:rPr>
              <w:t>4-2</w:t>
            </w:r>
            <w:r>
              <w:rPr>
                <w:rFonts w:hint="default"/>
                <w:spacing w:val="0"/>
                <w:kern w:val="0"/>
              </w:rPr>
              <w:t>。</w:t>
            </w:r>
          </w:p>
          <w:p w14:paraId="458820E6">
            <w:pPr>
              <w:keepNext w:val="0"/>
              <w:keepLines w:val="0"/>
              <w:suppressLineNumbers w:val="0"/>
              <w:tabs>
                <w:tab w:val="left" w:pos="6480"/>
              </w:tabs>
              <w:adjustRightInd w:val="0"/>
              <w:snapToGrid w:val="0"/>
              <w:spacing w:before="0" w:beforeAutospacing="0" w:after="0" w:afterAutospacing="0" w:line="240" w:lineRule="auto"/>
              <w:ind w:left="0" w:right="0" w:firstLine="422" w:firstLineChars="200"/>
              <w:rPr>
                <w:rFonts w:hint="default"/>
                <w:b/>
                <w:bCs/>
                <w:color w:val="000000"/>
                <w:spacing w:val="0"/>
                <w:kern w:val="0"/>
                <w:sz w:val="21"/>
                <w:szCs w:val="21"/>
                <w:highlight w:val="yellow"/>
                <w:lang w:bidi="ar"/>
              </w:rPr>
            </w:pPr>
            <w:r>
              <w:rPr>
                <w:rFonts w:hint="default"/>
                <w:b/>
                <w:bCs/>
                <w:color w:val="000000"/>
                <w:spacing w:val="0"/>
                <w:kern w:val="0"/>
                <w:sz w:val="21"/>
                <w:szCs w:val="21"/>
                <w:highlight w:val="none"/>
                <w:lang w:bidi="ar"/>
              </w:rPr>
              <w:t>表</w:t>
            </w:r>
            <w:r>
              <w:rPr>
                <w:rFonts w:hint="eastAsia" w:ascii="Times New Roman" w:eastAsia="宋体"/>
                <w:b/>
                <w:bCs/>
                <w:color w:val="000000"/>
                <w:spacing w:val="0"/>
                <w:kern w:val="0"/>
                <w:sz w:val="21"/>
                <w:szCs w:val="21"/>
                <w:highlight w:val="none"/>
                <w:lang w:val="en-US" w:eastAsia="zh-CN" w:bidi="ar"/>
              </w:rPr>
              <w:t>4-</w:t>
            </w:r>
            <w:r>
              <w:rPr>
                <w:rFonts w:hint="eastAsia"/>
                <w:b/>
                <w:bCs/>
                <w:color w:val="000000"/>
                <w:spacing w:val="0"/>
                <w:kern w:val="0"/>
                <w:sz w:val="21"/>
                <w:szCs w:val="21"/>
                <w:highlight w:val="none"/>
                <w:lang w:val="en-US" w:eastAsia="zh-CN" w:bidi="ar"/>
              </w:rPr>
              <w:t>2</w:t>
            </w:r>
            <w:r>
              <w:rPr>
                <w:rFonts w:hint="default"/>
                <w:b/>
                <w:bCs/>
                <w:color w:val="000000"/>
                <w:spacing w:val="0"/>
                <w:kern w:val="0"/>
                <w:sz w:val="21"/>
                <w:szCs w:val="21"/>
                <w:highlight w:val="none"/>
                <w:lang w:bidi="ar"/>
              </w:rPr>
              <w:t xml:space="preserve">                    非正常工况一览表</w:t>
            </w:r>
          </w:p>
          <w:tbl>
            <w:tblPr>
              <w:tblStyle w:val="3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27"/>
              <w:gridCol w:w="593"/>
              <w:gridCol w:w="671"/>
              <w:gridCol w:w="1064"/>
              <w:gridCol w:w="809"/>
              <w:gridCol w:w="995"/>
              <w:gridCol w:w="880"/>
              <w:gridCol w:w="1122"/>
              <w:gridCol w:w="819"/>
              <w:gridCol w:w="855"/>
            </w:tblGrid>
            <w:tr w14:paraId="61A40B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371" w:type="pct"/>
                  <w:tcBorders>
                    <w:tl2br w:val="nil"/>
                    <w:tr2bl w:val="nil"/>
                  </w:tcBorders>
                  <w:noWrap w:val="0"/>
                  <w:vAlign w:val="center"/>
                </w:tcPr>
                <w:p w14:paraId="7EF2C12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排放源</w:t>
                  </w:r>
                </w:p>
              </w:tc>
              <w:tc>
                <w:tcPr>
                  <w:tcW w:w="351" w:type="pct"/>
                  <w:tcBorders>
                    <w:tl2br w:val="nil"/>
                    <w:tr2bl w:val="nil"/>
                  </w:tcBorders>
                  <w:noWrap w:val="0"/>
                  <w:vAlign w:val="center"/>
                </w:tcPr>
                <w:p w14:paraId="043E854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污染物名称</w:t>
                  </w:r>
                </w:p>
              </w:tc>
              <w:tc>
                <w:tcPr>
                  <w:tcW w:w="397" w:type="pct"/>
                  <w:tcBorders>
                    <w:tl2br w:val="nil"/>
                    <w:tr2bl w:val="nil"/>
                  </w:tcBorders>
                  <w:noWrap w:val="0"/>
                  <w:vAlign w:val="center"/>
                </w:tcPr>
                <w:p w14:paraId="3541B2B8">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治理措施</w:t>
                  </w:r>
                </w:p>
              </w:tc>
              <w:tc>
                <w:tcPr>
                  <w:tcW w:w="630" w:type="pct"/>
                  <w:tcBorders>
                    <w:tl2br w:val="nil"/>
                    <w:tr2bl w:val="nil"/>
                  </w:tcBorders>
                  <w:noWrap w:val="0"/>
                  <w:vAlign w:val="center"/>
                </w:tcPr>
                <w:p w14:paraId="22AB5B8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处理风量（m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/h）</w:t>
                  </w:r>
                </w:p>
              </w:tc>
              <w:tc>
                <w:tcPr>
                  <w:tcW w:w="479" w:type="pct"/>
                  <w:tcBorders>
                    <w:tl2br w:val="nil"/>
                    <w:tr2bl w:val="nil"/>
                  </w:tcBorders>
                  <w:noWrap w:val="0"/>
                  <w:vAlign w:val="center"/>
                </w:tcPr>
                <w:p w14:paraId="759B9792">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排放速率</w:t>
                  </w:r>
                </w:p>
                <w:p w14:paraId="5BD9FED1">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kg/h</w:t>
                  </w:r>
                  <w:r>
                    <w:rPr>
                      <w:rFonts w:hint="eastAsia" w:cs="Times New Roman"/>
                      <w:b w:val="0"/>
                      <w:bCs w:val="0"/>
                      <w:color w:val="auto"/>
                      <w:sz w:val="21"/>
                      <w:szCs w:val="21"/>
                      <w:lang w:eastAsia="zh-CN"/>
                    </w:rPr>
                    <w:t>)</w:t>
                  </w:r>
                </w:p>
              </w:tc>
              <w:tc>
                <w:tcPr>
                  <w:tcW w:w="589" w:type="pct"/>
                  <w:tcBorders>
                    <w:tl2br w:val="nil"/>
                    <w:tr2bl w:val="nil"/>
                  </w:tcBorders>
                  <w:noWrap w:val="0"/>
                  <w:vAlign w:val="center"/>
                </w:tcPr>
                <w:p w14:paraId="0578313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排放浓度</w:t>
                  </w:r>
                </w:p>
                <w:p w14:paraId="61571AD9">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mg/m</w:t>
                  </w:r>
                  <w:r>
                    <w:rPr>
                      <w:rFonts w:hint="default" w:ascii="Times New Roman" w:hAnsi="Times New Roman" w:eastAsia="宋体" w:cs="Times New Roman"/>
                      <w:b w:val="0"/>
                      <w:bCs w:val="0"/>
                      <w:color w:val="auto"/>
                      <w:sz w:val="21"/>
                      <w:szCs w:val="21"/>
                      <w:vertAlign w:val="superscript"/>
                    </w:rPr>
                    <w:t>3</w:t>
                  </w:r>
                  <w:r>
                    <w:rPr>
                      <w:rFonts w:hint="eastAsia" w:cs="Times New Roman"/>
                      <w:b w:val="0"/>
                      <w:bCs w:val="0"/>
                      <w:color w:val="auto"/>
                      <w:sz w:val="21"/>
                      <w:szCs w:val="21"/>
                      <w:vertAlign w:val="superscript"/>
                      <w:lang w:eastAsia="zh-CN"/>
                    </w:rPr>
                    <w:t>)</w:t>
                  </w:r>
                </w:p>
              </w:tc>
              <w:tc>
                <w:tcPr>
                  <w:tcW w:w="521" w:type="pct"/>
                  <w:tcBorders>
                    <w:tl2br w:val="nil"/>
                    <w:tr2bl w:val="nil"/>
                  </w:tcBorders>
                  <w:noWrap w:val="0"/>
                  <w:vAlign w:val="center"/>
                </w:tcPr>
                <w:p w14:paraId="1E81210B">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发生频次（次）</w:t>
                  </w:r>
                </w:p>
              </w:tc>
              <w:tc>
                <w:tcPr>
                  <w:tcW w:w="665" w:type="pct"/>
                  <w:tcBorders>
                    <w:tl2br w:val="nil"/>
                    <w:tr2bl w:val="nil"/>
                  </w:tcBorders>
                  <w:noWrap w:val="0"/>
                  <w:vAlign w:val="center"/>
                </w:tcPr>
                <w:p w14:paraId="39651DC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单次持续时间（</w:t>
                  </w:r>
                  <w:r>
                    <w:rPr>
                      <w:rFonts w:hint="default" w:ascii="Times New Roman" w:hAnsi="Times New Roman" w:eastAsia="宋体" w:cs="Times New Roman"/>
                      <w:b w:val="0"/>
                      <w:bCs w:val="0"/>
                      <w:color w:val="auto"/>
                      <w:sz w:val="21"/>
                      <w:szCs w:val="21"/>
                      <w:lang w:val="en-US" w:eastAsia="zh-CN"/>
                    </w:rPr>
                    <w:t>min</w:t>
                  </w:r>
                  <w:r>
                    <w:rPr>
                      <w:rFonts w:hint="default" w:ascii="Times New Roman" w:hAnsi="Times New Roman" w:eastAsia="宋体" w:cs="Times New Roman"/>
                      <w:b w:val="0"/>
                      <w:bCs w:val="0"/>
                      <w:color w:val="auto"/>
                      <w:sz w:val="21"/>
                      <w:szCs w:val="21"/>
                    </w:rPr>
                    <w:t>）</w:t>
                  </w:r>
                </w:p>
              </w:tc>
              <w:tc>
                <w:tcPr>
                  <w:tcW w:w="485" w:type="pct"/>
                  <w:tcBorders>
                    <w:tl2br w:val="nil"/>
                    <w:tr2bl w:val="nil"/>
                  </w:tcBorders>
                  <w:noWrap w:val="0"/>
                  <w:vAlign w:val="center"/>
                </w:tcPr>
                <w:p w14:paraId="77556C8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排放量（</w:t>
                  </w:r>
                  <w:r>
                    <w:rPr>
                      <w:rFonts w:hint="default" w:ascii="Times New Roman" w:hAnsi="Times New Roman" w:eastAsia="宋体" w:cs="Times New Roman"/>
                      <w:b w:val="0"/>
                      <w:bCs w:val="0"/>
                      <w:color w:val="auto"/>
                      <w:sz w:val="21"/>
                      <w:szCs w:val="21"/>
                      <w:lang w:val="en-US" w:eastAsia="zh-CN"/>
                    </w:rPr>
                    <w:t>kg</w:t>
                  </w:r>
                  <w:r>
                    <w:rPr>
                      <w:rFonts w:hint="default" w:ascii="Times New Roman" w:hAnsi="Times New Roman" w:eastAsia="宋体" w:cs="Times New Roman"/>
                      <w:b w:val="0"/>
                      <w:bCs w:val="0"/>
                      <w:color w:val="auto"/>
                      <w:sz w:val="21"/>
                      <w:szCs w:val="21"/>
                    </w:rPr>
                    <w:t>）</w:t>
                  </w:r>
                </w:p>
              </w:tc>
              <w:tc>
                <w:tcPr>
                  <w:tcW w:w="506" w:type="pct"/>
                  <w:tcBorders>
                    <w:tl2br w:val="nil"/>
                    <w:tr2bl w:val="nil"/>
                  </w:tcBorders>
                  <w:noWrap w:val="0"/>
                  <w:vAlign w:val="center"/>
                </w:tcPr>
                <w:p w14:paraId="1A80ECE1">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处理措施</w:t>
                  </w:r>
                </w:p>
              </w:tc>
            </w:tr>
            <w:tr w14:paraId="07F316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71" w:type="pct"/>
                  <w:tcBorders>
                    <w:tl2br w:val="nil"/>
                    <w:tr2bl w:val="nil"/>
                  </w:tcBorders>
                  <w:noWrap w:val="0"/>
                  <w:vAlign w:val="center"/>
                </w:tcPr>
                <w:p w14:paraId="3E75011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DA</w:t>
                  </w:r>
                  <w:r>
                    <w:rPr>
                      <w:rFonts w:hint="eastAsia" w:cs="Times New Roman"/>
                      <w:b w:val="0"/>
                      <w:bCs w:val="0"/>
                      <w:color w:val="auto"/>
                      <w:sz w:val="21"/>
                      <w:szCs w:val="21"/>
                      <w:lang w:eastAsia="zh-CN"/>
                    </w:rPr>
                    <w:t>0</w:t>
                  </w:r>
                  <w:r>
                    <w:rPr>
                      <w:rFonts w:hint="eastAsia" w:cs="Times New Roman"/>
                      <w:b w:val="0"/>
                      <w:bCs w:val="0"/>
                      <w:color w:val="auto"/>
                      <w:sz w:val="21"/>
                      <w:szCs w:val="21"/>
                      <w:lang w:val="en-US" w:eastAsia="zh-CN"/>
                    </w:rPr>
                    <w:t>01</w:t>
                  </w:r>
                </w:p>
              </w:tc>
              <w:tc>
                <w:tcPr>
                  <w:tcW w:w="351" w:type="pct"/>
                  <w:tcBorders>
                    <w:tl2br w:val="nil"/>
                    <w:tr2bl w:val="nil"/>
                  </w:tcBorders>
                  <w:noWrap w:val="0"/>
                  <w:vAlign w:val="center"/>
                </w:tcPr>
                <w:p w14:paraId="76CB5F5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颗粒物</w:t>
                  </w:r>
                </w:p>
              </w:tc>
              <w:tc>
                <w:tcPr>
                  <w:tcW w:w="397" w:type="pct"/>
                  <w:tcBorders>
                    <w:tl2br w:val="nil"/>
                    <w:tr2bl w:val="nil"/>
                  </w:tcBorders>
                  <w:noWrap w:val="0"/>
                  <w:vAlign w:val="center"/>
                </w:tcPr>
                <w:p w14:paraId="381C51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旋风除尘器+沉降室+碱洗喷淋塔</w:t>
                  </w:r>
                </w:p>
              </w:tc>
              <w:tc>
                <w:tcPr>
                  <w:tcW w:w="630" w:type="pct"/>
                  <w:tcBorders>
                    <w:tl2br w:val="nil"/>
                    <w:tr2bl w:val="nil"/>
                  </w:tcBorders>
                  <w:noWrap w:val="0"/>
                  <w:vAlign w:val="center"/>
                </w:tcPr>
                <w:p w14:paraId="54DA4F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8000</w:t>
                  </w:r>
                </w:p>
              </w:tc>
              <w:tc>
                <w:tcPr>
                  <w:tcW w:w="479" w:type="pct"/>
                  <w:tcBorders>
                    <w:tl2br w:val="nil"/>
                    <w:tr2bl w:val="nil"/>
                  </w:tcBorders>
                  <w:noWrap w:val="0"/>
                  <w:vAlign w:val="center"/>
                </w:tcPr>
                <w:p w14:paraId="2F8033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0.942</w:t>
                  </w:r>
                </w:p>
              </w:tc>
              <w:tc>
                <w:tcPr>
                  <w:tcW w:w="589" w:type="pct"/>
                  <w:tcBorders>
                    <w:tl2br w:val="nil"/>
                    <w:tr2bl w:val="nil"/>
                  </w:tcBorders>
                  <w:noWrap w:val="0"/>
                  <w:vAlign w:val="center"/>
                </w:tcPr>
                <w:p w14:paraId="5057D4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117.75</w:t>
                  </w:r>
                </w:p>
              </w:tc>
              <w:tc>
                <w:tcPr>
                  <w:tcW w:w="521" w:type="pct"/>
                  <w:tcBorders>
                    <w:tl2br w:val="nil"/>
                    <w:tr2bl w:val="nil"/>
                  </w:tcBorders>
                  <w:noWrap w:val="0"/>
                  <w:vAlign w:val="center"/>
                </w:tcPr>
                <w:p w14:paraId="39BCBEA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1次/年</w:t>
                  </w:r>
                </w:p>
              </w:tc>
              <w:tc>
                <w:tcPr>
                  <w:tcW w:w="665" w:type="pct"/>
                  <w:tcBorders>
                    <w:tl2br w:val="nil"/>
                    <w:tr2bl w:val="nil"/>
                  </w:tcBorders>
                  <w:noWrap w:val="0"/>
                  <w:vAlign w:val="center"/>
                </w:tcPr>
                <w:p w14:paraId="6CC9EE1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60</w:t>
                  </w:r>
                </w:p>
              </w:tc>
              <w:tc>
                <w:tcPr>
                  <w:tcW w:w="485" w:type="pct"/>
                  <w:tcBorders>
                    <w:tl2br w:val="nil"/>
                    <w:tr2bl w:val="nil"/>
                  </w:tcBorders>
                  <w:noWrap w:val="0"/>
                  <w:vAlign w:val="center"/>
                </w:tcPr>
                <w:p w14:paraId="7B8D5C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0.942</w:t>
                  </w:r>
                </w:p>
              </w:tc>
              <w:tc>
                <w:tcPr>
                  <w:tcW w:w="506" w:type="pct"/>
                  <w:tcBorders>
                    <w:tl2br w:val="nil"/>
                    <w:tr2bl w:val="nil"/>
                  </w:tcBorders>
                  <w:noWrap w:val="0"/>
                  <w:vAlign w:val="center"/>
                </w:tcPr>
                <w:p w14:paraId="76ABDAC7">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停止工作，紧急抢修</w:t>
                  </w:r>
                </w:p>
              </w:tc>
            </w:tr>
            <w:tr w14:paraId="2542F1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71" w:type="pct"/>
                  <w:tcBorders>
                    <w:tl2br w:val="nil"/>
                    <w:tr2bl w:val="nil"/>
                  </w:tcBorders>
                  <w:noWrap w:val="0"/>
                  <w:vAlign w:val="center"/>
                </w:tcPr>
                <w:p w14:paraId="3BE87BD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sz w:val="21"/>
                      <w:szCs w:val="21"/>
                    </w:rPr>
                    <w:t>DA</w:t>
                  </w:r>
                  <w:r>
                    <w:rPr>
                      <w:rFonts w:hint="eastAsia" w:cs="Times New Roman"/>
                      <w:b w:val="0"/>
                      <w:bCs w:val="0"/>
                      <w:color w:val="auto"/>
                      <w:sz w:val="21"/>
                      <w:szCs w:val="21"/>
                      <w:lang w:eastAsia="zh-CN"/>
                    </w:rPr>
                    <w:t>0</w:t>
                  </w:r>
                  <w:r>
                    <w:rPr>
                      <w:rFonts w:hint="eastAsia" w:cs="Times New Roman"/>
                      <w:b w:val="0"/>
                      <w:bCs w:val="0"/>
                      <w:color w:val="auto"/>
                      <w:sz w:val="21"/>
                      <w:szCs w:val="21"/>
                      <w:lang w:val="en-US" w:eastAsia="zh-CN"/>
                    </w:rPr>
                    <w:t>01</w:t>
                  </w:r>
                </w:p>
              </w:tc>
              <w:tc>
                <w:tcPr>
                  <w:tcW w:w="351" w:type="pct"/>
                  <w:tcBorders>
                    <w:tl2br w:val="nil"/>
                    <w:tr2bl w:val="nil"/>
                  </w:tcBorders>
                  <w:shd w:val="clear" w:color="auto" w:fill="auto"/>
                  <w:noWrap w:val="0"/>
                  <w:vAlign w:val="center"/>
                </w:tcPr>
                <w:p w14:paraId="435C161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硫酸雾</w:t>
                  </w:r>
                </w:p>
              </w:tc>
              <w:tc>
                <w:tcPr>
                  <w:tcW w:w="397" w:type="pct"/>
                  <w:tcBorders>
                    <w:tl2br w:val="nil"/>
                    <w:tr2bl w:val="nil"/>
                  </w:tcBorders>
                  <w:shd w:val="clear" w:color="auto" w:fill="auto"/>
                  <w:noWrap w:val="0"/>
                  <w:vAlign w:val="center"/>
                </w:tcPr>
                <w:p w14:paraId="08BD6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旋风除尘器+沉降室+碱洗喷淋塔</w:t>
                  </w:r>
                </w:p>
              </w:tc>
              <w:tc>
                <w:tcPr>
                  <w:tcW w:w="630" w:type="pct"/>
                  <w:tcBorders>
                    <w:tl2br w:val="nil"/>
                    <w:tr2bl w:val="nil"/>
                  </w:tcBorders>
                  <w:noWrap w:val="0"/>
                  <w:vAlign w:val="center"/>
                </w:tcPr>
                <w:p w14:paraId="3C3070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8000</w:t>
                  </w:r>
                </w:p>
              </w:tc>
              <w:tc>
                <w:tcPr>
                  <w:tcW w:w="479" w:type="pct"/>
                  <w:tcBorders>
                    <w:tl2br w:val="nil"/>
                    <w:tr2bl w:val="nil"/>
                  </w:tcBorders>
                  <w:noWrap w:val="0"/>
                  <w:vAlign w:val="center"/>
                </w:tcPr>
                <w:p w14:paraId="71C00D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0.868</w:t>
                  </w:r>
                </w:p>
              </w:tc>
              <w:tc>
                <w:tcPr>
                  <w:tcW w:w="589" w:type="pct"/>
                  <w:tcBorders>
                    <w:tl2br w:val="nil"/>
                    <w:tr2bl w:val="nil"/>
                  </w:tcBorders>
                  <w:noWrap w:val="0"/>
                  <w:vAlign w:val="center"/>
                </w:tcPr>
                <w:p w14:paraId="373E84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108.5</w:t>
                  </w:r>
                </w:p>
              </w:tc>
              <w:tc>
                <w:tcPr>
                  <w:tcW w:w="521" w:type="pct"/>
                  <w:tcBorders>
                    <w:tl2br w:val="nil"/>
                    <w:tr2bl w:val="nil"/>
                  </w:tcBorders>
                  <w:noWrap w:val="0"/>
                  <w:vAlign w:val="center"/>
                </w:tcPr>
                <w:p w14:paraId="051103FC">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1次/年</w:t>
                  </w:r>
                </w:p>
              </w:tc>
              <w:tc>
                <w:tcPr>
                  <w:tcW w:w="665" w:type="pct"/>
                  <w:tcBorders>
                    <w:tl2br w:val="nil"/>
                    <w:tr2bl w:val="nil"/>
                  </w:tcBorders>
                  <w:noWrap w:val="0"/>
                  <w:vAlign w:val="center"/>
                </w:tcPr>
                <w:p w14:paraId="2575CB96">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60</w:t>
                  </w:r>
                </w:p>
              </w:tc>
              <w:tc>
                <w:tcPr>
                  <w:tcW w:w="485" w:type="pct"/>
                  <w:tcBorders>
                    <w:tl2br w:val="nil"/>
                    <w:tr2bl w:val="nil"/>
                  </w:tcBorders>
                  <w:noWrap w:val="0"/>
                  <w:vAlign w:val="center"/>
                </w:tcPr>
                <w:p w14:paraId="38A8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0.868</w:t>
                  </w:r>
                </w:p>
              </w:tc>
              <w:tc>
                <w:tcPr>
                  <w:tcW w:w="506" w:type="pct"/>
                  <w:tcBorders>
                    <w:tl2br w:val="nil"/>
                    <w:tr2bl w:val="nil"/>
                  </w:tcBorders>
                  <w:noWrap w:val="0"/>
                  <w:vAlign w:val="center"/>
                </w:tcPr>
                <w:p w14:paraId="6346F332">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停止工作，紧急抢修</w:t>
                  </w:r>
                </w:p>
              </w:tc>
            </w:tr>
            <w:tr w14:paraId="3663D43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71" w:type="pct"/>
                  <w:tcBorders>
                    <w:tl2br w:val="nil"/>
                    <w:tr2bl w:val="nil"/>
                  </w:tcBorders>
                  <w:noWrap w:val="0"/>
                  <w:vAlign w:val="center"/>
                </w:tcPr>
                <w:p w14:paraId="46E805D5">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DA001</w:t>
                  </w:r>
                </w:p>
              </w:tc>
              <w:tc>
                <w:tcPr>
                  <w:tcW w:w="351" w:type="pct"/>
                  <w:tcBorders>
                    <w:tl2br w:val="nil"/>
                    <w:tr2bl w:val="nil"/>
                  </w:tcBorders>
                  <w:shd w:val="clear" w:color="auto" w:fill="auto"/>
                  <w:noWrap w:val="0"/>
                  <w:vAlign w:val="center"/>
                </w:tcPr>
                <w:p w14:paraId="5B81787A">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二氧化硫</w:t>
                  </w:r>
                </w:p>
              </w:tc>
              <w:tc>
                <w:tcPr>
                  <w:tcW w:w="397" w:type="pct"/>
                  <w:tcBorders>
                    <w:tl2br w:val="nil"/>
                    <w:tr2bl w:val="nil"/>
                  </w:tcBorders>
                  <w:shd w:val="clear" w:color="auto" w:fill="auto"/>
                  <w:noWrap w:val="0"/>
                  <w:vAlign w:val="center"/>
                </w:tcPr>
                <w:p w14:paraId="2B433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旋风除尘器+沉降室+碱洗喷淋塔</w:t>
                  </w:r>
                </w:p>
              </w:tc>
              <w:tc>
                <w:tcPr>
                  <w:tcW w:w="630" w:type="pct"/>
                  <w:tcBorders>
                    <w:tl2br w:val="nil"/>
                    <w:tr2bl w:val="nil"/>
                  </w:tcBorders>
                  <w:noWrap w:val="0"/>
                  <w:vAlign w:val="center"/>
                </w:tcPr>
                <w:p w14:paraId="077DAB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8000</w:t>
                  </w:r>
                </w:p>
              </w:tc>
              <w:tc>
                <w:tcPr>
                  <w:tcW w:w="479" w:type="pct"/>
                  <w:tcBorders>
                    <w:tl2br w:val="nil"/>
                    <w:tr2bl w:val="nil"/>
                  </w:tcBorders>
                  <w:noWrap w:val="0"/>
                  <w:vAlign w:val="center"/>
                </w:tcPr>
                <w:p w14:paraId="293F1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0.0166</w:t>
                  </w:r>
                </w:p>
              </w:tc>
              <w:tc>
                <w:tcPr>
                  <w:tcW w:w="589" w:type="pct"/>
                  <w:tcBorders>
                    <w:tl2br w:val="nil"/>
                    <w:tr2bl w:val="nil"/>
                  </w:tcBorders>
                  <w:noWrap w:val="0"/>
                  <w:vAlign w:val="center"/>
                </w:tcPr>
                <w:p w14:paraId="2BD750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default"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2.075</w:t>
                  </w:r>
                </w:p>
              </w:tc>
              <w:tc>
                <w:tcPr>
                  <w:tcW w:w="521" w:type="pct"/>
                  <w:tcBorders>
                    <w:tl2br w:val="nil"/>
                    <w:tr2bl w:val="nil"/>
                  </w:tcBorders>
                  <w:noWrap w:val="0"/>
                  <w:vAlign w:val="center"/>
                </w:tcPr>
                <w:p w14:paraId="774B5916">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1次/年</w:t>
                  </w:r>
                </w:p>
              </w:tc>
              <w:tc>
                <w:tcPr>
                  <w:tcW w:w="665" w:type="pct"/>
                  <w:tcBorders>
                    <w:tl2br w:val="nil"/>
                    <w:tr2bl w:val="nil"/>
                  </w:tcBorders>
                  <w:noWrap w:val="0"/>
                  <w:vAlign w:val="center"/>
                </w:tcPr>
                <w:p w14:paraId="4E0A60FF">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60</w:t>
                  </w:r>
                </w:p>
              </w:tc>
              <w:tc>
                <w:tcPr>
                  <w:tcW w:w="485" w:type="pct"/>
                  <w:tcBorders>
                    <w:tl2br w:val="nil"/>
                    <w:tr2bl w:val="nil"/>
                  </w:tcBorders>
                  <w:noWrap w:val="0"/>
                  <w:vAlign w:val="center"/>
                </w:tcPr>
                <w:p w14:paraId="2D0DE3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ottom"/>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0.0166</w:t>
                  </w:r>
                </w:p>
              </w:tc>
              <w:tc>
                <w:tcPr>
                  <w:tcW w:w="506" w:type="pct"/>
                  <w:tcBorders>
                    <w:tl2br w:val="nil"/>
                    <w:tr2bl w:val="nil"/>
                  </w:tcBorders>
                  <w:noWrap w:val="0"/>
                  <w:vAlign w:val="center"/>
                </w:tcPr>
                <w:p w14:paraId="4FEE52FF">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停止工作，紧急抢修</w:t>
                  </w:r>
                </w:p>
              </w:tc>
            </w:tr>
          </w:tbl>
          <w:p w14:paraId="5BD5489C">
            <w:pPr>
              <w:pStyle w:val="69"/>
              <w:keepNext w:val="0"/>
              <w:keepLines w:val="0"/>
              <w:suppressLineNumbers w:val="0"/>
              <w:adjustRightInd w:val="0"/>
              <w:snapToGrid w:val="0"/>
              <w:spacing w:before="0" w:beforeAutospacing="0" w:after="0" w:afterAutospacing="0"/>
              <w:ind w:left="0" w:right="0" w:firstLine="482"/>
              <w:rPr>
                <w:rFonts w:hint="default"/>
                <w:b/>
                <w:bCs w:val="0"/>
                <w:spacing w:val="0"/>
                <w:kern w:val="0"/>
              </w:rPr>
            </w:pPr>
            <w:r>
              <w:rPr>
                <w:rFonts w:hint="default"/>
                <w:b/>
                <w:bCs w:val="0"/>
                <w:spacing w:val="0"/>
                <w:kern w:val="0"/>
              </w:rPr>
              <w:t>1.</w:t>
            </w:r>
            <w:r>
              <w:rPr>
                <w:rFonts w:hint="eastAsia"/>
                <w:b/>
                <w:bCs w:val="0"/>
                <w:spacing w:val="0"/>
                <w:kern w:val="0"/>
                <w:lang w:val="en-US" w:eastAsia="zh-CN"/>
              </w:rPr>
              <w:t>4</w:t>
            </w:r>
            <w:r>
              <w:rPr>
                <w:rFonts w:hint="default"/>
                <w:b/>
                <w:bCs w:val="0"/>
                <w:spacing w:val="0"/>
                <w:kern w:val="0"/>
              </w:rPr>
              <w:t>自行监测</w:t>
            </w:r>
          </w:p>
          <w:p w14:paraId="2365E6F7">
            <w:pPr>
              <w:keepNext w:val="0"/>
              <w:keepLines w:val="0"/>
              <w:suppressLineNumbers w:val="0"/>
              <w:autoSpaceDE w:val="0"/>
              <w:autoSpaceDN w:val="0"/>
              <w:adjustRightInd w:val="0"/>
              <w:snapToGrid w:val="0"/>
              <w:spacing w:before="0" w:beforeAutospacing="0" w:after="0" w:afterAutospacing="0"/>
              <w:ind w:left="0" w:right="0" w:firstLine="480" w:firstLineChars="200"/>
              <w:rPr>
                <w:rFonts w:hint="default"/>
                <w:color w:val="000000"/>
                <w:spacing w:val="0"/>
                <w:kern w:val="0"/>
              </w:rPr>
            </w:pPr>
            <w:r>
              <w:rPr>
                <w:rFonts w:hint="eastAsia"/>
                <w:color w:val="000000"/>
                <w:spacing w:val="0"/>
                <w:kern w:val="0"/>
              </w:rPr>
              <w:t>本项目根据《排污单位自行监测技术指南</w:t>
            </w:r>
            <w:r>
              <w:rPr>
                <w:rFonts w:hint="eastAsia"/>
                <w:color w:val="000000"/>
                <w:spacing w:val="0"/>
                <w:kern w:val="0"/>
                <w:lang w:val="en-US" w:eastAsia="zh-CN"/>
              </w:rPr>
              <w:t xml:space="preserve"> </w:t>
            </w:r>
            <w:r>
              <w:rPr>
                <w:rFonts w:hint="eastAsia"/>
                <w:color w:val="000000"/>
                <w:spacing w:val="0"/>
                <w:kern w:val="0"/>
              </w:rPr>
              <w:t>总则》（HJ819-2017）、《排污许可证申请与核发技术规范 工业炉窑》</w:t>
            </w:r>
            <w:r>
              <w:rPr>
                <w:rFonts w:hint="eastAsia"/>
                <w:color w:val="000000"/>
                <w:spacing w:val="0"/>
                <w:kern w:val="0"/>
                <w:lang w:eastAsia="zh-CN"/>
              </w:rPr>
              <w:t>（</w:t>
            </w:r>
            <w:r>
              <w:rPr>
                <w:rFonts w:hint="eastAsia"/>
                <w:color w:val="000000"/>
                <w:spacing w:val="0"/>
                <w:kern w:val="0"/>
              </w:rPr>
              <w:t>HJ</w:t>
            </w:r>
            <w:r>
              <w:rPr>
                <w:rFonts w:hint="eastAsia"/>
                <w:color w:val="000000"/>
                <w:spacing w:val="0"/>
                <w:kern w:val="0"/>
                <w:lang w:val="en-US" w:eastAsia="zh-CN"/>
              </w:rPr>
              <w:t>1121</w:t>
            </w:r>
            <w:r>
              <w:rPr>
                <w:rFonts w:hint="eastAsia"/>
                <w:color w:val="000000"/>
                <w:spacing w:val="0"/>
                <w:kern w:val="0"/>
              </w:rPr>
              <w:t>—20</w:t>
            </w:r>
            <w:r>
              <w:rPr>
                <w:rFonts w:hint="eastAsia"/>
                <w:color w:val="000000"/>
                <w:spacing w:val="0"/>
                <w:kern w:val="0"/>
                <w:lang w:val="en-US" w:eastAsia="zh-CN"/>
              </w:rPr>
              <w:t>20）</w:t>
            </w:r>
            <w:r>
              <w:rPr>
                <w:rFonts w:hint="eastAsia"/>
                <w:color w:val="000000"/>
                <w:spacing w:val="0"/>
                <w:kern w:val="0"/>
              </w:rPr>
              <w:t>要求</w:t>
            </w:r>
            <w:r>
              <w:rPr>
                <w:rFonts w:hint="eastAsia"/>
                <w:color w:val="000000"/>
                <w:spacing w:val="0"/>
                <w:kern w:val="0"/>
                <w:lang w:val="en-US" w:eastAsia="zh-CN"/>
              </w:rPr>
              <w:t>制定自行</w:t>
            </w:r>
            <w:r>
              <w:rPr>
                <w:rFonts w:hint="eastAsia"/>
                <w:color w:val="000000"/>
                <w:spacing w:val="0"/>
                <w:kern w:val="0"/>
              </w:rPr>
              <w:t>监测</w:t>
            </w:r>
            <w:r>
              <w:rPr>
                <w:rFonts w:hint="eastAsia"/>
                <w:color w:val="000000"/>
                <w:spacing w:val="0"/>
                <w:kern w:val="0"/>
                <w:lang w:val="en-US" w:eastAsia="zh-CN"/>
              </w:rPr>
              <w:t>计划</w:t>
            </w:r>
            <w:r>
              <w:rPr>
                <w:rFonts w:hint="eastAsia"/>
                <w:color w:val="000000"/>
                <w:spacing w:val="0"/>
                <w:kern w:val="0"/>
              </w:rPr>
              <w:t>。监测计划见表</w:t>
            </w:r>
            <w:r>
              <w:rPr>
                <w:rFonts w:hint="eastAsia" w:ascii="Times New Roman" w:eastAsia="宋体"/>
                <w:color w:val="000000"/>
                <w:spacing w:val="0"/>
                <w:kern w:val="0"/>
                <w:lang w:val="en-US" w:eastAsia="zh-CN"/>
              </w:rPr>
              <w:t>4-</w:t>
            </w:r>
            <w:r>
              <w:rPr>
                <w:rFonts w:hint="eastAsia"/>
                <w:color w:val="000000"/>
                <w:spacing w:val="0"/>
                <w:kern w:val="0"/>
                <w:lang w:val="en-US" w:eastAsia="zh-CN"/>
              </w:rPr>
              <w:t>3</w:t>
            </w:r>
            <w:r>
              <w:rPr>
                <w:rFonts w:hint="eastAsia"/>
                <w:color w:val="000000"/>
                <w:spacing w:val="0"/>
                <w:kern w:val="0"/>
              </w:rPr>
              <w:t>。</w:t>
            </w:r>
          </w:p>
          <w:p w14:paraId="349F09A8">
            <w:pPr>
              <w:keepNext w:val="0"/>
              <w:keepLines w:val="0"/>
              <w:suppressLineNumbers w:val="0"/>
              <w:tabs>
                <w:tab w:val="left" w:pos="6480"/>
              </w:tabs>
              <w:adjustRightInd w:val="0"/>
              <w:snapToGrid w:val="0"/>
              <w:spacing w:before="0" w:beforeAutospacing="0" w:after="0" w:afterAutospacing="0" w:line="240" w:lineRule="auto"/>
              <w:ind w:left="0" w:right="0" w:firstLine="422" w:firstLineChars="200"/>
              <w:rPr>
                <w:rFonts w:hint="default"/>
              </w:rPr>
            </w:pPr>
            <w:r>
              <w:rPr>
                <w:rFonts w:hint="eastAsia"/>
                <w:b/>
                <w:bCs/>
                <w:color w:val="000000"/>
                <w:spacing w:val="0"/>
                <w:kern w:val="0"/>
                <w:sz w:val="21"/>
                <w:szCs w:val="21"/>
                <w:lang w:bidi="ar"/>
              </w:rPr>
              <w:t>表</w:t>
            </w:r>
            <w:r>
              <w:rPr>
                <w:rFonts w:hint="eastAsia" w:ascii="Times New Roman" w:eastAsia="宋体"/>
                <w:b/>
                <w:bCs/>
                <w:color w:val="000000"/>
                <w:spacing w:val="0"/>
                <w:kern w:val="0"/>
                <w:sz w:val="21"/>
                <w:szCs w:val="21"/>
                <w:lang w:val="en-US" w:eastAsia="zh-CN" w:bidi="ar"/>
              </w:rPr>
              <w:t>4-</w:t>
            </w:r>
            <w:r>
              <w:rPr>
                <w:rFonts w:hint="eastAsia"/>
                <w:b/>
                <w:bCs/>
                <w:color w:val="000000"/>
                <w:spacing w:val="0"/>
                <w:kern w:val="0"/>
                <w:sz w:val="21"/>
                <w:szCs w:val="21"/>
                <w:lang w:val="en-US" w:eastAsia="zh-CN" w:bidi="ar"/>
              </w:rPr>
              <w:t>3</w:t>
            </w:r>
            <w:r>
              <w:rPr>
                <w:rFonts w:hint="default"/>
                <w:b/>
                <w:bCs/>
                <w:color w:val="000000"/>
                <w:spacing w:val="0"/>
                <w:kern w:val="0"/>
                <w:sz w:val="21"/>
                <w:szCs w:val="21"/>
                <w:lang w:bidi="ar"/>
              </w:rPr>
              <w:t xml:space="preserve">                         </w:t>
            </w:r>
            <w:r>
              <w:rPr>
                <w:rFonts w:hint="eastAsia"/>
                <w:b/>
                <w:bCs/>
                <w:color w:val="000000"/>
                <w:spacing w:val="0"/>
                <w:kern w:val="0"/>
                <w:sz w:val="21"/>
                <w:szCs w:val="21"/>
                <w:lang w:bidi="ar"/>
              </w:rPr>
              <w:t>废气监测计划</w:t>
            </w:r>
          </w:p>
          <w:tbl>
            <w:tblPr>
              <w:tblStyle w:val="3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2"/>
              <w:gridCol w:w="891"/>
              <w:gridCol w:w="891"/>
              <w:gridCol w:w="899"/>
              <w:gridCol w:w="5309"/>
            </w:tblGrid>
            <w:tr w14:paraId="0957DA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noWrap w:val="0"/>
                  <w:vAlign w:val="center"/>
                </w:tcPr>
                <w:p w14:paraId="3A64D3B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类别</w:t>
                  </w:r>
                </w:p>
              </w:tc>
              <w:tc>
                <w:tcPr>
                  <w:tcW w:w="528" w:type="pct"/>
                  <w:noWrap w:val="0"/>
                  <w:vAlign w:val="center"/>
                </w:tcPr>
                <w:p w14:paraId="0345D088">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监测位置</w:t>
                  </w:r>
                </w:p>
              </w:tc>
              <w:tc>
                <w:tcPr>
                  <w:tcW w:w="528" w:type="pct"/>
                  <w:noWrap w:val="0"/>
                  <w:vAlign w:val="center"/>
                </w:tcPr>
                <w:p w14:paraId="1B9007A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监测项目</w:t>
                  </w:r>
                </w:p>
              </w:tc>
              <w:tc>
                <w:tcPr>
                  <w:tcW w:w="533" w:type="pct"/>
                  <w:noWrap w:val="0"/>
                  <w:vAlign w:val="center"/>
                </w:tcPr>
                <w:p w14:paraId="50FE17C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监测频次</w:t>
                  </w:r>
                </w:p>
              </w:tc>
              <w:tc>
                <w:tcPr>
                  <w:tcW w:w="3147" w:type="pct"/>
                  <w:noWrap w:val="0"/>
                  <w:vAlign w:val="center"/>
                </w:tcPr>
                <w:p w14:paraId="18B2DCD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执行标准</w:t>
                  </w:r>
                </w:p>
              </w:tc>
            </w:tr>
            <w:tr w14:paraId="259EFF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vMerge w:val="restart"/>
                  <w:noWrap w:val="0"/>
                  <w:vAlign w:val="center"/>
                </w:tcPr>
                <w:p w14:paraId="08BE2B6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废气</w:t>
                  </w:r>
                </w:p>
              </w:tc>
              <w:tc>
                <w:tcPr>
                  <w:tcW w:w="528" w:type="pct"/>
                  <w:vMerge w:val="restart"/>
                  <w:noWrap w:val="0"/>
                  <w:vAlign w:val="center"/>
                </w:tcPr>
                <w:p w14:paraId="34DD08A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eastAsia="宋体"/>
                      <w:color w:val="000000"/>
                      <w:spacing w:val="0"/>
                      <w:kern w:val="0"/>
                      <w:sz w:val="21"/>
                      <w:szCs w:val="21"/>
                      <w:lang w:val="en-US" w:eastAsia="zh-CN"/>
                    </w:rPr>
                  </w:pPr>
                  <w:r>
                    <w:rPr>
                      <w:rFonts w:hint="default" w:ascii="Times New Roman" w:hAnsi="Times New Roman" w:eastAsia="宋体" w:cs="Times New Roman"/>
                      <w:b w:val="0"/>
                      <w:bCs w:val="0"/>
                      <w:color w:val="auto"/>
                      <w:sz w:val="21"/>
                      <w:szCs w:val="21"/>
                    </w:rPr>
                    <w:t>DA</w:t>
                  </w:r>
                  <w:r>
                    <w:rPr>
                      <w:rFonts w:hint="eastAsia" w:cs="Times New Roman"/>
                      <w:b w:val="0"/>
                      <w:bCs w:val="0"/>
                      <w:color w:val="auto"/>
                      <w:sz w:val="21"/>
                      <w:szCs w:val="21"/>
                      <w:lang w:eastAsia="zh-CN"/>
                    </w:rPr>
                    <w:t>0</w:t>
                  </w:r>
                  <w:r>
                    <w:rPr>
                      <w:rFonts w:hint="eastAsia" w:cs="Times New Roman"/>
                      <w:b w:val="0"/>
                      <w:bCs w:val="0"/>
                      <w:color w:val="auto"/>
                      <w:sz w:val="21"/>
                      <w:szCs w:val="21"/>
                      <w:lang w:val="en-US" w:eastAsia="zh-CN"/>
                    </w:rPr>
                    <w:t>01</w:t>
                  </w:r>
                </w:p>
              </w:tc>
              <w:tc>
                <w:tcPr>
                  <w:tcW w:w="528" w:type="pct"/>
                  <w:noWrap w:val="0"/>
                  <w:vAlign w:val="center"/>
                </w:tcPr>
                <w:p w14:paraId="07C4B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宋体"/>
                      <w:color w:val="000000"/>
                      <w:spacing w:val="0"/>
                      <w:kern w:val="0"/>
                      <w:sz w:val="21"/>
                      <w:szCs w:val="21"/>
                      <w:lang w:val="en-US" w:eastAsia="zh-CN"/>
                    </w:rPr>
                  </w:pPr>
                  <w:r>
                    <w:rPr>
                      <w:rFonts w:hint="eastAsia"/>
                      <w:color w:val="000000"/>
                      <w:spacing w:val="0"/>
                      <w:kern w:val="0"/>
                      <w:sz w:val="21"/>
                      <w:szCs w:val="21"/>
                      <w:lang w:val="en-US" w:eastAsia="zh-CN"/>
                    </w:rPr>
                    <w:t>硫酸雾</w:t>
                  </w:r>
                </w:p>
              </w:tc>
              <w:tc>
                <w:tcPr>
                  <w:tcW w:w="533" w:type="pct"/>
                  <w:noWrap w:val="0"/>
                  <w:vAlign w:val="center"/>
                </w:tcPr>
                <w:p w14:paraId="694E1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宋体"/>
                      <w:color w:val="000000"/>
                      <w:spacing w:val="0"/>
                      <w:kern w:val="0"/>
                      <w:sz w:val="21"/>
                      <w:szCs w:val="21"/>
                      <w:lang w:val="en-US" w:eastAsia="zh-CN"/>
                    </w:rPr>
                  </w:pPr>
                  <w:r>
                    <w:rPr>
                      <w:rFonts w:hint="eastAsia" w:ascii="Times New Roman" w:eastAsia="宋体"/>
                      <w:color w:val="000000"/>
                      <w:spacing w:val="0"/>
                      <w:kern w:val="0"/>
                      <w:sz w:val="21"/>
                      <w:szCs w:val="21"/>
                      <w:lang w:val="en-US" w:eastAsia="zh-CN"/>
                    </w:rPr>
                    <w:t>1次/半年</w:t>
                  </w:r>
                </w:p>
              </w:tc>
              <w:tc>
                <w:tcPr>
                  <w:tcW w:w="3147" w:type="pct"/>
                  <w:noWrap w:val="0"/>
                  <w:vAlign w:val="center"/>
                </w:tcPr>
                <w:p w14:paraId="401EDEBB">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《大气污染物综合排放标准》（GB16297-1996）</w:t>
                  </w:r>
                  <w:r>
                    <w:rPr>
                      <w:rFonts w:hint="eastAsia"/>
                      <w:color w:val="000000"/>
                      <w:spacing w:val="0"/>
                      <w:kern w:val="0"/>
                      <w:sz w:val="21"/>
                      <w:szCs w:val="21"/>
                      <w:lang w:val="en-US" w:eastAsia="zh-CN"/>
                    </w:rPr>
                    <w:t>中表2</w:t>
                  </w:r>
                </w:p>
              </w:tc>
            </w:tr>
            <w:tr w14:paraId="6CE737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vMerge w:val="continue"/>
                  <w:noWrap w:val="0"/>
                  <w:vAlign w:val="center"/>
                </w:tcPr>
                <w:p w14:paraId="6B4D817A">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p>
              </w:tc>
              <w:tc>
                <w:tcPr>
                  <w:tcW w:w="528" w:type="pct"/>
                  <w:vMerge w:val="continue"/>
                  <w:noWrap w:val="0"/>
                  <w:vAlign w:val="center"/>
                </w:tcPr>
                <w:p w14:paraId="106FD40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rPr>
                  </w:pPr>
                </w:p>
              </w:tc>
              <w:tc>
                <w:tcPr>
                  <w:tcW w:w="528" w:type="pct"/>
                  <w:shd w:val="clear" w:color="auto" w:fill="auto"/>
                  <w:noWrap w:val="0"/>
                  <w:vAlign w:val="center"/>
                </w:tcPr>
                <w:p w14:paraId="7BFF01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cs="Times New Roman"/>
                      <w:bCs/>
                      <w:sz w:val="21"/>
                      <w:szCs w:val="21"/>
                      <w:shd w:val="clear" w:color="auto" w:fill="auto"/>
                    </w:rPr>
                    <w:t>SO</w:t>
                  </w:r>
                  <w:r>
                    <w:rPr>
                      <w:rFonts w:hint="default" w:ascii="Times New Roman" w:hAnsi="Times New Roman" w:cs="Times New Roman"/>
                      <w:bCs/>
                      <w:sz w:val="21"/>
                      <w:szCs w:val="21"/>
                      <w:shd w:val="clear" w:color="auto" w:fill="auto"/>
                      <w:vertAlign w:val="subscript"/>
                    </w:rPr>
                    <w:t>2</w:t>
                  </w:r>
                  <w:r>
                    <w:rPr>
                      <w:rFonts w:hint="default" w:ascii="Times New Roman" w:hAnsi="Times New Roman" w:cs="Times New Roman"/>
                      <w:bCs/>
                      <w:sz w:val="21"/>
                      <w:szCs w:val="21"/>
                      <w:shd w:val="clear" w:color="auto" w:fill="auto"/>
                    </w:rPr>
                    <w:t>、NO</w:t>
                  </w:r>
                  <w:r>
                    <w:rPr>
                      <w:rFonts w:hint="default" w:ascii="Times New Roman" w:hAnsi="Times New Roman" w:cs="Times New Roman"/>
                      <w:bCs/>
                      <w:sz w:val="21"/>
                      <w:szCs w:val="21"/>
                      <w:shd w:val="clear" w:color="auto" w:fill="auto"/>
                      <w:vertAlign w:val="subscript"/>
                    </w:rPr>
                    <w:t>X</w:t>
                  </w:r>
                  <w:r>
                    <w:rPr>
                      <w:rFonts w:hint="default" w:ascii="Times New Roman" w:hAnsi="Times New Roman" w:cs="Times New Roman"/>
                      <w:bCs/>
                      <w:sz w:val="21"/>
                      <w:szCs w:val="21"/>
                      <w:shd w:val="clear" w:color="auto" w:fill="auto"/>
                    </w:rPr>
                    <w:t>、颗粒物</w:t>
                  </w:r>
                </w:p>
              </w:tc>
              <w:tc>
                <w:tcPr>
                  <w:tcW w:w="533" w:type="pct"/>
                  <w:shd w:val="clear" w:color="auto" w:fill="auto"/>
                  <w:noWrap w:val="0"/>
                  <w:vAlign w:val="center"/>
                </w:tcPr>
                <w:p w14:paraId="799A48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ascii="Times New Roman" w:eastAsia="宋体"/>
                      <w:color w:val="000000"/>
                      <w:spacing w:val="0"/>
                      <w:kern w:val="0"/>
                      <w:sz w:val="21"/>
                      <w:szCs w:val="21"/>
                      <w:lang w:val="en-US" w:eastAsia="zh-CN"/>
                    </w:rPr>
                    <w:t>1次/年</w:t>
                  </w:r>
                </w:p>
              </w:tc>
              <w:tc>
                <w:tcPr>
                  <w:tcW w:w="3147" w:type="pct"/>
                  <w:shd w:val="clear" w:color="auto" w:fill="auto"/>
                  <w:noWrap w:val="0"/>
                  <w:vAlign w:val="center"/>
                </w:tcPr>
                <w:p w14:paraId="14E0C3F5">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bidi="ar-SA"/>
                    </w:rPr>
                    <w:t>《关于印发自治州工业窑炉大气污染综合治理实施方案的通知》中重点区域工业窑炉大气污染物排放特别限值</w:t>
                  </w:r>
                </w:p>
              </w:tc>
            </w:tr>
            <w:tr w14:paraId="06DFC2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vMerge w:val="continue"/>
                  <w:noWrap w:val="0"/>
                  <w:vAlign w:val="center"/>
                </w:tcPr>
                <w:p w14:paraId="3228D45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p>
              </w:tc>
              <w:tc>
                <w:tcPr>
                  <w:tcW w:w="528" w:type="pct"/>
                  <w:vMerge w:val="continue"/>
                  <w:noWrap w:val="0"/>
                  <w:vAlign w:val="center"/>
                </w:tcPr>
                <w:p w14:paraId="7759CB48">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rPr>
                  </w:pPr>
                </w:p>
              </w:tc>
              <w:tc>
                <w:tcPr>
                  <w:tcW w:w="528" w:type="pct"/>
                  <w:shd w:val="clear" w:color="auto" w:fill="auto"/>
                  <w:noWrap w:val="0"/>
                  <w:vAlign w:val="center"/>
                </w:tcPr>
                <w:p w14:paraId="7EA8EE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Cs/>
                      <w:sz w:val="21"/>
                      <w:szCs w:val="21"/>
                      <w:shd w:val="clear" w:color="auto" w:fill="auto"/>
                      <w:lang w:val="en-US" w:eastAsia="zh-CN"/>
                    </w:rPr>
                  </w:pPr>
                  <w:r>
                    <w:rPr>
                      <w:rFonts w:hint="eastAsia" w:ascii="Times New Roman" w:hAnsi="Times New Roman" w:cs="Times New Roman"/>
                      <w:bCs/>
                      <w:sz w:val="21"/>
                      <w:szCs w:val="21"/>
                      <w:shd w:val="clear" w:color="auto" w:fill="auto"/>
                      <w:lang w:val="en-US" w:eastAsia="zh-CN"/>
                    </w:rPr>
                    <w:t>烟气黑度</w:t>
                  </w:r>
                </w:p>
              </w:tc>
              <w:tc>
                <w:tcPr>
                  <w:tcW w:w="533" w:type="pct"/>
                  <w:shd w:val="clear" w:color="auto" w:fill="auto"/>
                  <w:noWrap w:val="0"/>
                  <w:vAlign w:val="center"/>
                </w:tcPr>
                <w:p w14:paraId="1B2E8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eastAsia="宋体"/>
                      <w:color w:val="000000"/>
                      <w:spacing w:val="0"/>
                      <w:kern w:val="0"/>
                      <w:sz w:val="21"/>
                      <w:szCs w:val="21"/>
                      <w:lang w:val="en-US" w:eastAsia="zh-CN"/>
                    </w:rPr>
                  </w:pPr>
                  <w:r>
                    <w:rPr>
                      <w:rFonts w:hint="eastAsia" w:ascii="Times New Roman" w:eastAsia="宋体"/>
                      <w:color w:val="000000"/>
                      <w:spacing w:val="0"/>
                      <w:kern w:val="0"/>
                      <w:sz w:val="21"/>
                      <w:szCs w:val="21"/>
                      <w:lang w:val="en-US" w:eastAsia="zh-CN"/>
                    </w:rPr>
                    <w:t>1次/年</w:t>
                  </w:r>
                </w:p>
              </w:tc>
              <w:tc>
                <w:tcPr>
                  <w:tcW w:w="3147" w:type="pct"/>
                  <w:shd w:val="clear" w:color="auto" w:fill="auto"/>
                  <w:noWrap w:val="0"/>
                  <w:vAlign w:val="center"/>
                </w:tcPr>
                <w:p w14:paraId="7AE2036F">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bidi="ar-SA"/>
                    </w:rPr>
                    <w:t>《工业炉窑大气污染物排放标准》</w:t>
                  </w:r>
                  <w:r>
                    <w:rPr>
                      <w:rFonts w:hint="eastAsia" w:cs="Times New Roman"/>
                      <w:color w:val="000000"/>
                      <w:spacing w:val="0"/>
                      <w:kern w:val="0"/>
                      <w:sz w:val="21"/>
                      <w:szCs w:val="21"/>
                      <w:lang w:val="en-US" w:eastAsia="zh-CN" w:bidi="ar-SA"/>
                    </w:rPr>
                    <w:t>（</w:t>
                  </w:r>
                  <w:r>
                    <w:rPr>
                      <w:rFonts w:hint="default" w:ascii="Times New Roman" w:hAnsi="Times New Roman" w:eastAsia="宋体" w:cs="Times New Roman"/>
                      <w:color w:val="000000"/>
                      <w:spacing w:val="0"/>
                      <w:kern w:val="0"/>
                      <w:sz w:val="21"/>
                      <w:szCs w:val="21"/>
                      <w:lang w:val="en-US" w:eastAsia="zh-CN" w:bidi="ar-SA"/>
                    </w:rPr>
                    <w:t>GB9078-1996</w:t>
                  </w:r>
                  <w:r>
                    <w:rPr>
                      <w:rFonts w:hint="eastAsia" w:cs="Times New Roman"/>
                      <w:color w:val="000000"/>
                      <w:spacing w:val="0"/>
                      <w:kern w:val="0"/>
                      <w:sz w:val="21"/>
                      <w:szCs w:val="21"/>
                      <w:lang w:val="en-US" w:eastAsia="zh-CN" w:bidi="ar-SA"/>
                    </w:rPr>
                    <w:t>）</w:t>
                  </w:r>
                  <w:r>
                    <w:rPr>
                      <w:rFonts w:hint="default" w:ascii="Times New Roman" w:hAnsi="Times New Roman" w:eastAsia="宋体" w:cs="Times New Roman"/>
                      <w:color w:val="000000"/>
                      <w:spacing w:val="0"/>
                      <w:kern w:val="0"/>
                      <w:sz w:val="21"/>
                      <w:szCs w:val="21"/>
                      <w:lang w:val="en-US" w:eastAsia="zh-CN" w:bidi="ar-SA"/>
                    </w:rPr>
                    <w:t>表2二级标准</w:t>
                  </w:r>
                </w:p>
              </w:tc>
            </w:tr>
            <w:tr w14:paraId="6625DD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62" w:type="pct"/>
                  <w:vMerge w:val="continue"/>
                  <w:noWrap w:val="0"/>
                  <w:vAlign w:val="center"/>
                </w:tcPr>
                <w:p w14:paraId="38E838D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p>
              </w:tc>
              <w:tc>
                <w:tcPr>
                  <w:tcW w:w="528" w:type="pct"/>
                  <w:noWrap w:val="0"/>
                  <w:vAlign w:val="center"/>
                </w:tcPr>
                <w:p w14:paraId="532F07AA">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厂界</w:t>
                  </w:r>
                  <w:r>
                    <w:rPr>
                      <w:rFonts w:hint="eastAsia"/>
                      <w:color w:val="000000"/>
                      <w:spacing w:val="0"/>
                      <w:kern w:val="0"/>
                      <w:sz w:val="21"/>
                      <w:szCs w:val="21"/>
                      <w:lang w:val="en-US" w:eastAsia="zh-CN"/>
                    </w:rPr>
                    <w:t>外</w:t>
                  </w:r>
                </w:p>
              </w:tc>
              <w:tc>
                <w:tcPr>
                  <w:tcW w:w="528" w:type="pct"/>
                  <w:noWrap w:val="0"/>
                  <w:vAlign w:val="center"/>
                </w:tcPr>
                <w:p w14:paraId="4FB707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000000"/>
                      <w:spacing w:val="0"/>
                      <w:kern w:val="0"/>
                      <w:sz w:val="21"/>
                      <w:szCs w:val="21"/>
                      <w:lang w:val="en-US" w:eastAsia="zh-CN"/>
                    </w:rPr>
                  </w:pPr>
                  <w:r>
                    <w:rPr>
                      <w:rFonts w:hint="eastAsia"/>
                      <w:color w:val="000000"/>
                      <w:spacing w:val="0"/>
                      <w:kern w:val="0"/>
                      <w:sz w:val="21"/>
                      <w:szCs w:val="21"/>
                      <w:lang w:val="en-US" w:eastAsia="zh-CN"/>
                    </w:rPr>
                    <w:t>颗粒物、硫酸雾</w:t>
                  </w:r>
                </w:p>
              </w:tc>
              <w:tc>
                <w:tcPr>
                  <w:tcW w:w="533" w:type="pct"/>
                  <w:noWrap w:val="0"/>
                  <w:vAlign w:val="center"/>
                </w:tcPr>
                <w:p w14:paraId="0C273049">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spacing w:val="0"/>
                      <w:kern w:val="0"/>
                      <w:sz w:val="21"/>
                      <w:szCs w:val="21"/>
                      <w:lang w:eastAsia="zh-CN"/>
                    </w:rPr>
                  </w:pPr>
                  <w:r>
                    <w:rPr>
                      <w:rFonts w:hint="default"/>
                      <w:color w:val="000000"/>
                      <w:spacing w:val="0"/>
                      <w:kern w:val="0"/>
                      <w:sz w:val="21"/>
                      <w:szCs w:val="21"/>
                    </w:rPr>
                    <w:t>1次/</w:t>
                  </w:r>
                  <w:r>
                    <w:rPr>
                      <w:rFonts w:hint="eastAsia"/>
                      <w:color w:val="000000"/>
                      <w:spacing w:val="0"/>
                      <w:kern w:val="0"/>
                      <w:sz w:val="21"/>
                      <w:szCs w:val="21"/>
                      <w:lang w:val="en-US" w:eastAsia="zh-CN"/>
                    </w:rPr>
                    <w:t>半年</w:t>
                  </w:r>
                </w:p>
              </w:tc>
              <w:tc>
                <w:tcPr>
                  <w:tcW w:w="3147" w:type="pct"/>
                  <w:noWrap w:val="0"/>
                  <w:vAlign w:val="center"/>
                </w:tcPr>
                <w:p w14:paraId="37BBAADE">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000000"/>
                      <w:spacing w:val="0"/>
                      <w:kern w:val="0"/>
                      <w:sz w:val="21"/>
                      <w:szCs w:val="21"/>
                    </w:rPr>
                  </w:pPr>
                  <w:r>
                    <w:rPr>
                      <w:rFonts w:hint="default"/>
                      <w:color w:val="000000"/>
                      <w:spacing w:val="0"/>
                      <w:kern w:val="0"/>
                      <w:sz w:val="21"/>
                      <w:szCs w:val="21"/>
                    </w:rPr>
                    <w:t>《大气污染物综合排放标准》（GB16297-1996）</w:t>
                  </w:r>
                  <w:r>
                    <w:rPr>
                      <w:rFonts w:hint="eastAsia"/>
                      <w:color w:val="000000"/>
                      <w:spacing w:val="0"/>
                      <w:kern w:val="0"/>
                      <w:sz w:val="21"/>
                      <w:szCs w:val="21"/>
                      <w:lang w:val="en-US" w:eastAsia="zh-CN"/>
                    </w:rPr>
                    <w:t>中表2</w:t>
                  </w:r>
                </w:p>
              </w:tc>
            </w:tr>
          </w:tbl>
          <w:p w14:paraId="30E63D9D">
            <w:pPr>
              <w:keepNext w:val="0"/>
              <w:keepLines w:val="0"/>
              <w:suppressLineNumbers w:val="0"/>
              <w:adjustRightInd w:val="0"/>
              <w:snapToGrid w:val="0"/>
              <w:spacing w:before="0" w:beforeAutospacing="0" w:after="0" w:afterAutospacing="0"/>
              <w:ind w:left="0" w:right="0"/>
              <w:rPr>
                <w:rFonts w:hint="default"/>
                <w:b/>
                <w:bCs/>
                <w:color w:val="000000"/>
                <w:spacing w:val="0"/>
                <w:kern w:val="0"/>
              </w:rPr>
            </w:pPr>
            <w:r>
              <w:rPr>
                <w:rFonts w:hint="default"/>
                <w:b/>
                <w:bCs/>
                <w:color w:val="000000"/>
                <w:spacing w:val="0"/>
                <w:kern w:val="0"/>
              </w:rPr>
              <w:t>2废水</w:t>
            </w:r>
          </w:p>
          <w:p w14:paraId="16ACA444">
            <w:pPr>
              <w:keepNext w:val="0"/>
              <w:keepLines w:val="0"/>
              <w:widowControl w:val="0"/>
              <w:suppressLineNumbers w:val="0"/>
              <w:spacing w:before="0" w:beforeAutospacing="0" w:after="0" w:afterAutospacing="0" w:line="360" w:lineRule="auto"/>
              <w:ind w:left="0" w:right="0" w:firstLine="482" w:firstLineChars="200"/>
              <w:jc w:val="both"/>
              <w:rPr>
                <w:rFonts w:hint="default" w:eastAsia="宋体"/>
                <w:lang w:val="en-US" w:eastAsia="zh-CN"/>
              </w:rPr>
            </w:pPr>
            <w:r>
              <w:rPr>
                <w:rFonts w:hint="eastAsia"/>
                <w:b/>
                <w:bCs/>
                <w:color w:val="000000"/>
                <w:spacing w:val="0"/>
                <w:kern w:val="0"/>
                <w:lang w:val="en-US" w:eastAsia="zh-CN"/>
              </w:rPr>
              <w:t>2.1</w:t>
            </w:r>
            <w:r>
              <w:rPr>
                <w:rFonts w:hint="eastAsia" w:ascii="宋体" w:hAnsi="宋体" w:eastAsia="宋体" w:cs="宋体"/>
                <w:b/>
                <w:bCs/>
                <w:color w:val="000000"/>
                <w:spacing w:val="0"/>
                <w:kern w:val="0"/>
                <w:sz w:val="24"/>
                <w:szCs w:val="24"/>
                <w:lang w:val="en-US" w:eastAsia="zh-CN" w:bidi="ar"/>
              </w:rPr>
              <w:t>水污染源分析</w:t>
            </w:r>
          </w:p>
          <w:p w14:paraId="7F6AAA32">
            <w:pPr>
              <w:keepNext w:val="0"/>
              <w:keepLines w:val="0"/>
              <w:suppressLineNumbers w:val="0"/>
              <w:spacing w:before="0" w:beforeAutospacing="0" w:after="0" w:afterAutospacing="0"/>
              <w:ind w:left="0" w:right="0" w:firstLine="480" w:firstLineChars="200"/>
              <w:rPr>
                <w:rFonts w:hint="eastAsia"/>
                <w:color w:val="000000"/>
                <w:kern w:val="0"/>
                <w:lang w:val="en-US" w:eastAsia="zh-CN"/>
              </w:rPr>
            </w:pPr>
            <w:r>
              <w:rPr>
                <w:rFonts w:hint="eastAsia" w:ascii="Times New Roman" w:hAnsi="Times New Roman" w:eastAsia="宋体" w:cs="Times New Roman"/>
                <w:sz w:val="24"/>
                <w:szCs w:val="32"/>
                <w:lang w:val="en-US" w:eastAsia="zh-CN"/>
              </w:rPr>
              <w:t>本项目不产生生产废水，硫酸稀释用水及碱洗塔喷淋用水循环使用，不外排。</w:t>
            </w:r>
          </w:p>
          <w:p w14:paraId="6706AD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cs="Times New Roman"/>
                <w:b w:val="0"/>
                <w:bCs/>
                <w:color w:val="000000"/>
                <w:sz w:val="24"/>
                <w:szCs w:val="24"/>
                <w:highlight w:val="none"/>
                <w:lang w:val="en-US" w:eastAsia="zh-CN"/>
              </w:rPr>
              <w:t>生活污水</w:t>
            </w:r>
            <w:r>
              <w:rPr>
                <w:rFonts w:hint="eastAsia" w:cs="Times New Roman"/>
                <w:b w:val="0"/>
                <w:bCs/>
                <w:color w:val="000000"/>
                <w:sz w:val="24"/>
                <w:szCs w:val="24"/>
                <w:highlight w:val="none"/>
                <w:lang w:val="en-US" w:eastAsia="zh-CN"/>
              </w:rPr>
              <w:t>经</w:t>
            </w:r>
            <w:r>
              <w:rPr>
                <w:rFonts w:hint="eastAsia" w:ascii="Times New Roman" w:hAnsi="Times New Roman" w:cs="Times New Roman"/>
                <w:b w:val="0"/>
                <w:bCs/>
                <w:color w:val="000000"/>
                <w:sz w:val="24"/>
                <w:szCs w:val="24"/>
                <w:highlight w:val="none"/>
                <w:lang w:val="en-US" w:eastAsia="zh-CN"/>
              </w:rPr>
              <w:t>防渗</w:t>
            </w:r>
            <w:r>
              <w:rPr>
                <w:rFonts w:hint="eastAsia" w:cs="Times New Roman"/>
                <w:b w:val="0"/>
                <w:bCs/>
                <w:color w:val="000000"/>
                <w:sz w:val="24"/>
                <w:szCs w:val="24"/>
                <w:highlight w:val="none"/>
                <w:lang w:val="en-US" w:eastAsia="zh-CN"/>
              </w:rPr>
              <w:t>化粪池收集后通过园区下水管网排入</w:t>
            </w:r>
            <w:r>
              <w:rPr>
                <w:rFonts w:hint="eastAsia"/>
                <w:color w:val="000000"/>
                <w:kern w:val="0"/>
                <w:lang w:val="en-US" w:eastAsia="zh-CN"/>
              </w:rPr>
              <w:t>尉犁县污水处理厂</w:t>
            </w:r>
            <w:r>
              <w:rPr>
                <w:rFonts w:hint="eastAsia" w:cs="Times New Roman"/>
                <w:color w:val="000000"/>
                <w:spacing w:val="-4"/>
                <w:sz w:val="24"/>
                <w:szCs w:val="24"/>
                <w:lang w:val="en-US" w:eastAsia="zh-CN"/>
              </w:rPr>
              <w:t>进行深度处理，</w:t>
            </w:r>
            <w:r>
              <w:rPr>
                <w:rFonts w:hint="default"/>
                <w:color w:val="000000"/>
                <w:kern w:val="0"/>
                <w:sz w:val="24"/>
                <w:szCs w:val="24"/>
              </w:rPr>
              <w:t>人员生活用水依据《</w:t>
            </w:r>
            <w:r>
              <w:rPr>
                <w:rFonts w:hint="eastAsia"/>
                <w:color w:val="000000"/>
                <w:kern w:val="0"/>
                <w:sz w:val="24"/>
                <w:szCs w:val="24"/>
              </w:rPr>
              <w:t>新疆维吾尔自治区</w:t>
            </w:r>
            <w:r>
              <w:rPr>
                <w:rFonts w:hint="default"/>
                <w:color w:val="000000"/>
                <w:kern w:val="0"/>
                <w:sz w:val="24"/>
                <w:szCs w:val="24"/>
              </w:rPr>
              <w:t>生活用水定额》，每人每天用水定额为</w:t>
            </w:r>
            <w:r>
              <w:rPr>
                <w:rFonts w:hint="eastAsia"/>
                <w:color w:val="000000"/>
                <w:kern w:val="0"/>
                <w:sz w:val="24"/>
                <w:szCs w:val="24"/>
              </w:rPr>
              <w:t>80</w:t>
            </w:r>
            <w:r>
              <w:rPr>
                <w:rFonts w:hint="default"/>
                <w:color w:val="000000"/>
                <w:kern w:val="0"/>
                <w:sz w:val="24"/>
                <w:szCs w:val="24"/>
              </w:rPr>
              <w:t>L/人·d，项目有效生产天数为</w:t>
            </w:r>
            <w:r>
              <w:rPr>
                <w:rFonts w:hint="eastAsia"/>
                <w:color w:val="000000"/>
                <w:kern w:val="0"/>
                <w:sz w:val="24"/>
                <w:szCs w:val="24"/>
                <w:lang w:val="en-US" w:eastAsia="zh-CN"/>
              </w:rPr>
              <w:t>180</w:t>
            </w:r>
            <w:r>
              <w:rPr>
                <w:rFonts w:hint="default"/>
                <w:color w:val="000000"/>
                <w:kern w:val="0"/>
                <w:sz w:val="24"/>
                <w:szCs w:val="24"/>
              </w:rPr>
              <w:t>d，厂区劳动定员</w:t>
            </w:r>
            <w:r>
              <w:rPr>
                <w:rFonts w:hint="eastAsia"/>
                <w:color w:val="000000"/>
                <w:kern w:val="0"/>
                <w:sz w:val="24"/>
                <w:szCs w:val="24"/>
                <w:lang w:val="en-US" w:eastAsia="zh-CN"/>
              </w:rPr>
              <w:t>20</w:t>
            </w:r>
            <w:r>
              <w:rPr>
                <w:rFonts w:hint="default"/>
                <w:color w:val="000000"/>
                <w:kern w:val="0"/>
                <w:sz w:val="24"/>
                <w:szCs w:val="24"/>
              </w:rPr>
              <w:t>人，本项目厂区人员生活用水量为</w:t>
            </w:r>
            <w:r>
              <w:rPr>
                <w:rFonts w:hint="eastAsia"/>
                <w:color w:val="000000"/>
                <w:kern w:val="0"/>
                <w:sz w:val="24"/>
                <w:szCs w:val="24"/>
                <w:lang w:val="en-US" w:eastAsia="zh-CN"/>
              </w:rPr>
              <w:t>288</w:t>
            </w:r>
            <w:r>
              <w:rPr>
                <w:rFonts w:hint="default"/>
                <w:color w:val="000000"/>
                <w:kern w:val="0"/>
                <w:sz w:val="24"/>
                <w:szCs w:val="24"/>
              </w:rPr>
              <w:t>m</w:t>
            </w:r>
            <w:r>
              <w:rPr>
                <w:rFonts w:hint="default"/>
                <w:color w:val="000000"/>
                <w:kern w:val="0"/>
                <w:sz w:val="24"/>
                <w:szCs w:val="24"/>
                <w:vertAlign w:val="superscript"/>
              </w:rPr>
              <w:t>3</w:t>
            </w:r>
            <w:r>
              <w:rPr>
                <w:rFonts w:hint="default"/>
                <w:color w:val="000000"/>
                <w:kern w:val="0"/>
                <w:sz w:val="24"/>
                <w:szCs w:val="24"/>
              </w:rPr>
              <w:t>/a</w:t>
            </w:r>
            <w:r>
              <w:rPr>
                <w:rFonts w:hint="eastAsia"/>
                <w:color w:val="000000"/>
                <w:kern w:val="0"/>
                <w:sz w:val="24"/>
                <w:szCs w:val="24"/>
                <w:lang w:eastAsia="zh-CN"/>
              </w:rPr>
              <w:t>。</w:t>
            </w:r>
            <w:r>
              <w:rPr>
                <w:rFonts w:hint="eastAsia" w:cs="Times New Roman"/>
                <w:bCs/>
                <w:color w:val="000000"/>
                <w:sz w:val="24"/>
                <w:highlight w:val="none"/>
              </w:rPr>
              <w:t>排水量按</w:t>
            </w:r>
            <w:r>
              <w:rPr>
                <w:rFonts w:hint="eastAsia" w:cs="Times New Roman"/>
                <w:bCs/>
                <w:color w:val="000000"/>
                <w:sz w:val="24"/>
                <w:highlight w:val="none"/>
                <w:lang w:val="en-US" w:eastAsia="zh-CN"/>
              </w:rPr>
              <w:t>80</w:t>
            </w:r>
            <w:r>
              <w:rPr>
                <w:rFonts w:hint="eastAsia" w:cs="Times New Roman"/>
                <w:bCs/>
                <w:color w:val="000000"/>
                <w:sz w:val="24"/>
                <w:highlight w:val="none"/>
              </w:rPr>
              <w:t>%计，为</w:t>
            </w:r>
            <w:r>
              <w:rPr>
                <w:rFonts w:hint="eastAsia" w:cs="Times New Roman"/>
                <w:color w:val="000000"/>
                <w:sz w:val="24"/>
                <w:szCs w:val="24"/>
                <w:highlight w:val="none"/>
                <w:lang w:val="en-US" w:eastAsia="zh-CN"/>
              </w:rPr>
              <w:t>1.28</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/d，</w:t>
            </w:r>
            <w:r>
              <w:rPr>
                <w:rFonts w:hint="eastAsia" w:cs="Times New Roman"/>
                <w:color w:val="000000"/>
                <w:sz w:val="24"/>
                <w:szCs w:val="24"/>
                <w:highlight w:val="none"/>
                <w:lang w:val="en-US" w:eastAsia="zh-CN"/>
              </w:rPr>
              <w:t>230.4</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/a</w:t>
            </w:r>
            <w:r>
              <w:rPr>
                <w:rFonts w:hint="eastAsia" w:cs="Times New Roman"/>
                <w:bCs/>
                <w:color w:val="000000"/>
                <w:sz w:val="24"/>
                <w:highlight w:val="none"/>
              </w:rPr>
              <w:t>。</w:t>
            </w:r>
            <w:r>
              <w:rPr>
                <w:rFonts w:hint="default" w:cs="Times New Roman"/>
                <w:bCs/>
                <w:color w:val="000000"/>
                <w:sz w:val="24"/>
                <w:highlight w:val="none"/>
              </w:rPr>
              <w:t>各类排水污染物浓度及排放量见表</w:t>
            </w:r>
            <w:r>
              <w:rPr>
                <w:rFonts w:hint="eastAsia" w:cs="Times New Roman"/>
                <w:bCs/>
                <w:color w:val="000000"/>
                <w:sz w:val="24"/>
                <w:highlight w:val="none"/>
                <w:lang w:val="en-US" w:eastAsia="zh-CN"/>
              </w:rPr>
              <w:t>4-4</w:t>
            </w:r>
            <w:r>
              <w:rPr>
                <w:rFonts w:hint="default" w:cs="Times New Roman"/>
                <w:bCs/>
                <w:color w:val="000000"/>
                <w:sz w:val="24"/>
                <w:highlight w:val="none"/>
              </w:rPr>
              <w:t>。</w:t>
            </w:r>
          </w:p>
          <w:p w14:paraId="52F34C61">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22"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val="0"/>
                <w:color w:val="000000"/>
                <w:sz w:val="21"/>
                <w:szCs w:val="21"/>
                <w:highlight w:val="none"/>
              </w:rPr>
              <w:t>表</w:t>
            </w:r>
            <w:r>
              <w:rPr>
                <w:rFonts w:hint="eastAsia" w:cs="Times New Roman"/>
                <w:b/>
                <w:bCs w:val="0"/>
                <w:color w:val="000000"/>
                <w:sz w:val="21"/>
                <w:szCs w:val="21"/>
                <w:highlight w:val="none"/>
                <w:lang w:val="en-US" w:eastAsia="zh-CN"/>
              </w:rPr>
              <w:t>4-4</w:t>
            </w:r>
            <w:r>
              <w:rPr>
                <w:rFonts w:hint="default" w:ascii="Times New Roman" w:hAnsi="Times New Roman" w:eastAsia="宋体" w:cs="Times New Roman"/>
                <w:b/>
                <w:bCs w:val="0"/>
                <w:color w:val="000000"/>
                <w:sz w:val="21"/>
                <w:szCs w:val="21"/>
                <w:highlight w:val="none"/>
                <w:lang w:val="en-US" w:eastAsia="zh-CN"/>
              </w:rPr>
              <w:t xml:space="preserve">               </w:t>
            </w:r>
            <w:r>
              <w:rPr>
                <w:rFonts w:hint="eastAsia" w:ascii="Times New Roman" w:hAnsi="Times New Roman" w:eastAsia="宋体" w:cs="Times New Roman"/>
                <w:b/>
                <w:bCs w:val="0"/>
                <w:color w:val="000000"/>
                <w:sz w:val="21"/>
                <w:szCs w:val="21"/>
                <w:highlight w:val="none"/>
                <w:lang w:val="en-US" w:eastAsia="zh-CN"/>
              </w:rPr>
              <w:t xml:space="preserve">  </w:t>
            </w:r>
            <w:r>
              <w:rPr>
                <w:rFonts w:hint="default" w:ascii="Times New Roman" w:hAnsi="Times New Roman" w:eastAsia="宋体" w:cs="Times New Roman"/>
                <w:b/>
                <w:bCs w:val="0"/>
                <w:color w:val="000000"/>
                <w:sz w:val="21"/>
                <w:szCs w:val="21"/>
                <w:highlight w:val="none"/>
              </w:rPr>
              <w:t>本项目废水污染产生排放情况一览表</w:t>
            </w:r>
          </w:p>
          <w:tbl>
            <w:tblPr>
              <w:tblStyle w:val="35"/>
              <w:tblW w:w="4998" w:type="pct"/>
              <w:tblInd w:w="0" w:type="dxa"/>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69"/>
              <w:gridCol w:w="2085"/>
              <w:gridCol w:w="1093"/>
              <w:gridCol w:w="1093"/>
              <w:gridCol w:w="1093"/>
              <w:gridCol w:w="1125"/>
            </w:tblGrid>
            <w:tr w14:paraId="23245CD3">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25" w:type="dxa"/>
                  <w:vMerge w:val="restart"/>
                  <w:tcBorders>
                    <w:tl2br w:val="nil"/>
                    <w:tr2bl w:val="nil"/>
                  </w:tcBorders>
                  <w:noWrap w:val="0"/>
                  <w:vAlign w:val="center"/>
                </w:tcPr>
                <w:p w14:paraId="7FE5F1D8">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废水类别</w:t>
                  </w:r>
                </w:p>
              </w:tc>
              <w:tc>
                <w:tcPr>
                  <w:tcW w:w="1009" w:type="dxa"/>
                  <w:vMerge w:val="restart"/>
                  <w:tcBorders>
                    <w:tl2br w:val="nil"/>
                    <w:tr2bl w:val="nil"/>
                  </w:tcBorders>
                  <w:noWrap w:val="0"/>
                  <w:vAlign w:val="center"/>
                </w:tcPr>
                <w:p w14:paraId="0FE5AD37">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废水量m</w:t>
                  </w:r>
                  <w:r>
                    <w:rPr>
                      <w:rFonts w:hint="default" w:ascii="Times New Roman" w:hAnsi="Times New Roman"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val="en-US" w:eastAsia="zh-CN"/>
                    </w:rPr>
                    <w:t>/a</w:t>
                  </w:r>
                </w:p>
              </w:tc>
              <w:tc>
                <w:tcPr>
                  <w:tcW w:w="1968" w:type="dxa"/>
                  <w:vMerge w:val="restart"/>
                  <w:tcBorders>
                    <w:tl2br w:val="nil"/>
                    <w:tr2bl w:val="nil"/>
                  </w:tcBorders>
                  <w:noWrap w:val="0"/>
                  <w:vAlign w:val="center"/>
                </w:tcPr>
                <w:p w14:paraId="62008CAB">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p>
              </w:tc>
              <w:tc>
                <w:tcPr>
                  <w:tcW w:w="4158" w:type="dxa"/>
                  <w:gridSpan w:val="4"/>
                  <w:tcBorders>
                    <w:tl2br w:val="nil"/>
                    <w:tr2bl w:val="nil"/>
                  </w:tcBorders>
                  <w:noWrap w:val="0"/>
                  <w:vAlign w:val="center"/>
                </w:tcPr>
                <w:p w14:paraId="6DC4BA52">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水质组成</w:t>
                  </w:r>
                </w:p>
              </w:tc>
            </w:tr>
            <w:tr w14:paraId="3D3537D6">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25" w:type="dxa"/>
                  <w:vMerge w:val="continue"/>
                  <w:tcBorders>
                    <w:tl2br w:val="nil"/>
                    <w:tr2bl w:val="nil"/>
                  </w:tcBorders>
                  <w:noWrap w:val="0"/>
                  <w:vAlign w:val="center"/>
                </w:tcPr>
                <w:p w14:paraId="25E11FB8">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1009" w:type="dxa"/>
                  <w:vMerge w:val="continue"/>
                  <w:tcBorders>
                    <w:tl2br w:val="nil"/>
                    <w:tr2bl w:val="nil"/>
                  </w:tcBorders>
                  <w:noWrap w:val="0"/>
                  <w:vAlign w:val="center"/>
                </w:tcPr>
                <w:p w14:paraId="10D86F6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1968" w:type="dxa"/>
                  <w:vMerge w:val="continue"/>
                  <w:tcBorders>
                    <w:tl2br w:val="nil"/>
                    <w:tr2bl w:val="nil"/>
                  </w:tcBorders>
                  <w:noWrap w:val="0"/>
                  <w:vAlign w:val="center"/>
                </w:tcPr>
                <w:p w14:paraId="2E3E8E29">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1032" w:type="dxa"/>
                  <w:tcBorders>
                    <w:tl2br w:val="nil"/>
                    <w:tr2bl w:val="nil"/>
                  </w:tcBorders>
                  <w:noWrap w:val="0"/>
                  <w:vAlign w:val="center"/>
                </w:tcPr>
                <w:p w14:paraId="075F56D7">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COD</w:t>
                  </w:r>
                </w:p>
              </w:tc>
              <w:tc>
                <w:tcPr>
                  <w:tcW w:w="1032" w:type="dxa"/>
                  <w:tcBorders>
                    <w:tl2br w:val="nil"/>
                    <w:tr2bl w:val="nil"/>
                  </w:tcBorders>
                  <w:noWrap w:val="0"/>
                  <w:vAlign w:val="center"/>
                </w:tcPr>
                <w:p w14:paraId="67ADF2C7">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BOD</w:t>
                  </w:r>
                  <w:r>
                    <w:rPr>
                      <w:rFonts w:hint="default" w:ascii="Times New Roman" w:hAnsi="Times New Roman" w:eastAsia="宋体" w:cs="Times New Roman"/>
                      <w:sz w:val="21"/>
                      <w:szCs w:val="21"/>
                      <w:highlight w:val="none"/>
                      <w:vertAlign w:val="subscript"/>
                      <w:lang w:val="en-US" w:eastAsia="zh-CN"/>
                    </w:rPr>
                    <w:t>5</w:t>
                  </w:r>
                </w:p>
              </w:tc>
              <w:tc>
                <w:tcPr>
                  <w:tcW w:w="1032" w:type="dxa"/>
                  <w:tcBorders>
                    <w:tl2br w:val="nil"/>
                    <w:tr2bl w:val="nil"/>
                  </w:tcBorders>
                  <w:noWrap w:val="0"/>
                  <w:vAlign w:val="center"/>
                </w:tcPr>
                <w:p w14:paraId="6743F9B1">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氨氮</w:t>
                  </w:r>
                </w:p>
              </w:tc>
              <w:tc>
                <w:tcPr>
                  <w:tcW w:w="1062" w:type="dxa"/>
                  <w:tcBorders>
                    <w:tl2br w:val="nil"/>
                    <w:tr2bl w:val="nil"/>
                  </w:tcBorders>
                  <w:noWrap w:val="0"/>
                  <w:vAlign w:val="center"/>
                </w:tcPr>
                <w:p w14:paraId="51FF8869">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SS</w:t>
                  </w:r>
                </w:p>
              </w:tc>
            </w:tr>
            <w:tr w14:paraId="1AF5278C">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25" w:type="dxa"/>
                  <w:vMerge w:val="restart"/>
                  <w:tcBorders>
                    <w:tl2br w:val="nil"/>
                    <w:tr2bl w:val="nil"/>
                  </w:tcBorders>
                  <w:noWrap w:val="0"/>
                  <w:vAlign w:val="center"/>
                </w:tcPr>
                <w:p w14:paraId="5555429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生活污水</w:t>
                  </w:r>
                </w:p>
              </w:tc>
              <w:tc>
                <w:tcPr>
                  <w:tcW w:w="1009" w:type="dxa"/>
                  <w:vMerge w:val="restart"/>
                  <w:tcBorders>
                    <w:tl2br w:val="nil"/>
                    <w:tr2bl w:val="nil"/>
                  </w:tcBorders>
                  <w:noWrap w:val="0"/>
                  <w:vAlign w:val="center"/>
                </w:tcPr>
                <w:p w14:paraId="1EA02706">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color w:val="000000"/>
                      <w:sz w:val="21"/>
                      <w:szCs w:val="21"/>
                      <w:highlight w:val="none"/>
                      <w:lang w:val="en-US" w:eastAsia="zh-CN"/>
                    </w:rPr>
                    <w:t>230.4</w:t>
                  </w:r>
                </w:p>
              </w:tc>
              <w:tc>
                <w:tcPr>
                  <w:tcW w:w="1968" w:type="dxa"/>
                  <w:tcBorders>
                    <w:tl2br w:val="nil"/>
                    <w:tr2bl w:val="nil"/>
                  </w:tcBorders>
                  <w:noWrap w:val="0"/>
                  <w:vAlign w:val="center"/>
                </w:tcPr>
                <w:p w14:paraId="3F19A360">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产生浓度（mg/L）</w:t>
                  </w:r>
                </w:p>
              </w:tc>
              <w:tc>
                <w:tcPr>
                  <w:tcW w:w="1032" w:type="dxa"/>
                  <w:tcBorders>
                    <w:tl2br w:val="nil"/>
                    <w:tr2bl w:val="nil"/>
                  </w:tcBorders>
                  <w:noWrap w:val="0"/>
                  <w:vAlign w:val="center"/>
                </w:tcPr>
                <w:p w14:paraId="2C2472BD">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313.4</w:t>
                  </w:r>
                </w:p>
              </w:tc>
              <w:tc>
                <w:tcPr>
                  <w:tcW w:w="1032" w:type="dxa"/>
                  <w:tcBorders>
                    <w:tl2br w:val="nil"/>
                    <w:tr2bl w:val="nil"/>
                  </w:tcBorders>
                  <w:noWrap w:val="0"/>
                  <w:vAlign w:val="center"/>
                </w:tcPr>
                <w:p w14:paraId="03BBC00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114.2</w:t>
                  </w:r>
                </w:p>
              </w:tc>
              <w:tc>
                <w:tcPr>
                  <w:tcW w:w="1032" w:type="dxa"/>
                  <w:tcBorders>
                    <w:tl2br w:val="nil"/>
                    <w:tr2bl w:val="nil"/>
                  </w:tcBorders>
                  <w:noWrap w:val="0"/>
                  <w:vAlign w:val="center"/>
                </w:tcPr>
                <w:p w14:paraId="0058991D">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47.7</w:t>
                  </w:r>
                </w:p>
              </w:tc>
              <w:tc>
                <w:tcPr>
                  <w:tcW w:w="1062" w:type="dxa"/>
                  <w:tcBorders>
                    <w:tl2br w:val="nil"/>
                    <w:tr2bl w:val="nil"/>
                  </w:tcBorders>
                  <w:noWrap w:val="0"/>
                  <w:vAlign w:val="center"/>
                </w:tcPr>
                <w:p w14:paraId="0B0C6A16">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194.7</w:t>
                  </w:r>
                </w:p>
              </w:tc>
            </w:tr>
            <w:tr w14:paraId="2E9C5927">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25" w:type="dxa"/>
                  <w:vMerge w:val="continue"/>
                  <w:tcBorders>
                    <w:tl2br w:val="nil"/>
                    <w:tr2bl w:val="nil"/>
                  </w:tcBorders>
                  <w:noWrap w:val="0"/>
                  <w:vAlign w:val="center"/>
                </w:tcPr>
                <w:p w14:paraId="5CC0C109">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sz w:val="21"/>
                      <w:szCs w:val="21"/>
                      <w:highlight w:val="none"/>
                    </w:rPr>
                  </w:pPr>
                </w:p>
              </w:tc>
              <w:tc>
                <w:tcPr>
                  <w:tcW w:w="1009" w:type="dxa"/>
                  <w:vMerge w:val="continue"/>
                  <w:tcBorders>
                    <w:tl2br w:val="nil"/>
                    <w:tr2bl w:val="nil"/>
                  </w:tcBorders>
                  <w:noWrap w:val="0"/>
                  <w:vAlign w:val="center"/>
                </w:tcPr>
                <w:p w14:paraId="2D5B7FC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sz w:val="21"/>
                      <w:szCs w:val="21"/>
                      <w:highlight w:val="none"/>
                    </w:rPr>
                  </w:pPr>
                </w:p>
              </w:tc>
              <w:tc>
                <w:tcPr>
                  <w:tcW w:w="1968" w:type="dxa"/>
                  <w:tcBorders>
                    <w:tl2br w:val="nil"/>
                    <w:tr2bl w:val="nil"/>
                  </w:tcBorders>
                  <w:noWrap w:val="0"/>
                  <w:vAlign w:val="center"/>
                </w:tcPr>
                <w:p w14:paraId="403296A3">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产生量（t/a）</w:t>
                  </w:r>
                </w:p>
              </w:tc>
              <w:tc>
                <w:tcPr>
                  <w:tcW w:w="1032" w:type="dxa"/>
                  <w:tcBorders>
                    <w:tl2br w:val="nil"/>
                    <w:tr2bl w:val="nil"/>
                  </w:tcBorders>
                  <w:noWrap w:val="0"/>
                  <w:vAlign w:val="center"/>
                </w:tcPr>
                <w:p w14:paraId="63A16A86">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072</w:t>
                  </w:r>
                </w:p>
              </w:tc>
              <w:tc>
                <w:tcPr>
                  <w:tcW w:w="1032" w:type="dxa"/>
                  <w:tcBorders>
                    <w:tl2br w:val="nil"/>
                    <w:tr2bl w:val="nil"/>
                  </w:tcBorders>
                  <w:noWrap w:val="0"/>
                  <w:vAlign w:val="center"/>
                </w:tcPr>
                <w:p w14:paraId="1A051274">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026</w:t>
                  </w:r>
                </w:p>
              </w:tc>
              <w:tc>
                <w:tcPr>
                  <w:tcW w:w="1032" w:type="dxa"/>
                  <w:tcBorders>
                    <w:tl2br w:val="nil"/>
                    <w:tr2bl w:val="nil"/>
                  </w:tcBorders>
                  <w:noWrap w:val="0"/>
                  <w:vAlign w:val="center"/>
                </w:tcPr>
                <w:p w14:paraId="3AFCC698">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w:t>
                  </w:r>
                  <w:r>
                    <w:rPr>
                      <w:rFonts w:hint="eastAsia" w:cs="Times New Roman"/>
                      <w:sz w:val="21"/>
                      <w:szCs w:val="21"/>
                      <w:highlight w:val="none"/>
                      <w:lang w:val="en-US" w:eastAsia="zh-CN"/>
                    </w:rPr>
                    <w:t>11</w:t>
                  </w:r>
                </w:p>
              </w:tc>
              <w:tc>
                <w:tcPr>
                  <w:tcW w:w="1062" w:type="dxa"/>
                  <w:tcBorders>
                    <w:tl2br w:val="nil"/>
                    <w:tr2bl w:val="nil"/>
                  </w:tcBorders>
                  <w:noWrap w:val="0"/>
                  <w:vAlign w:val="center"/>
                </w:tcPr>
                <w:p w14:paraId="4F95CEE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044</w:t>
                  </w:r>
                </w:p>
              </w:tc>
            </w:tr>
            <w:tr w14:paraId="65571FBA">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960" w:type="dxa"/>
                  <w:gridSpan w:val="7"/>
                  <w:tcBorders>
                    <w:tl2br w:val="nil"/>
                    <w:tr2bl w:val="nil"/>
                  </w:tcBorders>
                  <w:noWrap w:val="0"/>
                  <w:vAlign w:val="center"/>
                </w:tcPr>
                <w:p w14:paraId="293F091A">
                  <w:pPr>
                    <w:keepNext/>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SS产生浓度参考《社会区域类影响评价/环境影响评价工程师职业资格登记培训教材》中房地产项目取值；CODcr、</w:t>
                  </w:r>
                  <w:r>
                    <w:rPr>
                      <w:rFonts w:hint="default" w:ascii="Times New Roman" w:hAnsi="Times New Roman" w:eastAsia="宋体" w:cs="Times New Roman"/>
                      <w:sz w:val="21"/>
                      <w:szCs w:val="21"/>
                      <w:highlight w:val="none"/>
                      <w:lang w:val="en-US" w:eastAsia="zh-CN"/>
                    </w:rPr>
                    <w:t>BOD</w:t>
                  </w:r>
                  <w:r>
                    <w:rPr>
                      <w:rFonts w:hint="default" w:ascii="Times New Roman" w:hAnsi="Times New Roman" w:eastAsia="宋体" w:cs="Times New Roman"/>
                      <w:sz w:val="21"/>
                      <w:szCs w:val="21"/>
                      <w:highlight w:val="none"/>
                      <w:vertAlign w:val="subscript"/>
                      <w:lang w:val="en-US" w:eastAsia="zh-CN"/>
                    </w:rPr>
                    <w:t>5</w:t>
                  </w:r>
                  <w:r>
                    <w:rPr>
                      <w:rFonts w:hint="eastAsia" w:ascii="Times New Roman" w:hAnsi="Times New Roman" w:eastAsia="宋体" w:cs="Times New Roman"/>
                      <w:sz w:val="21"/>
                      <w:szCs w:val="21"/>
                      <w:highlight w:val="none"/>
                      <w:vertAlign w:val="baseline"/>
                      <w:lang w:val="en-US" w:eastAsia="zh-CN"/>
                    </w:rPr>
                    <w:t>、氨氮参考《排放源统计调查产排污核算方法和系数手册》中“集中式污染治理设施产排污系数手册”巴音郭楞蒙古自治州污水处理厂进水水质浓度</w:t>
                  </w:r>
                </w:p>
              </w:tc>
            </w:tr>
          </w:tbl>
          <w:p w14:paraId="00C250B1">
            <w:pPr>
              <w:pStyle w:val="69"/>
              <w:keepNext w:val="0"/>
              <w:keepLines w:val="0"/>
              <w:suppressLineNumbers w:val="0"/>
              <w:spacing w:before="0" w:beforeAutospacing="0" w:after="0" w:afterAutospacing="0"/>
              <w:ind w:left="480" w:leftChars="200" w:right="0" w:firstLine="0" w:firstLineChars="0"/>
              <w:rPr>
                <w:rFonts w:hint="eastAsia" w:ascii="宋体" w:hAnsi="宋体" w:cs="宋体"/>
                <w:b/>
                <w:bCs w:val="0"/>
                <w:spacing w:val="0"/>
                <w:kern w:val="0"/>
              </w:rPr>
            </w:pPr>
            <w:r>
              <w:rPr>
                <w:rFonts w:hint="eastAsia"/>
                <w:b/>
                <w:bCs w:val="0"/>
                <w:spacing w:val="0"/>
                <w:kern w:val="0"/>
              </w:rPr>
              <w:t>2.2</w:t>
            </w:r>
            <w:r>
              <w:rPr>
                <w:rFonts w:hint="eastAsia" w:ascii="宋体" w:hAnsi="宋体" w:cs="宋体"/>
                <w:b/>
                <w:bCs w:val="0"/>
                <w:spacing w:val="0"/>
                <w:kern w:val="0"/>
              </w:rPr>
              <w:t>依托污水处理可行性分析</w:t>
            </w:r>
          </w:p>
          <w:p w14:paraId="01773F3F">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color w:val="000000"/>
                <w:kern w:val="0"/>
                <w:sz w:val="24"/>
                <w:lang w:val="en-US" w:eastAsia="zh-CN" w:bidi="ar"/>
              </w:rPr>
              <w:t>尉犁县污水处理厂</w:t>
            </w:r>
            <w:r>
              <w:rPr>
                <w:rFonts w:hint="eastAsia" w:ascii="Times New Roman" w:hAnsi="Times New Roman" w:eastAsia="宋体" w:cs="Times New Roman"/>
                <w:color w:val="000000"/>
                <w:kern w:val="0"/>
                <w:sz w:val="24"/>
                <w:lang w:bidi="ar"/>
              </w:rPr>
              <w:t>位于巴州尉犁县东北部，距县城解放路约4.2km。中心地理坐标为</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bidi="ar"/>
              </w:rPr>
              <w:t>东经86°17</w:t>
            </w:r>
            <w:r>
              <w:rPr>
                <w:rFonts w:hint="eastAsia"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bidi="ar"/>
              </w:rPr>
              <w:t>58</w:t>
            </w:r>
            <w:r>
              <w:rPr>
                <w:rFonts w:hint="eastAsia"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bidi="ar"/>
              </w:rPr>
              <w:t>、北纬41°21</w:t>
            </w:r>
            <w:r>
              <w:rPr>
                <w:rFonts w:hint="eastAsia"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bidi="ar"/>
              </w:rPr>
              <w:t>43</w:t>
            </w:r>
            <w:r>
              <w:rPr>
                <w:rFonts w:hint="eastAsia"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bidi="ar"/>
              </w:rPr>
              <w:t>。设计日处理能力为</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本期</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5000m</w:t>
            </w:r>
            <w:r>
              <w:rPr>
                <w:rFonts w:hint="eastAsia" w:ascii="Times New Roman" w:hAnsi="Times New Roman" w:eastAsia="宋体" w:cs="Times New Roman"/>
                <w:color w:val="000000"/>
                <w:kern w:val="0"/>
                <w:sz w:val="24"/>
                <w:vertAlign w:val="superscript"/>
                <w:lang w:val="en-US" w:eastAsia="zh-CN" w:bidi="ar"/>
              </w:rPr>
              <w:t>3</w:t>
            </w:r>
            <w:r>
              <w:rPr>
                <w:rFonts w:hint="eastAsia" w:ascii="Times New Roman" w:hAnsi="Times New Roman" w:eastAsia="宋体" w:cs="Times New Roman"/>
                <w:color w:val="000000"/>
                <w:kern w:val="0"/>
                <w:sz w:val="24"/>
                <w:lang w:bidi="ar"/>
              </w:rPr>
              <w:t>，处理工艺为</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bidi="ar"/>
              </w:rPr>
              <w:t>格栅-沉砂池-A/0生物池+二沉池+高效沉淀池</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深度处理工艺</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+次</w:t>
            </w:r>
            <w:r>
              <w:rPr>
                <w:rFonts w:hint="eastAsia" w:cs="Times New Roman"/>
                <w:color w:val="000000"/>
                <w:kern w:val="0"/>
                <w:sz w:val="24"/>
                <w:lang w:val="en-US" w:eastAsia="zh-CN" w:bidi="ar"/>
              </w:rPr>
              <w:t>氯</w:t>
            </w:r>
            <w:r>
              <w:rPr>
                <w:rFonts w:hint="eastAsia" w:ascii="Times New Roman" w:hAnsi="Times New Roman" w:eastAsia="宋体" w:cs="Times New Roman"/>
                <w:color w:val="000000"/>
                <w:kern w:val="0"/>
                <w:sz w:val="24"/>
                <w:lang w:bidi="ar"/>
              </w:rPr>
              <w:t>酸钠消毒，设计出水水质达到《城镇污水处理厂污染物排放标准》</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GB18918-2002</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一级A标准后，夏季用于尉北防护林灌溉，冬季</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3个月</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尾水一部分排至现有污水处理厂稳定塘</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容积为23.4万</w:t>
            </w:r>
            <w:r>
              <w:rPr>
                <w:rFonts w:hint="eastAsia" w:ascii="Times New Roman" w:hAnsi="Times New Roman" w:eastAsia="宋体" w:cs="Times New Roman"/>
                <w:color w:val="000000"/>
                <w:kern w:val="0"/>
                <w:sz w:val="24"/>
                <w:lang w:val="en-US" w:eastAsia="zh-CN" w:bidi="ar"/>
              </w:rPr>
              <w:t>m</w:t>
            </w:r>
            <w:r>
              <w:rPr>
                <w:rFonts w:hint="eastAsia" w:ascii="Times New Roman" w:hAnsi="Times New Roman" w:eastAsia="宋体" w:cs="Times New Roman"/>
                <w:color w:val="000000"/>
                <w:kern w:val="0"/>
                <w:sz w:val="24"/>
                <w:vertAlign w:val="superscript"/>
                <w:lang w:val="en-US" w:eastAsia="zh-CN" w:bidi="ar"/>
              </w:rPr>
              <w:t>3</w:t>
            </w:r>
            <w:r>
              <w:rPr>
                <w:rFonts w:hint="eastAsia" w:cs="Times New Roman"/>
                <w:color w:val="000000"/>
                <w:kern w:val="0"/>
                <w:sz w:val="24"/>
                <w:vertAlign w:val="superscript"/>
                <w:lang w:val="en-US" w:eastAsia="zh-CN" w:bidi="ar"/>
              </w:rPr>
              <w:t>）</w:t>
            </w:r>
            <w:r>
              <w:rPr>
                <w:rFonts w:hint="eastAsia" w:ascii="Times New Roman" w:hAnsi="Times New Roman" w:eastAsia="宋体" w:cs="Times New Roman"/>
                <w:color w:val="000000"/>
                <w:kern w:val="0"/>
                <w:sz w:val="24"/>
                <w:lang w:bidi="ar"/>
              </w:rPr>
              <w:t>，一部分排至新建的尾水库</w:t>
            </w:r>
            <w:r>
              <w:rPr>
                <w:rFonts w:hint="eastAsia" w:cs="Times New Roman"/>
                <w:color w:val="000000"/>
                <w:kern w:val="0"/>
                <w:sz w:val="24"/>
                <w:lang w:eastAsia="zh-CN" w:bidi="ar"/>
              </w:rPr>
              <w:t>（</w:t>
            </w:r>
            <w:r>
              <w:rPr>
                <w:rFonts w:hint="eastAsia" w:ascii="Times New Roman" w:hAnsi="Times New Roman" w:eastAsia="宋体" w:cs="Times New Roman"/>
                <w:color w:val="000000"/>
                <w:kern w:val="0"/>
                <w:sz w:val="24"/>
                <w:lang w:bidi="ar"/>
              </w:rPr>
              <w:t>21.7万m</w:t>
            </w:r>
            <w:r>
              <w:rPr>
                <w:rFonts w:hint="eastAsia" w:ascii="Times New Roman" w:hAnsi="Times New Roman" w:eastAsia="宋体" w:cs="Times New Roman"/>
                <w:color w:val="000000"/>
                <w:kern w:val="0"/>
                <w:sz w:val="24"/>
                <w:vertAlign w:val="superscript"/>
                <w:lang w:val="en-US" w:eastAsia="zh-CN" w:bidi="ar"/>
              </w:rPr>
              <w:t>3</w:t>
            </w:r>
            <w:r>
              <w:rPr>
                <w:rFonts w:hint="eastAsia" w:cs="Times New Roman"/>
                <w:color w:val="000000"/>
                <w:kern w:val="0"/>
                <w:sz w:val="24"/>
                <w:vertAlign w:val="superscript"/>
                <w:lang w:val="en-US" w:eastAsia="zh-CN" w:bidi="ar"/>
              </w:rPr>
              <w:t>）</w:t>
            </w:r>
            <w:r>
              <w:rPr>
                <w:rFonts w:hint="eastAsia" w:ascii="Times New Roman" w:hAnsi="Times New Roman" w:eastAsia="宋体" w:cs="Times New Roman"/>
                <w:color w:val="000000"/>
                <w:kern w:val="0"/>
                <w:sz w:val="24"/>
                <w:lang w:bidi="ar"/>
              </w:rPr>
              <w:t>。除臭采用活性氧离子法除臭工艺，污泥采用污泥浓缩脱水一体工艺。服务对象为尉犁县城镇生活</w:t>
            </w:r>
            <w:r>
              <w:rPr>
                <w:rFonts w:hint="eastAsia" w:cs="Times New Roman"/>
                <w:color w:val="000000"/>
                <w:kern w:val="0"/>
                <w:sz w:val="24"/>
                <w:lang w:val="en-US" w:eastAsia="zh-CN" w:bidi="ar"/>
              </w:rPr>
              <w:t>污水</w:t>
            </w:r>
            <w:r>
              <w:rPr>
                <w:rFonts w:hint="eastAsia" w:ascii="Times New Roman" w:hAnsi="Times New Roman" w:eastAsia="宋体" w:cs="Times New Roman"/>
                <w:color w:val="000000"/>
                <w:kern w:val="0"/>
                <w:sz w:val="24"/>
                <w:lang w:bidi="ar"/>
              </w:rPr>
              <w:t>和尉北工业园区、达西工业园区生活污水，不接收工业废水</w:t>
            </w:r>
            <w:r>
              <w:rPr>
                <w:rFonts w:hint="eastAsia"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2017年8月1日通过新疆巴州环境保护局《关于尉犁县住房和城乡建设局尉犁县城镇污水处理厂（二期）工程建设项目环境影响报告表》的批复，</w:t>
            </w:r>
            <w:r>
              <w:rPr>
                <w:rFonts w:hint="eastAsia" w:cs="Times New Roman"/>
                <w:color w:val="000000"/>
                <w:kern w:val="0"/>
                <w:sz w:val="24"/>
                <w:lang w:eastAsia="zh-CN" w:bidi="ar"/>
              </w:rPr>
              <w:t>（</w:t>
            </w:r>
            <w:r>
              <w:rPr>
                <w:rFonts w:hint="default" w:ascii="Times New Roman" w:hAnsi="Times New Roman" w:eastAsia="宋体" w:cs="Times New Roman"/>
                <w:color w:val="000000"/>
                <w:kern w:val="0"/>
                <w:sz w:val="24"/>
                <w:lang w:bidi="ar"/>
              </w:rPr>
              <w:t>巴环评价函</w:t>
            </w:r>
            <w:r>
              <w:rPr>
                <w:rFonts w:hint="eastAsia" w:cs="Times New Roman"/>
                <w:color w:val="000000"/>
                <w:kern w:val="0"/>
                <w:sz w:val="24"/>
                <w:lang w:eastAsia="zh-CN" w:bidi="ar"/>
              </w:rPr>
              <w:t>〔2017〕243号）</w:t>
            </w:r>
            <w:r>
              <w:rPr>
                <w:rFonts w:hint="default" w:ascii="Times New Roman" w:hAnsi="Times New Roman" w:eastAsia="宋体" w:cs="Times New Roman"/>
                <w:color w:val="000000"/>
                <w:kern w:val="0"/>
                <w:sz w:val="24"/>
                <w:lang w:bidi="ar"/>
              </w:rPr>
              <w:t>。</w:t>
            </w:r>
            <w:r>
              <w:rPr>
                <w:rFonts w:hint="eastAsia" w:cs="Times New Roman"/>
                <w:color w:val="000000"/>
                <w:spacing w:val="-6"/>
                <w:sz w:val="24"/>
                <w:highlight w:val="none"/>
                <w:lang w:val="en-US" w:eastAsia="zh-CN"/>
              </w:rPr>
              <w:t>排污许可证编号为：91652823MA77CK2F1H001C</w:t>
            </w:r>
            <w:r>
              <w:rPr>
                <w:rFonts w:hint="eastAsia" w:cs="Times New Roman"/>
                <w:color w:val="000000"/>
                <w:highlight w:val="none"/>
                <w:lang w:val="en-US" w:eastAsia="zh-CN"/>
              </w:rPr>
              <w:t>。</w:t>
            </w:r>
            <w:r>
              <w:rPr>
                <w:rFonts w:hint="eastAsia" w:ascii="Times New Roman" w:hAnsi="Times New Roman" w:eastAsia="宋体" w:cs="Times New Roman"/>
                <w:color w:val="000000"/>
                <w:kern w:val="0"/>
                <w:sz w:val="24"/>
                <w:lang w:val="en-US" w:eastAsia="zh-CN" w:bidi="ar"/>
              </w:rPr>
              <w:t>目前污水处理厂日处理量为4333m</w:t>
            </w:r>
            <w:r>
              <w:rPr>
                <w:rFonts w:hint="eastAsia" w:ascii="Times New Roman" w:hAnsi="Times New Roman" w:eastAsia="宋体" w:cs="Times New Roman"/>
                <w:color w:val="000000"/>
                <w:kern w:val="0"/>
                <w:sz w:val="24"/>
                <w:vertAlign w:val="superscript"/>
                <w:lang w:val="en-US" w:eastAsia="zh-CN" w:bidi="ar"/>
              </w:rPr>
              <w:t>3</w:t>
            </w:r>
            <w:r>
              <w:rPr>
                <w:rFonts w:hint="eastAsia" w:ascii="Times New Roman" w:hAnsi="Times New Roman" w:eastAsia="宋体" w:cs="Times New Roman"/>
                <w:color w:val="000000"/>
                <w:kern w:val="0"/>
                <w:sz w:val="24"/>
                <w:lang w:val="en-US" w:eastAsia="zh-CN" w:bidi="ar"/>
              </w:rPr>
              <w:t>/d，余量可满足本项目的需求。</w:t>
            </w:r>
            <w:r>
              <w:rPr>
                <w:rFonts w:hint="default" w:ascii="Times New Roman" w:hAnsi="Times New Roman" w:eastAsia="宋体" w:cs="Times New Roman"/>
                <w:color w:val="000000"/>
                <w:kern w:val="0"/>
                <w:sz w:val="24"/>
                <w:lang w:bidi="ar"/>
              </w:rPr>
              <w:t>目前污水处理厂运行正常，出水水质稳定可做到达标排放。</w:t>
            </w:r>
          </w:p>
          <w:p w14:paraId="66A466E2">
            <w:pPr>
              <w:keepNext w:val="0"/>
              <w:keepLines w:val="0"/>
              <w:widowControl w:val="0"/>
              <w:suppressLineNumbers w:val="0"/>
              <w:adjustRightInd w:val="0"/>
              <w:snapToGrid w:val="0"/>
              <w:spacing w:before="0" w:beforeAutospacing="0" w:after="0" w:afterAutospacing="0" w:line="240" w:lineRule="auto"/>
              <w:ind w:left="0" w:right="0" w:firstLine="422" w:firstLineChars="200"/>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w:t>
            </w:r>
            <w:r>
              <w:rPr>
                <w:rFonts w:hint="eastAsia" w:ascii="Times New Roman" w:hAnsi="Times New Roman" w:eastAsia="宋体" w:cs="Times New Roman"/>
                <w:b/>
                <w:bCs/>
                <w:kern w:val="2"/>
                <w:sz w:val="21"/>
                <w:szCs w:val="21"/>
                <w:lang w:val="en-US" w:eastAsia="zh-CN" w:bidi="ar-SA"/>
              </w:rPr>
              <w:t>4-</w:t>
            </w:r>
            <w:r>
              <w:rPr>
                <w:rFonts w:hint="eastAsia" w:cs="Times New Roman"/>
                <w:b/>
                <w:bCs/>
                <w:kern w:val="2"/>
                <w:sz w:val="21"/>
                <w:szCs w:val="21"/>
                <w:lang w:val="en-US" w:eastAsia="zh-CN" w:bidi="ar-SA"/>
              </w:rPr>
              <w:t>5</w:t>
            </w:r>
            <w:r>
              <w:rPr>
                <w:rFonts w:hint="default"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 xml:space="preserve"> </w:t>
            </w:r>
            <w:r>
              <w:rPr>
                <w:rFonts w:hint="default"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生活污水</w:t>
            </w:r>
            <w:r>
              <w:rPr>
                <w:rFonts w:hint="default" w:ascii="Times New Roman" w:hAnsi="Times New Roman" w:eastAsia="宋体" w:cs="Times New Roman"/>
                <w:b/>
                <w:bCs/>
                <w:kern w:val="2"/>
                <w:sz w:val="21"/>
                <w:szCs w:val="21"/>
                <w:lang w:val="en-US" w:eastAsia="zh-CN" w:bidi="ar-SA"/>
              </w:rPr>
              <w:t xml:space="preserve">间接排放口基本情况表    </w:t>
            </w:r>
            <w:r>
              <w:rPr>
                <w:rFonts w:hint="eastAsia" w:ascii="Times New Roman" w:hAnsi="Times New Roman" w:eastAsia="宋体" w:cs="Times New Roman"/>
                <w:b/>
                <w:bCs/>
                <w:kern w:val="2"/>
                <w:sz w:val="21"/>
                <w:szCs w:val="21"/>
                <w:lang w:val="en-US" w:eastAsia="zh-CN" w:bidi="ar-SA"/>
              </w:rPr>
              <w:t xml:space="preserve"> </w:t>
            </w:r>
            <w:r>
              <w:rPr>
                <w:rFonts w:hint="default" w:ascii="Times New Roman" w:hAnsi="Times New Roman" w:eastAsia="宋体" w:cs="Times New Roman"/>
                <w:b/>
                <w:bCs/>
                <w:kern w:val="2"/>
                <w:sz w:val="21"/>
                <w:szCs w:val="21"/>
                <w:lang w:val="en-US" w:eastAsia="zh-CN" w:bidi="ar-SA"/>
              </w:rPr>
              <w:t xml:space="preserve"> 限值标准单位：mg/L （PH无量纲）</w:t>
            </w:r>
          </w:p>
          <w:tbl>
            <w:tblPr>
              <w:tblStyle w:val="3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1"/>
              <w:gridCol w:w="939"/>
              <w:gridCol w:w="1735"/>
              <w:gridCol w:w="517"/>
              <w:gridCol w:w="967"/>
              <w:gridCol w:w="478"/>
              <w:gridCol w:w="954"/>
              <w:gridCol w:w="682"/>
              <w:gridCol w:w="817"/>
              <w:gridCol w:w="895"/>
            </w:tblGrid>
            <w:tr w14:paraId="2C7B81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tcBorders>
                    <w:tl2br w:val="nil"/>
                    <w:tr2bl w:val="nil"/>
                  </w:tcBorders>
                  <w:noWrap w:val="0"/>
                  <w:vAlign w:val="center"/>
                </w:tcPr>
                <w:p w14:paraId="6E3EC7D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556" w:type="pct"/>
                  <w:vMerge w:val="restart"/>
                  <w:tcBorders>
                    <w:tl2br w:val="nil"/>
                    <w:tr2bl w:val="nil"/>
                  </w:tcBorders>
                  <w:noWrap w:val="0"/>
                  <w:vAlign w:val="center"/>
                </w:tcPr>
                <w:p w14:paraId="4778D32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排放口编号</w:t>
                  </w:r>
                </w:p>
              </w:tc>
              <w:tc>
                <w:tcPr>
                  <w:tcW w:w="1028" w:type="pct"/>
                  <w:vMerge w:val="restart"/>
                  <w:tcBorders>
                    <w:tl2br w:val="nil"/>
                    <w:tr2bl w:val="nil"/>
                  </w:tcBorders>
                  <w:noWrap w:val="0"/>
                  <w:vAlign w:val="center"/>
                </w:tcPr>
                <w:p w14:paraId="47ECFD0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排放口坐标</w:t>
                  </w:r>
                </w:p>
              </w:tc>
              <w:tc>
                <w:tcPr>
                  <w:tcW w:w="306" w:type="pct"/>
                  <w:vMerge w:val="restart"/>
                  <w:tcBorders>
                    <w:tl2br w:val="nil"/>
                    <w:tr2bl w:val="nil"/>
                  </w:tcBorders>
                  <w:noWrap w:val="0"/>
                  <w:vAlign w:val="center"/>
                </w:tcPr>
                <w:p w14:paraId="0738C0C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排放口类型</w:t>
                  </w:r>
                </w:p>
              </w:tc>
              <w:tc>
                <w:tcPr>
                  <w:tcW w:w="573" w:type="pct"/>
                  <w:vMerge w:val="restart"/>
                  <w:tcBorders>
                    <w:tl2br w:val="nil"/>
                    <w:tr2bl w:val="nil"/>
                  </w:tcBorders>
                  <w:noWrap w:val="0"/>
                  <w:vAlign w:val="center"/>
                </w:tcPr>
                <w:p w14:paraId="130EBD5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废水排放量（t/a）</w:t>
                  </w:r>
                </w:p>
              </w:tc>
              <w:tc>
                <w:tcPr>
                  <w:tcW w:w="283" w:type="pct"/>
                  <w:vMerge w:val="restart"/>
                  <w:tcBorders>
                    <w:tl2br w:val="nil"/>
                    <w:tr2bl w:val="nil"/>
                  </w:tcBorders>
                  <w:noWrap w:val="0"/>
                  <w:vAlign w:val="center"/>
                </w:tcPr>
                <w:p w14:paraId="3128D6A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排放去向</w:t>
                  </w:r>
                </w:p>
              </w:tc>
              <w:tc>
                <w:tcPr>
                  <w:tcW w:w="565" w:type="pct"/>
                  <w:vMerge w:val="restart"/>
                  <w:tcBorders>
                    <w:tl2br w:val="nil"/>
                    <w:tr2bl w:val="nil"/>
                  </w:tcBorders>
                  <w:noWrap w:val="0"/>
                  <w:vAlign w:val="center"/>
                </w:tcPr>
                <w:p w14:paraId="38799B6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排放规律</w:t>
                  </w:r>
                </w:p>
              </w:tc>
              <w:tc>
                <w:tcPr>
                  <w:tcW w:w="1418" w:type="pct"/>
                  <w:gridSpan w:val="3"/>
                  <w:tcBorders>
                    <w:tl2br w:val="nil"/>
                    <w:tr2bl w:val="nil"/>
                  </w:tcBorders>
                  <w:noWrap w:val="0"/>
                  <w:vAlign w:val="center"/>
                </w:tcPr>
                <w:p w14:paraId="3FCB441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受纳污水处理厂信息</w:t>
                  </w:r>
                </w:p>
              </w:tc>
            </w:tr>
            <w:tr w14:paraId="07F7B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03E684F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52EE8D3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6EB0235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3C64257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435BBFE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58C1666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4316468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tcBorders>
                    <w:tl2br w:val="nil"/>
                    <w:tr2bl w:val="nil"/>
                  </w:tcBorders>
                  <w:noWrap w:val="0"/>
                  <w:vAlign w:val="center"/>
                </w:tcPr>
                <w:p w14:paraId="73D77891">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名称</w:t>
                  </w:r>
                </w:p>
              </w:tc>
              <w:tc>
                <w:tcPr>
                  <w:tcW w:w="484" w:type="pct"/>
                  <w:tcBorders>
                    <w:tl2br w:val="nil"/>
                    <w:tr2bl w:val="nil"/>
                  </w:tcBorders>
                  <w:noWrap w:val="0"/>
                  <w:vAlign w:val="center"/>
                </w:tcPr>
                <w:p w14:paraId="1A67432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污染物</w:t>
                  </w:r>
                </w:p>
              </w:tc>
              <w:tc>
                <w:tcPr>
                  <w:tcW w:w="528" w:type="pct"/>
                  <w:tcBorders>
                    <w:tl2br w:val="nil"/>
                    <w:tr2bl w:val="nil"/>
                  </w:tcBorders>
                  <w:noWrap w:val="0"/>
                  <w:vAlign w:val="center"/>
                </w:tcPr>
                <w:p w14:paraId="38338711">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排放限值</w:t>
                  </w:r>
                </w:p>
              </w:tc>
            </w:tr>
            <w:tr w14:paraId="0BDE6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tcBorders>
                    <w:tl2br w:val="nil"/>
                    <w:tr2bl w:val="nil"/>
                  </w:tcBorders>
                  <w:noWrap w:val="0"/>
                  <w:vAlign w:val="center"/>
                </w:tcPr>
                <w:p w14:paraId="6513A62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556" w:type="pct"/>
                  <w:vMerge w:val="restart"/>
                  <w:tcBorders>
                    <w:tl2br w:val="nil"/>
                    <w:tr2bl w:val="nil"/>
                  </w:tcBorders>
                  <w:noWrap w:val="0"/>
                  <w:vAlign w:val="center"/>
                </w:tcPr>
                <w:p w14:paraId="3F890BB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DW001</w:t>
                  </w:r>
                </w:p>
              </w:tc>
              <w:tc>
                <w:tcPr>
                  <w:tcW w:w="1028" w:type="pct"/>
                  <w:vMerge w:val="restart"/>
                  <w:tcBorders>
                    <w:tl2br w:val="nil"/>
                    <w:tr2bl w:val="nil"/>
                  </w:tcBorders>
                  <w:noWrap w:val="0"/>
                  <w:vAlign w:val="center"/>
                </w:tcPr>
                <w:p w14:paraId="2FA9ED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东经：</w:t>
                  </w:r>
                  <w:r>
                    <w:rPr>
                      <w:rFonts w:hint="default" w:ascii="Times New Roman" w:hAnsi="Times New Roman" w:eastAsia="宋体" w:cs="Times New Roman"/>
                      <w:sz w:val="21"/>
                      <w:szCs w:val="21"/>
                      <w:highlight w:val="none"/>
                      <w:lang w:val="en-US" w:eastAsia="zh-CN"/>
                    </w:rPr>
                    <w:t>86°15′21.407″</w:t>
                  </w:r>
                </w:p>
                <w:p w14:paraId="5B3DC6FB">
                  <w:pPr>
                    <w:pStyle w:val="1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lang w:val="en-US" w:eastAsia="zh-CN"/>
                    </w:rPr>
                  </w:pPr>
                  <w:r>
                    <w:rPr>
                      <w:rFonts w:hint="default" w:ascii="Times New Roman" w:hAnsi="Times New Roman" w:eastAsia="宋体" w:cs="Times New Roman"/>
                      <w:kern w:val="2"/>
                      <w:sz w:val="21"/>
                      <w:szCs w:val="21"/>
                      <w:highlight w:val="none"/>
                      <w:lang w:val="en-US" w:eastAsia="zh-CN" w:bidi="ar-SA"/>
                    </w:rPr>
                    <w:t>北纬：</w:t>
                  </w:r>
                  <w:r>
                    <w:rPr>
                      <w:rFonts w:hint="default" w:ascii="Times New Roman" w:hAnsi="Times New Roman" w:eastAsia="宋体" w:cs="Times New Roman"/>
                      <w:sz w:val="21"/>
                      <w:szCs w:val="21"/>
                      <w:highlight w:val="none"/>
                      <w:lang w:val="en-US" w:eastAsia="zh-CN"/>
                    </w:rPr>
                    <w:t>41°22′2.10864″</w:t>
                  </w:r>
                </w:p>
              </w:tc>
              <w:tc>
                <w:tcPr>
                  <w:tcW w:w="306" w:type="pct"/>
                  <w:vMerge w:val="restart"/>
                  <w:tcBorders>
                    <w:tl2br w:val="nil"/>
                    <w:tr2bl w:val="nil"/>
                  </w:tcBorders>
                  <w:noWrap w:val="0"/>
                  <w:vAlign w:val="center"/>
                </w:tcPr>
                <w:p w14:paraId="58A29AB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一般排放口</w:t>
                  </w:r>
                </w:p>
              </w:tc>
              <w:tc>
                <w:tcPr>
                  <w:tcW w:w="573" w:type="pct"/>
                  <w:vMerge w:val="restart"/>
                  <w:tcBorders>
                    <w:tl2br w:val="nil"/>
                    <w:tr2bl w:val="nil"/>
                  </w:tcBorders>
                  <w:noWrap w:val="0"/>
                  <w:vAlign w:val="center"/>
                </w:tcPr>
                <w:p w14:paraId="1CE6EF4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230.4</w:t>
                  </w:r>
                </w:p>
              </w:tc>
              <w:tc>
                <w:tcPr>
                  <w:tcW w:w="283" w:type="pct"/>
                  <w:vMerge w:val="restart"/>
                  <w:tcBorders>
                    <w:tl2br w:val="nil"/>
                    <w:tr2bl w:val="nil"/>
                  </w:tcBorders>
                  <w:noWrap w:val="0"/>
                  <w:vAlign w:val="center"/>
                </w:tcPr>
                <w:p w14:paraId="37DE1C9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城镇污水处理厂</w:t>
                  </w:r>
                </w:p>
              </w:tc>
              <w:tc>
                <w:tcPr>
                  <w:tcW w:w="565" w:type="pct"/>
                  <w:vMerge w:val="restart"/>
                  <w:tcBorders>
                    <w:tl2br w:val="nil"/>
                    <w:tr2bl w:val="nil"/>
                  </w:tcBorders>
                  <w:noWrap w:val="0"/>
                  <w:vAlign w:val="center"/>
                </w:tcPr>
                <w:p w14:paraId="20028B08">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废水连续排放，流量不稳定，但有周期性规律</w:t>
                  </w:r>
                </w:p>
              </w:tc>
              <w:tc>
                <w:tcPr>
                  <w:tcW w:w="404" w:type="pct"/>
                  <w:vMerge w:val="restart"/>
                  <w:tcBorders>
                    <w:tl2br w:val="nil"/>
                    <w:tr2bl w:val="nil"/>
                  </w:tcBorders>
                  <w:noWrap w:val="0"/>
                  <w:vAlign w:val="center"/>
                </w:tcPr>
                <w:p w14:paraId="082CB4B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尉犁县</w:t>
                  </w:r>
                  <w:r>
                    <w:rPr>
                      <w:rFonts w:hint="default" w:ascii="Times New Roman" w:hAnsi="Times New Roman" w:eastAsia="宋体" w:cs="Times New Roman"/>
                      <w:kern w:val="2"/>
                      <w:sz w:val="21"/>
                      <w:szCs w:val="21"/>
                      <w:lang w:val="en-US" w:eastAsia="zh-CN" w:bidi="ar-SA"/>
                    </w:rPr>
                    <w:t>污水处理厂</w:t>
                  </w:r>
                </w:p>
              </w:tc>
              <w:tc>
                <w:tcPr>
                  <w:tcW w:w="484" w:type="pct"/>
                  <w:tcBorders>
                    <w:tl2br w:val="nil"/>
                    <w:tr2bl w:val="nil"/>
                  </w:tcBorders>
                  <w:noWrap w:val="0"/>
                  <w:vAlign w:val="center"/>
                </w:tcPr>
                <w:p w14:paraId="6137FF7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PH</w:t>
                  </w:r>
                </w:p>
              </w:tc>
              <w:tc>
                <w:tcPr>
                  <w:tcW w:w="528" w:type="pct"/>
                  <w:tcBorders>
                    <w:tl2br w:val="nil"/>
                    <w:tr2bl w:val="nil"/>
                  </w:tcBorders>
                  <w:noWrap w:val="0"/>
                  <w:vAlign w:val="center"/>
                </w:tcPr>
                <w:p w14:paraId="04E08E62">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6-9</w:t>
                  </w:r>
                </w:p>
              </w:tc>
            </w:tr>
            <w:tr w14:paraId="796C6E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136064B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637FF351">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3FD305E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4998529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0BAA9DA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7B96F81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757306D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7C21F602">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1F4F634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COD</w:t>
                  </w:r>
                </w:p>
              </w:tc>
              <w:tc>
                <w:tcPr>
                  <w:tcW w:w="528" w:type="pct"/>
                  <w:tcBorders>
                    <w:tl2br w:val="nil"/>
                    <w:tr2bl w:val="nil"/>
                  </w:tcBorders>
                  <w:noWrap w:val="0"/>
                  <w:vAlign w:val="center"/>
                </w:tcPr>
                <w:p w14:paraId="748E31F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50</w:t>
                  </w:r>
                </w:p>
              </w:tc>
            </w:tr>
            <w:tr w14:paraId="51E3F5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318021D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4A543EA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34B15B6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110F43F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7D2FF34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589FD3C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438B049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271D16D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1F70BC3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BOD</w:t>
                  </w:r>
                  <w:r>
                    <w:rPr>
                      <w:rFonts w:hint="default" w:ascii="Times New Roman" w:hAnsi="Times New Roman" w:eastAsia="宋体" w:cs="Times New Roman"/>
                      <w:kern w:val="2"/>
                      <w:sz w:val="21"/>
                      <w:szCs w:val="21"/>
                      <w:vertAlign w:val="subscript"/>
                      <w:lang w:val="en-US" w:eastAsia="zh-CN" w:bidi="ar-SA"/>
                    </w:rPr>
                    <w:t>5</w:t>
                  </w:r>
                </w:p>
              </w:tc>
              <w:tc>
                <w:tcPr>
                  <w:tcW w:w="528" w:type="pct"/>
                  <w:tcBorders>
                    <w:tl2br w:val="nil"/>
                    <w:tr2bl w:val="nil"/>
                  </w:tcBorders>
                  <w:noWrap w:val="0"/>
                  <w:vAlign w:val="center"/>
                </w:tcPr>
                <w:p w14:paraId="040A3A1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r>
            <w:tr w14:paraId="34251A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6761D07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73026429">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6F5B8223">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5875130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6DF9428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445F2AC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6682026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622A2D6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34BE2EC2">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SS</w:t>
                  </w:r>
                </w:p>
              </w:tc>
              <w:tc>
                <w:tcPr>
                  <w:tcW w:w="528" w:type="pct"/>
                  <w:tcBorders>
                    <w:tl2br w:val="nil"/>
                    <w:tr2bl w:val="nil"/>
                  </w:tcBorders>
                  <w:noWrap w:val="0"/>
                  <w:vAlign w:val="center"/>
                </w:tcPr>
                <w:p w14:paraId="70C81F3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r>
            <w:tr w14:paraId="2417BA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01F4C20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5C66BCB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7B0DCD27">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222F529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6705CD9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6D14738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1029132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63F7295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31DE654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总氮</w:t>
                  </w:r>
                </w:p>
              </w:tc>
              <w:tc>
                <w:tcPr>
                  <w:tcW w:w="528" w:type="pct"/>
                  <w:tcBorders>
                    <w:tl2br w:val="nil"/>
                    <w:tr2bl w:val="nil"/>
                  </w:tcBorders>
                  <w:noWrap w:val="0"/>
                  <w:vAlign w:val="center"/>
                </w:tcPr>
                <w:p w14:paraId="03917A0F">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r>
            <w:tr w14:paraId="6FAA2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37F2C582">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6EC2E4E3">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375B0CDE">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29BDCB9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50C78FB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3756923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62A2763C">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1047859D">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521C7B2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氨氮</w:t>
                  </w:r>
                </w:p>
              </w:tc>
              <w:tc>
                <w:tcPr>
                  <w:tcW w:w="528" w:type="pct"/>
                  <w:tcBorders>
                    <w:tl2br w:val="nil"/>
                    <w:tr2bl w:val="nil"/>
                  </w:tcBorders>
                  <w:noWrap w:val="0"/>
                  <w:vAlign w:val="center"/>
                </w:tcPr>
                <w:p w14:paraId="0F032EF0">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5(8)</w:t>
                  </w:r>
                </w:p>
              </w:tc>
            </w:tr>
            <w:tr w14:paraId="509857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14:paraId="13E1BD95">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14:paraId="7FF3A78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14:paraId="7D89957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14:paraId="65B9E1E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14:paraId="71B06EE6">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14:paraId="185E0761">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14:paraId="569D8B0B">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14:paraId="4D927604">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14:paraId="33EC1998">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总磷</w:t>
                  </w:r>
                </w:p>
              </w:tc>
              <w:tc>
                <w:tcPr>
                  <w:tcW w:w="528" w:type="pct"/>
                  <w:tcBorders>
                    <w:tl2br w:val="nil"/>
                    <w:tr2bl w:val="nil"/>
                  </w:tcBorders>
                  <w:noWrap w:val="0"/>
                  <w:vAlign w:val="center"/>
                </w:tcPr>
                <w:p w14:paraId="0FF9A54A">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0.5</w:t>
                  </w:r>
                </w:p>
              </w:tc>
            </w:tr>
          </w:tbl>
          <w:p w14:paraId="474025AE">
            <w:pPr>
              <w:keepNext w:val="0"/>
              <w:keepLines w:val="0"/>
              <w:suppressLineNumbers w:val="0"/>
              <w:spacing w:before="0" w:beforeAutospacing="0" w:after="0" w:afterAutospacing="0"/>
              <w:ind w:left="0" w:right="0"/>
              <w:rPr>
                <w:rFonts w:hint="default"/>
                <w:b/>
                <w:bCs/>
                <w:color w:val="000000"/>
                <w:spacing w:val="0"/>
                <w:kern w:val="0"/>
                <w:highlight w:val="none"/>
              </w:rPr>
            </w:pPr>
            <w:r>
              <w:rPr>
                <w:rFonts w:hint="default"/>
                <w:b/>
                <w:bCs/>
                <w:color w:val="000000"/>
                <w:spacing w:val="0"/>
                <w:kern w:val="0"/>
                <w:highlight w:val="none"/>
              </w:rPr>
              <w:t>3噪声</w:t>
            </w:r>
          </w:p>
          <w:p w14:paraId="5ECF6C61">
            <w:pPr>
              <w:keepNext w:val="0"/>
              <w:keepLines w:val="0"/>
              <w:suppressLineNumbers w:val="0"/>
              <w:spacing w:before="0" w:beforeAutospacing="0" w:after="0" w:afterAutospacing="0"/>
              <w:ind w:left="0" w:right="0" w:firstLine="482" w:firstLineChars="200"/>
              <w:rPr>
                <w:rFonts w:hint="default"/>
                <w:b/>
                <w:bCs/>
                <w:color w:val="000000"/>
                <w:spacing w:val="0"/>
                <w:kern w:val="0"/>
              </w:rPr>
            </w:pPr>
            <w:r>
              <w:rPr>
                <w:rFonts w:hint="default"/>
                <w:b/>
                <w:bCs/>
                <w:color w:val="000000"/>
                <w:spacing w:val="0"/>
                <w:kern w:val="0"/>
              </w:rPr>
              <w:t>3.1噪声源强</w:t>
            </w:r>
          </w:p>
          <w:p w14:paraId="140ACEDE">
            <w:pPr>
              <w:pStyle w:val="69"/>
              <w:keepNext w:val="0"/>
              <w:keepLines w:val="0"/>
              <w:suppressLineNumbers w:val="0"/>
              <w:spacing w:before="0" w:beforeAutospacing="0" w:after="0" w:afterAutospacing="0"/>
              <w:ind w:left="0" w:right="0"/>
              <w:rPr>
                <w:rFonts w:hint="default"/>
                <w:spacing w:val="0"/>
                <w:kern w:val="0"/>
              </w:rPr>
            </w:pPr>
            <w:r>
              <w:rPr>
                <w:rFonts w:hint="default"/>
                <w:spacing w:val="0"/>
                <w:kern w:val="0"/>
              </w:rPr>
              <w:t>本项目运营期噪声主要为</w:t>
            </w:r>
            <w:r>
              <w:rPr>
                <w:rFonts w:hint="eastAsia"/>
                <w:spacing w:val="0"/>
                <w:kern w:val="0"/>
                <w:lang w:val="en-US" w:eastAsia="zh-CN"/>
              </w:rPr>
              <w:t>粉碎机</w:t>
            </w:r>
            <w:r>
              <w:rPr>
                <w:rFonts w:hint="default"/>
                <w:spacing w:val="0"/>
                <w:kern w:val="0"/>
              </w:rPr>
              <w:t>等生产设备产生的噪声，本项目通过选用低</w:t>
            </w:r>
            <w:r>
              <w:rPr>
                <w:rFonts w:hint="eastAsia"/>
                <w:spacing w:val="0"/>
                <w:kern w:val="0"/>
                <w:lang w:eastAsia="zh-CN"/>
              </w:rPr>
              <w:t>噪</w:t>
            </w:r>
            <w:r>
              <w:rPr>
                <w:rFonts w:hint="default"/>
                <w:spacing w:val="0"/>
                <w:kern w:val="0"/>
              </w:rPr>
              <w:t>设备，对设备安装</w:t>
            </w:r>
            <w:r>
              <w:rPr>
                <w:rFonts w:hint="eastAsia"/>
                <w:spacing w:val="0"/>
                <w:kern w:val="0"/>
                <w:lang w:eastAsia="zh-CN"/>
              </w:rPr>
              <w:t>减振</w:t>
            </w:r>
            <w:r>
              <w:rPr>
                <w:rFonts w:hint="default"/>
                <w:spacing w:val="0"/>
                <w:kern w:val="0"/>
              </w:rPr>
              <w:t>垫，生产设备布置在车间内，利用房间进行隔声，对高噪声设备设置专门的隔声间等措施降噪。本项目设备噪声源强详见</w:t>
            </w:r>
            <w:r>
              <w:rPr>
                <w:rFonts w:hint="eastAsia"/>
                <w:spacing w:val="0"/>
                <w:kern w:val="0"/>
                <w:lang w:val="en-US" w:eastAsia="zh-CN"/>
              </w:rPr>
              <w:t>下</w:t>
            </w:r>
            <w:r>
              <w:rPr>
                <w:rFonts w:hint="default"/>
                <w:spacing w:val="0"/>
                <w:kern w:val="0"/>
              </w:rPr>
              <w:t>表</w:t>
            </w:r>
            <w:r>
              <w:rPr>
                <w:rFonts w:hint="eastAsia"/>
                <w:spacing w:val="0"/>
                <w:kern w:val="0"/>
              </w:rPr>
              <w:t>。</w:t>
            </w:r>
          </w:p>
          <w:p w14:paraId="57A7FDF9">
            <w:pPr>
              <w:keepNext w:val="0"/>
              <w:keepLines w:val="0"/>
              <w:suppressLineNumbers w:val="0"/>
              <w:spacing w:before="0" w:beforeAutospacing="0" w:after="0" w:afterAutospacing="0" w:line="240" w:lineRule="auto"/>
              <w:ind w:left="0" w:right="0" w:firstLine="422" w:firstLineChars="200"/>
              <w:rPr>
                <w:rFonts w:hint="eastAsia" w:ascii="Times New Roman" w:hAnsi="Times New Roman" w:eastAsia="宋体" w:cs="Times New Roman"/>
                <w:b/>
                <w:bCs w:val="0"/>
                <w:color w:val="000000"/>
                <w:kern w:val="24"/>
                <w:sz w:val="21"/>
                <w:szCs w:val="21"/>
                <w:lang w:val="en-US" w:eastAsia="zh-CN" w:bidi="ar-SA"/>
              </w:rPr>
            </w:pPr>
            <w:r>
              <w:rPr>
                <w:rFonts w:hint="eastAsia" w:ascii="Times New Roman" w:hAnsi="Times New Roman" w:eastAsia="宋体" w:cs="Times New Roman"/>
                <w:b/>
                <w:bCs w:val="0"/>
                <w:color w:val="000000"/>
                <w:kern w:val="24"/>
                <w:sz w:val="21"/>
                <w:szCs w:val="21"/>
                <w:lang w:val="en-US" w:eastAsia="zh-CN" w:bidi="ar-SA"/>
              </w:rPr>
              <w:t>表4-</w:t>
            </w:r>
            <w:r>
              <w:rPr>
                <w:rFonts w:hint="eastAsia" w:cs="Times New Roman"/>
                <w:b/>
                <w:bCs w:val="0"/>
                <w:color w:val="000000"/>
                <w:kern w:val="24"/>
                <w:sz w:val="21"/>
                <w:szCs w:val="21"/>
                <w:lang w:val="en-US" w:eastAsia="zh-CN" w:bidi="ar-SA"/>
              </w:rPr>
              <w:t>6</w:t>
            </w:r>
            <w:r>
              <w:rPr>
                <w:rFonts w:hint="eastAsia" w:ascii="Times New Roman" w:hAnsi="Times New Roman" w:eastAsia="宋体" w:cs="Times New Roman"/>
                <w:b/>
                <w:bCs w:val="0"/>
                <w:color w:val="000000"/>
                <w:kern w:val="24"/>
                <w:sz w:val="21"/>
                <w:szCs w:val="21"/>
                <w:lang w:val="en-US" w:eastAsia="zh-CN" w:bidi="ar-SA"/>
              </w:rPr>
              <w:tab/>
            </w:r>
            <w:r>
              <w:rPr>
                <w:rFonts w:hint="eastAsia" w:ascii="Times New Roman" w:hAnsi="Times New Roman" w:eastAsia="宋体" w:cs="Times New Roman"/>
                <w:b/>
                <w:bCs w:val="0"/>
                <w:color w:val="000000"/>
                <w:kern w:val="24"/>
                <w:sz w:val="21"/>
                <w:szCs w:val="21"/>
                <w:lang w:val="en-US" w:eastAsia="zh-CN" w:bidi="ar-SA"/>
              </w:rPr>
              <w:t xml:space="preserve">     工业企业噪声源强调查清单（室外声源）</w:t>
            </w:r>
          </w:p>
          <w:tbl>
            <w:tblPr>
              <w:tblStyle w:val="3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8"/>
              <w:gridCol w:w="1201"/>
              <w:gridCol w:w="720"/>
              <w:gridCol w:w="607"/>
              <w:gridCol w:w="695"/>
              <w:gridCol w:w="1904"/>
              <w:gridCol w:w="1154"/>
              <w:gridCol w:w="1019"/>
              <w:gridCol w:w="702"/>
            </w:tblGrid>
            <w:tr w14:paraId="17373B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exact"/>
                <w:jc w:val="center"/>
              </w:trPr>
              <w:tc>
                <w:tcPr>
                  <w:tcW w:w="253" w:type="pct"/>
                  <w:vMerge w:val="restart"/>
                  <w:tcBorders>
                    <w:tl2br w:val="nil"/>
                    <w:tr2bl w:val="nil"/>
                  </w:tcBorders>
                  <w:shd w:val="clear" w:color="auto" w:fill="auto"/>
                  <w:vAlign w:val="center"/>
                </w:tcPr>
                <w:p w14:paraId="338C3B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bookmarkStart w:id="13" w:name="PT_5"/>
                  <w:r>
                    <w:rPr>
                      <w:rFonts w:hint="default" w:ascii="Times New Roman" w:hAnsi="Times New Roman" w:eastAsia="宋体" w:cs="Times New Roman"/>
                      <w:bCs/>
                      <w:color w:val="000000"/>
                      <w:kern w:val="24"/>
                      <w:sz w:val="21"/>
                      <w:szCs w:val="21"/>
                      <w:lang w:val="en-US" w:eastAsia="zh-CN" w:bidi="ar-SA"/>
                    </w:rPr>
                    <w:t>序号</w:t>
                  </w:r>
                </w:p>
              </w:tc>
              <w:tc>
                <w:tcPr>
                  <w:tcW w:w="712" w:type="pct"/>
                  <w:vMerge w:val="restart"/>
                  <w:tcBorders>
                    <w:tl2br w:val="nil"/>
                    <w:tr2bl w:val="nil"/>
                  </w:tcBorders>
                  <w:shd w:val="clear" w:color="auto" w:fill="auto"/>
                  <w:vAlign w:val="center"/>
                </w:tcPr>
                <w:p w14:paraId="2D8663D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声源名称</w:t>
                  </w:r>
                </w:p>
              </w:tc>
              <w:tc>
                <w:tcPr>
                  <w:tcW w:w="1199" w:type="pct"/>
                  <w:gridSpan w:val="3"/>
                  <w:tcBorders>
                    <w:tl2br w:val="nil"/>
                    <w:tr2bl w:val="nil"/>
                  </w:tcBorders>
                  <w:shd w:val="clear" w:color="auto" w:fill="auto"/>
                  <w:vAlign w:val="center"/>
                </w:tcPr>
                <w:p w14:paraId="02CABC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空间相对位置/m</w:t>
                  </w:r>
                </w:p>
              </w:tc>
              <w:tc>
                <w:tcPr>
                  <w:tcW w:w="1813" w:type="pct"/>
                  <w:gridSpan w:val="2"/>
                  <w:tcBorders>
                    <w:tl2br w:val="nil"/>
                    <w:tr2bl w:val="nil"/>
                  </w:tcBorders>
                  <w:shd w:val="clear" w:color="auto" w:fill="auto"/>
                  <w:vAlign w:val="center"/>
                </w:tcPr>
                <w:p w14:paraId="034B37E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声源源强（任选一种）</w:t>
                  </w:r>
                </w:p>
              </w:tc>
              <w:tc>
                <w:tcPr>
                  <w:tcW w:w="604" w:type="pct"/>
                  <w:vMerge w:val="restart"/>
                  <w:tcBorders>
                    <w:tl2br w:val="nil"/>
                    <w:tr2bl w:val="nil"/>
                  </w:tcBorders>
                  <w:shd w:val="clear" w:color="auto" w:fill="auto"/>
                  <w:vAlign w:val="center"/>
                </w:tcPr>
                <w:p w14:paraId="4E4CBE6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声源控制措施</w:t>
                  </w:r>
                </w:p>
              </w:tc>
              <w:tc>
                <w:tcPr>
                  <w:tcW w:w="416" w:type="pct"/>
                  <w:vMerge w:val="restart"/>
                  <w:tcBorders>
                    <w:tl2br w:val="nil"/>
                    <w:tr2bl w:val="nil"/>
                  </w:tcBorders>
                  <w:shd w:val="clear" w:color="auto" w:fill="auto"/>
                  <w:vAlign w:val="center"/>
                </w:tcPr>
                <w:p w14:paraId="4B8F200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运行时段</w:t>
                  </w:r>
                </w:p>
              </w:tc>
            </w:tr>
            <w:tr w14:paraId="03C065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 w:type="pct"/>
                  <w:vMerge w:val="continue"/>
                  <w:tcBorders>
                    <w:tl2br w:val="nil"/>
                    <w:tr2bl w:val="nil"/>
                  </w:tcBorders>
                  <w:shd w:val="clear" w:color="auto" w:fill="auto"/>
                  <w:vAlign w:val="center"/>
                </w:tcPr>
                <w:p w14:paraId="719FB63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p>
              </w:tc>
              <w:tc>
                <w:tcPr>
                  <w:tcW w:w="712" w:type="pct"/>
                  <w:vMerge w:val="continue"/>
                  <w:tcBorders>
                    <w:tl2br w:val="nil"/>
                    <w:tr2bl w:val="nil"/>
                  </w:tcBorders>
                  <w:shd w:val="clear" w:color="auto" w:fill="auto"/>
                  <w:vAlign w:val="center"/>
                </w:tcPr>
                <w:p w14:paraId="5902C8A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p>
              </w:tc>
              <w:tc>
                <w:tcPr>
                  <w:tcW w:w="427" w:type="pct"/>
                  <w:tcBorders>
                    <w:tl2br w:val="nil"/>
                    <w:tr2bl w:val="nil"/>
                  </w:tcBorders>
                  <w:shd w:val="clear" w:color="auto" w:fill="auto"/>
                  <w:vAlign w:val="center"/>
                </w:tcPr>
                <w:p w14:paraId="58CD57C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X</w:t>
                  </w:r>
                </w:p>
              </w:tc>
              <w:tc>
                <w:tcPr>
                  <w:tcW w:w="360" w:type="pct"/>
                  <w:tcBorders>
                    <w:tl2br w:val="nil"/>
                    <w:tr2bl w:val="nil"/>
                  </w:tcBorders>
                  <w:shd w:val="clear" w:color="auto" w:fill="auto"/>
                  <w:vAlign w:val="center"/>
                </w:tcPr>
                <w:p w14:paraId="0167187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Y</w:t>
                  </w:r>
                </w:p>
              </w:tc>
              <w:tc>
                <w:tcPr>
                  <w:tcW w:w="412" w:type="pct"/>
                  <w:tcBorders>
                    <w:tl2br w:val="nil"/>
                    <w:tr2bl w:val="nil"/>
                  </w:tcBorders>
                  <w:shd w:val="clear" w:color="auto" w:fill="auto"/>
                  <w:vAlign w:val="center"/>
                </w:tcPr>
                <w:p w14:paraId="3B4F38D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Z</w:t>
                  </w:r>
                </w:p>
              </w:tc>
              <w:tc>
                <w:tcPr>
                  <w:tcW w:w="1129" w:type="pct"/>
                  <w:tcBorders>
                    <w:tl2br w:val="nil"/>
                    <w:tr2bl w:val="nil"/>
                  </w:tcBorders>
                  <w:shd w:val="clear" w:color="auto" w:fill="auto"/>
                  <w:vAlign w:val="center"/>
                </w:tcPr>
                <w:p w14:paraId="323CA87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（声压级/距声源距离）/（dB(A)/m）</w:t>
                  </w:r>
                </w:p>
              </w:tc>
              <w:tc>
                <w:tcPr>
                  <w:tcW w:w="684" w:type="pct"/>
                  <w:tcBorders>
                    <w:tl2br w:val="nil"/>
                    <w:tr2bl w:val="nil"/>
                  </w:tcBorders>
                  <w:shd w:val="clear" w:color="auto" w:fill="auto"/>
                  <w:vAlign w:val="center"/>
                </w:tcPr>
                <w:p w14:paraId="35E6DEA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声功率级/dB(A)</w:t>
                  </w:r>
                </w:p>
              </w:tc>
              <w:tc>
                <w:tcPr>
                  <w:tcW w:w="604" w:type="pct"/>
                  <w:vMerge w:val="continue"/>
                  <w:tcBorders>
                    <w:tl2br w:val="nil"/>
                    <w:tr2bl w:val="nil"/>
                  </w:tcBorders>
                  <w:shd w:val="clear" w:color="auto" w:fill="auto"/>
                  <w:vAlign w:val="center"/>
                </w:tcPr>
                <w:p w14:paraId="7309948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p>
                <w:bookmarkEnd w:id="13"/>
              </w:tc>
              <w:tc>
                <w:tcPr>
                  <w:tcW w:w="416" w:type="pct"/>
                  <w:vMerge w:val="continue"/>
                  <w:tcBorders>
                    <w:tl2br w:val="nil"/>
                    <w:tr2bl w:val="nil"/>
                  </w:tcBorders>
                  <w:shd w:val="clear" w:color="auto" w:fill="auto"/>
                  <w:vAlign w:val="center"/>
                </w:tcPr>
                <w:p w14:paraId="1E164E1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kern w:val="24"/>
                      <w:sz w:val="21"/>
                      <w:szCs w:val="21"/>
                      <w:lang w:val="en-US" w:eastAsia="zh-CN" w:bidi="ar-SA"/>
                    </w:rPr>
                  </w:pPr>
                </w:p>
              </w:tc>
            </w:tr>
            <w:tr w14:paraId="4AC73F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3" w:type="pct"/>
                  <w:tcBorders>
                    <w:tl2br w:val="nil"/>
                    <w:tr2bl w:val="nil"/>
                  </w:tcBorders>
                  <w:shd w:val="clear" w:color="auto" w:fill="auto"/>
                  <w:vAlign w:val="center"/>
                </w:tcPr>
                <w:p w14:paraId="70206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1</w:t>
                  </w:r>
                </w:p>
              </w:tc>
              <w:tc>
                <w:tcPr>
                  <w:tcW w:w="712" w:type="pct"/>
                  <w:tcBorders>
                    <w:tl2br w:val="nil"/>
                    <w:tr2bl w:val="nil"/>
                  </w:tcBorders>
                  <w:shd w:val="clear" w:color="auto" w:fill="auto"/>
                  <w:vAlign w:val="center"/>
                </w:tcPr>
                <w:p w14:paraId="78175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旋风除尘器</w:t>
                  </w:r>
                </w:p>
              </w:tc>
              <w:tc>
                <w:tcPr>
                  <w:tcW w:w="427" w:type="pct"/>
                  <w:tcBorders>
                    <w:tl2br w:val="nil"/>
                    <w:tr2bl w:val="nil"/>
                  </w:tcBorders>
                  <w:shd w:val="clear" w:color="auto" w:fill="auto"/>
                  <w:vAlign w:val="center"/>
                </w:tcPr>
                <w:p w14:paraId="0103C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-5.2</w:t>
                  </w:r>
                </w:p>
              </w:tc>
              <w:tc>
                <w:tcPr>
                  <w:tcW w:w="360" w:type="pct"/>
                  <w:tcBorders>
                    <w:tl2br w:val="nil"/>
                    <w:tr2bl w:val="nil"/>
                  </w:tcBorders>
                  <w:shd w:val="clear" w:color="auto" w:fill="auto"/>
                  <w:vAlign w:val="center"/>
                </w:tcPr>
                <w:p w14:paraId="5CF1C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30.5</w:t>
                  </w:r>
                </w:p>
              </w:tc>
              <w:tc>
                <w:tcPr>
                  <w:tcW w:w="412" w:type="pct"/>
                  <w:tcBorders>
                    <w:tl2br w:val="nil"/>
                    <w:tr2bl w:val="nil"/>
                  </w:tcBorders>
                  <w:shd w:val="clear" w:color="auto" w:fill="auto"/>
                  <w:vAlign w:val="center"/>
                </w:tcPr>
                <w:p w14:paraId="4B65C1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1.2</w:t>
                  </w:r>
                </w:p>
              </w:tc>
              <w:tc>
                <w:tcPr>
                  <w:tcW w:w="1129" w:type="pct"/>
                  <w:tcBorders>
                    <w:tl2br w:val="nil"/>
                    <w:tr2bl w:val="nil"/>
                  </w:tcBorders>
                  <w:shd w:val="clear" w:color="auto" w:fill="auto"/>
                  <w:vAlign w:val="center"/>
                </w:tcPr>
                <w:p w14:paraId="21269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w:t>
                  </w:r>
                </w:p>
              </w:tc>
              <w:tc>
                <w:tcPr>
                  <w:tcW w:w="684" w:type="pct"/>
                  <w:tcBorders>
                    <w:tl2br w:val="nil"/>
                    <w:tr2bl w:val="nil"/>
                  </w:tcBorders>
                  <w:shd w:val="clear" w:color="auto" w:fill="auto"/>
                  <w:vAlign w:val="center"/>
                </w:tcPr>
                <w:p w14:paraId="2D7D0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75</w:t>
                  </w:r>
                </w:p>
              </w:tc>
              <w:tc>
                <w:tcPr>
                  <w:tcW w:w="604" w:type="pct"/>
                  <w:tcBorders>
                    <w:tl2br w:val="nil"/>
                    <w:tr2bl w:val="nil"/>
                  </w:tcBorders>
                  <w:shd w:val="clear" w:color="auto" w:fill="auto"/>
                  <w:vAlign w:val="center"/>
                </w:tcPr>
                <w:p w14:paraId="236D1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spacing w:val="-6"/>
                      <w:kern w:val="24"/>
                      <w:sz w:val="21"/>
                      <w:szCs w:val="21"/>
                      <w:lang w:val="en-US" w:eastAsia="zh-CN" w:bidi="ar-SA"/>
                    </w:rPr>
                  </w:pPr>
                  <w:r>
                    <w:rPr>
                      <w:rFonts w:hint="default" w:ascii="Times New Roman" w:hAnsi="Times New Roman" w:eastAsia="宋体" w:cs="Times New Roman"/>
                      <w:bCs/>
                      <w:color w:val="000000"/>
                      <w:spacing w:val="-6"/>
                      <w:kern w:val="24"/>
                      <w:sz w:val="21"/>
                      <w:szCs w:val="21"/>
                      <w:lang w:val="en-US" w:eastAsia="zh-CN" w:bidi="ar-SA"/>
                    </w:rPr>
                    <w:t>基础减振</w:t>
                  </w:r>
                </w:p>
              </w:tc>
              <w:tc>
                <w:tcPr>
                  <w:tcW w:w="416" w:type="pct"/>
                  <w:tcBorders>
                    <w:tl2br w:val="nil"/>
                    <w:tr2bl w:val="nil"/>
                  </w:tcBorders>
                  <w:shd w:val="clear" w:color="auto" w:fill="auto"/>
                  <w:vAlign w:val="center"/>
                </w:tcPr>
                <w:p w14:paraId="313CC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全天</w:t>
                  </w:r>
                </w:p>
              </w:tc>
            </w:tr>
            <w:tr w14:paraId="14AB1F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3" w:type="pct"/>
                  <w:tcBorders>
                    <w:tl2br w:val="nil"/>
                    <w:tr2bl w:val="nil"/>
                  </w:tcBorders>
                  <w:shd w:val="clear" w:color="auto" w:fill="auto"/>
                  <w:vAlign w:val="center"/>
                </w:tcPr>
                <w:p w14:paraId="63206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2</w:t>
                  </w:r>
                </w:p>
              </w:tc>
              <w:tc>
                <w:tcPr>
                  <w:tcW w:w="712" w:type="pct"/>
                  <w:tcBorders>
                    <w:tl2br w:val="nil"/>
                    <w:tr2bl w:val="nil"/>
                  </w:tcBorders>
                  <w:shd w:val="clear" w:color="auto" w:fill="auto"/>
                  <w:vAlign w:val="center"/>
                </w:tcPr>
                <w:p w14:paraId="66ABA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卸料器</w:t>
                  </w:r>
                </w:p>
              </w:tc>
              <w:tc>
                <w:tcPr>
                  <w:tcW w:w="427" w:type="pct"/>
                  <w:tcBorders>
                    <w:tl2br w:val="nil"/>
                    <w:tr2bl w:val="nil"/>
                  </w:tcBorders>
                  <w:shd w:val="clear" w:color="auto" w:fill="auto"/>
                  <w:vAlign w:val="center"/>
                </w:tcPr>
                <w:p w14:paraId="71B14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c>
                <w:tcPr>
                  <w:tcW w:w="360" w:type="pct"/>
                  <w:tcBorders>
                    <w:tl2br w:val="nil"/>
                    <w:tr2bl w:val="nil"/>
                  </w:tcBorders>
                  <w:shd w:val="clear" w:color="auto" w:fill="auto"/>
                  <w:vAlign w:val="center"/>
                </w:tcPr>
                <w:p w14:paraId="5D49E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412" w:type="pct"/>
                  <w:tcBorders>
                    <w:tl2br w:val="nil"/>
                    <w:tr2bl w:val="nil"/>
                  </w:tcBorders>
                  <w:shd w:val="clear" w:color="auto" w:fill="auto"/>
                  <w:vAlign w:val="center"/>
                </w:tcPr>
                <w:p w14:paraId="15D11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129" w:type="pct"/>
                  <w:tcBorders>
                    <w:tl2br w:val="nil"/>
                    <w:tr2bl w:val="nil"/>
                  </w:tcBorders>
                  <w:shd w:val="clear" w:color="auto" w:fill="auto"/>
                  <w:vAlign w:val="center"/>
                </w:tcPr>
                <w:p w14:paraId="03C03F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w:t>
                  </w:r>
                </w:p>
              </w:tc>
              <w:tc>
                <w:tcPr>
                  <w:tcW w:w="684" w:type="pct"/>
                  <w:tcBorders>
                    <w:tl2br w:val="nil"/>
                    <w:tr2bl w:val="nil"/>
                  </w:tcBorders>
                  <w:shd w:val="clear" w:color="auto" w:fill="auto"/>
                  <w:vAlign w:val="center"/>
                </w:tcPr>
                <w:p w14:paraId="5D90C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80</w:t>
                  </w:r>
                </w:p>
              </w:tc>
              <w:tc>
                <w:tcPr>
                  <w:tcW w:w="604" w:type="pct"/>
                  <w:tcBorders>
                    <w:tl2br w:val="nil"/>
                    <w:tr2bl w:val="nil"/>
                  </w:tcBorders>
                  <w:shd w:val="clear" w:color="auto" w:fill="auto"/>
                  <w:vAlign w:val="center"/>
                </w:tcPr>
                <w:p w14:paraId="02B78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spacing w:val="-6"/>
                      <w:kern w:val="24"/>
                      <w:sz w:val="21"/>
                      <w:szCs w:val="21"/>
                      <w:lang w:val="en-US" w:eastAsia="zh-CN" w:bidi="ar-SA"/>
                    </w:rPr>
                  </w:pPr>
                  <w:r>
                    <w:rPr>
                      <w:rFonts w:hint="default" w:ascii="Times New Roman" w:hAnsi="Times New Roman" w:eastAsia="宋体" w:cs="Times New Roman"/>
                      <w:bCs/>
                      <w:color w:val="000000"/>
                      <w:spacing w:val="-6"/>
                      <w:kern w:val="24"/>
                      <w:sz w:val="21"/>
                      <w:szCs w:val="21"/>
                      <w:lang w:val="en-US" w:eastAsia="zh-CN" w:bidi="ar-SA"/>
                    </w:rPr>
                    <w:t>基础减振</w:t>
                  </w:r>
                </w:p>
              </w:tc>
              <w:tc>
                <w:tcPr>
                  <w:tcW w:w="416" w:type="pct"/>
                  <w:tcBorders>
                    <w:tl2br w:val="nil"/>
                    <w:tr2bl w:val="nil"/>
                  </w:tcBorders>
                  <w:shd w:val="clear" w:color="auto" w:fill="auto"/>
                  <w:vAlign w:val="center"/>
                </w:tcPr>
                <w:p w14:paraId="62DC5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全天</w:t>
                  </w:r>
                </w:p>
              </w:tc>
            </w:tr>
            <w:tr w14:paraId="175F91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3" w:type="pct"/>
                  <w:tcBorders>
                    <w:tl2br w:val="nil"/>
                    <w:tr2bl w:val="nil"/>
                  </w:tcBorders>
                  <w:shd w:val="clear" w:color="auto" w:fill="auto"/>
                  <w:vAlign w:val="center"/>
                </w:tcPr>
                <w:p w14:paraId="7F979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3</w:t>
                  </w:r>
                </w:p>
              </w:tc>
              <w:tc>
                <w:tcPr>
                  <w:tcW w:w="712" w:type="pct"/>
                  <w:tcBorders>
                    <w:tl2br w:val="nil"/>
                    <w:tr2bl w:val="nil"/>
                  </w:tcBorders>
                  <w:shd w:val="clear" w:color="auto" w:fill="auto"/>
                  <w:vAlign w:val="center"/>
                </w:tcPr>
                <w:p w14:paraId="23D69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吸籽管及沉杂器</w:t>
                  </w:r>
                </w:p>
              </w:tc>
              <w:tc>
                <w:tcPr>
                  <w:tcW w:w="427" w:type="pct"/>
                  <w:tcBorders>
                    <w:tl2br w:val="nil"/>
                    <w:tr2bl w:val="nil"/>
                  </w:tcBorders>
                  <w:shd w:val="clear" w:color="auto" w:fill="auto"/>
                  <w:vAlign w:val="center"/>
                </w:tcPr>
                <w:p w14:paraId="343A17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w:t>
                  </w:r>
                </w:p>
              </w:tc>
              <w:tc>
                <w:tcPr>
                  <w:tcW w:w="360" w:type="pct"/>
                  <w:tcBorders>
                    <w:tl2br w:val="nil"/>
                    <w:tr2bl w:val="nil"/>
                  </w:tcBorders>
                  <w:shd w:val="clear" w:color="auto" w:fill="auto"/>
                  <w:vAlign w:val="center"/>
                </w:tcPr>
                <w:p w14:paraId="38DD0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w:t>
                  </w:r>
                </w:p>
              </w:tc>
              <w:tc>
                <w:tcPr>
                  <w:tcW w:w="412" w:type="pct"/>
                  <w:tcBorders>
                    <w:tl2br w:val="nil"/>
                    <w:tr2bl w:val="nil"/>
                  </w:tcBorders>
                  <w:shd w:val="clear" w:color="auto" w:fill="auto"/>
                  <w:vAlign w:val="center"/>
                </w:tcPr>
                <w:p w14:paraId="52554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129" w:type="pct"/>
                  <w:tcBorders>
                    <w:tl2br w:val="nil"/>
                    <w:tr2bl w:val="nil"/>
                  </w:tcBorders>
                  <w:shd w:val="clear" w:color="auto" w:fill="auto"/>
                  <w:vAlign w:val="center"/>
                </w:tcPr>
                <w:p w14:paraId="72ADC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w:t>
                  </w:r>
                </w:p>
              </w:tc>
              <w:tc>
                <w:tcPr>
                  <w:tcW w:w="684" w:type="pct"/>
                  <w:tcBorders>
                    <w:tl2br w:val="nil"/>
                    <w:tr2bl w:val="nil"/>
                  </w:tcBorders>
                  <w:shd w:val="clear" w:color="auto" w:fill="auto"/>
                  <w:vAlign w:val="center"/>
                </w:tcPr>
                <w:p w14:paraId="54F2D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80</w:t>
                  </w:r>
                </w:p>
              </w:tc>
              <w:tc>
                <w:tcPr>
                  <w:tcW w:w="604" w:type="pct"/>
                  <w:tcBorders>
                    <w:tl2br w:val="nil"/>
                    <w:tr2bl w:val="nil"/>
                  </w:tcBorders>
                  <w:shd w:val="clear" w:color="auto" w:fill="auto"/>
                  <w:vAlign w:val="center"/>
                </w:tcPr>
                <w:p w14:paraId="38FD1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spacing w:val="-6"/>
                      <w:kern w:val="24"/>
                      <w:sz w:val="21"/>
                      <w:szCs w:val="21"/>
                      <w:lang w:val="en-US" w:eastAsia="zh-CN" w:bidi="ar-SA"/>
                    </w:rPr>
                  </w:pPr>
                  <w:r>
                    <w:rPr>
                      <w:rFonts w:hint="default" w:ascii="Times New Roman" w:hAnsi="Times New Roman" w:eastAsia="宋体" w:cs="Times New Roman"/>
                      <w:bCs/>
                      <w:color w:val="000000"/>
                      <w:spacing w:val="-6"/>
                      <w:kern w:val="24"/>
                      <w:sz w:val="21"/>
                      <w:szCs w:val="21"/>
                      <w:lang w:val="en-US" w:eastAsia="zh-CN" w:bidi="ar-SA"/>
                    </w:rPr>
                    <w:t>基础减振</w:t>
                  </w:r>
                </w:p>
              </w:tc>
              <w:tc>
                <w:tcPr>
                  <w:tcW w:w="416" w:type="pct"/>
                  <w:tcBorders>
                    <w:tl2br w:val="nil"/>
                    <w:tr2bl w:val="nil"/>
                  </w:tcBorders>
                  <w:shd w:val="clear" w:color="auto" w:fill="auto"/>
                  <w:vAlign w:val="center"/>
                </w:tcPr>
                <w:p w14:paraId="11971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全天</w:t>
                  </w:r>
                </w:p>
              </w:tc>
            </w:tr>
          </w:tbl>
          <w:p w14:paraId="7B81ECA4">
            <w:pPr>
              <w:keepNext w:val="0"/>
              <w:keepLines w:val="0"/>
              <w:suppressLineNumbers w:val="0"/>
              <w:spacing w:before="0" w:beforeAutospacing="0" w:after="0" w:afterAutospacing="0"/>
              <w:ind w:left="0" w:right="0"/>
              <w:rPr>
                <w:rFonts w:hint="default"/>
                <w:vertAlign w:val="baseline"/>
              </w:rPr>
            </w:pPr>
          </w:p>
        </w:tc>
      </w:tr>
    </w:tbl>
    <w:p w14:paraId="5F9E6245">
      <w:p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2CAAA317">
      <w:pPr>
        <w:spacing w:line="240" w:lineRule="auto"/>
        <w:jc w:val="center"/>
        <w:rPr>
          <w:b/>
          <w:bCs/>
        </w:rPr>
      </w:pPr>
      <w:r>
        <w:rPr>
          <w:b/>
          <w:bCs/>
        </w:rPr>
        <w:t>表</w:t>
      </w:r>
      <w:r>
        <w:rPr>
          <w:rFonts w:hint="eastAsia"/>
          <w:b/>
          <w:bCs/>
          <w:lang w:val="en-US" w:eastAsia="zh-CN"/>
        </w:rPr>
        <w:t>4-7</w:t>
      </w:r>
      <w:r>
        <w:rPr>
          <w:b/>
          <w:bCs/>
        </w:rPr>
        <w:t xml:space="preserve">                </w:t>
      </w:r>
      <w:r>
        <w:rPr>
          <w:rFonts w:hint="eastAsia"/>
          <w:b/>
          <w:bCs/>
          <w:lang w:val="en-US" w:eastAsia="zh-CN"/>
        </w:rPr>
        <w:t>工业企业噪声源强调查清单（室内声源）</w:t>
      </w:r>
      <w:r>
        <w:rPr>
          <w:b/>
          <w:bCs/>
        </w:rPr>
        <w:t xml:space="preserve"> </w:t>
      </w:r>
      <w:r>
        <w:rPr>
          <w:rFonts w:hint="eastAsia"/>
          <w:b/>
          <w:bCs/>
        </w:rPr>
        <w:t xml:space="preserve">                     </w:t>
      </w:r>
      <w:r>
        <w:rPr>
          <w:b/>
          <w:bCs/>
        </w:rPr>
        <w:t xml:space="preserve"> 单位：dB（A）</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3"/>
        <w:gridCol w:w="607"/>
        <w:gridCol w:w="859"/>
        <w:gridCol w:w="933"/>
        <w:gridCol w:w="703"/>
        <w:gridCol w:w="563"/>
        <w:gridCol w:w="519"/>
        <w:gridCol w:w="508"/>
        <w:gridCol w:w="453"/>
        <w:gridCol w:w="397"/>
        <w:gridCol w:w="397"/>
        <w:gridCol w:w="423"/>
        <w:gridCol w:w="429"/>
        <w:gridCol w:w="429"/>
        <w:gridCol w:w="429"/>
        <w:gridCol w:w="442"/>
        <w:gridCol w:w="593"/>
        <w:gridCol w:w="404"/>
        <w:gridCol w:w="416"/>
        <w:gridCol w:w="438"/>
        <w:gridCol w:w="473"/>
        <w:gridCol w:w="427"/>
        <w:gridCol w:w="442"/>
        <w:gridCol w:w="384"/>
        <w:gridCol w:w="384"/>
        <w:gridCol w:w="733"/>
      </w:tblGrid>
      <w:tr w14:paraId="2624C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67" w:type="pct"/>
            <w:vMerge w:val="restart"/>
            <w:tcBorders>
              <w:tl2br w:val="nil"/>
              <w:tr2bl w:val="nil"/>
            </w:tcBorders>
            <w:shd w:val="clear" w:color="auto" w:fill="auto"/>
            <w:vAlign w:val="center"/>
          </w:tcPr>
          <w:p w14:paraId="74BC47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229" w:type="pct"/>
            <w:vMerge w:val="restart"/>
            <w:tcBorders>
              <w:tl2br w:val="nil"/>
              <w:tr2bl w:val="nil"/>
            </w:tcBorders>
            <w:shd w:val="clear" w:color="auto" w:fill="auto"/>
            <w:vAlign w:val="center"/>
          </w:tcPr>
          <w:p w14:paraId="2548E1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建筑物名称</w:t>
            </w:r>
          </w:p>
        </w:tc>
        <w:tc>
          <w:tcPr>
            <w:tcW w:w="324" w:type="pct"/>
            <w:vMerge w:val="restart"/>
            <w:tcBorders>
              <w:tl2br w:val="nil"/>
              <w:tr2bl w:val="nil"/>
            </w:tcBorders>
            <w:shd w:val="clear" w:color="auto" w:fill="auto"/>
            <w:vAlign w:val="center"/>
          </w:tcPr>
          <w:p w14:paraId="304AFC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声源名称</w:t>
            </w:r>
          </w:p>
        </w:tc>
        <w:tc>
          <w:tcPr>
            <w:tcW w:w="352" w:type="pct"/>
            <w:tcBorders>
              <w:tl2br w:val="nil"/>
              <w:tr2bl w:val="nil"/>
            </w:tcBorders>
            <w:shd w:val="clear" w:color="auto" w:fill="auto"/>
            <w:vAlign w:val="center"/>
          </w:tcPr>
          <w:p w14:paraId="03D679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声源</w:t>
            </w:r>
          </w:p>
          <w:p w14:paraId="7D12D4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源强</w:t>
            </w:r>
          </w:p>
        </w:tc>
        <w:tc>
          <w:tcPr>
            <w:tcW w:w="265" w:type="pct"/>
            <w:vMerge w:val="restart"/>
            <w:tcBorders>
              <w:tl2br w:val="nil"/>
              <w:tr2bl w:val="nil"/>
            </w:tcBorders>
            <w:shd w:val="clear" w:color="auto" w:fill="auto"/>
            <w:vAlign w:val="center"/>
          </w:tcPr>
          <w:p w14:paraId="21AECA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声源控制措施</w:t>
            </w:r>
          </w:p>
        </w:tc>
        <w:tc>
          <w:tcPr>
            <w:tcW w:w="600" w:type="pct"/>
            <w:gridSpan w:val="3"/>
            <w:tcBorders>
              <w:tl2br w:val="nil"/>
              <w:tr2bl w:val="nil"/>
            </w:tcBorders>
            <w:shd w:val="clear" w:color="auto" w:fill="auto"/>
            <w:vAlign w:val="center"/>
          </w:tcPr>
          <w:p w14:paraId="74449E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空间相对位置/m</w:t>
            </w:r>
          </w:p>
        </w:tc>
        <w:tc>
          <w:tcPr>
            <w:tcW w:w="631" w:type="pct"/>
            <w:gridSpan w:val="4"/>
            <w:tcBorders>
              <w:tl2br w:val="nil"/>
              <w:tr2bl w:val="nil"/>
            </w:tcBorders>
            <w:shd w:val="clear" w:color="auto" w:fill="auto"/>
            <w:vAlign w:val="center"/>
          </w:tcPr>
          <w:p w14:paraId="0710C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距室内边界距离/m</w:t>
            </w:r>
          </w:p>
        </w:tc>
        <w:tc>
          <w:tcPr>
            <w:tcW w:w="653" w:type="pct"/>
            <w:gridSpan w:val="4"/>
            <w:tcBorders>
              <w:tl2br w:val="nil"/>
              <w:tr2bl w:val="nil"/>
            </w:tcBorders>
            <w:shd w:val="clear" w:color="auto" w:fill="auto"/>
            <w:vAlign w:val="center"/>
          </w:tcPr>
          <w:p w14:paraId="71569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室内边界声级/dB</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A</w:t>
            </w:r>
            <w:r>
              <w:rPr>
                <w:rFonts w:hint="default" w:ascii="Times New Roman" w:hAnsi="Times New Roman" w:eastAsia="宋体" w:cs="Times New Roman"/>
                <w:b w:val="0"/>
                <w:bCs/>
                <w:sz w:val="21"/>
                <w:szCs w:val="21"/>
                <w:lang w:eastAsia="zh-CN"/>
              </w:rPr>
              <w:t>）</w:t>
            </w:r>
          </w:p>
        </w:tc>
        <w:tc>
          <w:tcPr>
            <w:tcW w:w="224" w:type="pct"/>
            <w:vMerge w:val="restart"/>
            <w:tcBorders>
              <w:tl2br w:val="nil"/>
              <w:tr2bl w:val="nil"/>
            </w:tcBorders>
            <w:shd w:val="clear" w:color="auto" w:fill="auto"/>
            <w:vAlign w:val="center"/>
          </w:tcPr>
          <w:p w14:paraId="0BDE0C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运行时段</w:t>
            </w:r>
          </w:p>
        </w:tc>
        <w:tc>
          <w:tcPr>
            <w:tcW w:w="654" w:type="pct"/>
            <w:gridSpan w:val="4"/>
            <w:tcBorders>
              <w:tl2br w:val="nil"/>
              <w:tr2bl w:val="nil"/>
            </w:tcBorders>
            <w:shd w:val="clear" w:color="auto" w:fill="auto"/>
            <w:vAlign w:val="center"/>
          </w:tcPr>
          <w:p w14:paraId="772DB7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建筑物插入损失/dB</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A</w:t>
            </w:r>
            <w:r>
              <w:rPr>
                <w:rFonts w:hint="default" w:ascii="Times New Roman" w:hAnsi="Times New Roman" w:eastAsia="宋体" w:cs="Times New Roman"/>
                <w:b w:val="0"/>
                <w:bCs/>
                <w:sz w:val="21"/>
                <w:szCs w:val="21"/>
                <w:lang w:eastAsia="zh-CN"/>
              </w:rPr>
              <w:t>）</w:t>
            </w:r>
          </w:p>
        </w:tc>
        <w:tc>
          <w:tcPr>
            <w:tcW w:w="895" w:type="pct"/>
            <w:gridSpan w:val="5"/>
            <w:tcBorders>
              <w:tl2br w:val="nil"/>
              <w:tr2bl w:val="nil"/>
            </w:tcBorders>
            <w:shd w:val="clear" w:color="auto" w:fill="auto"/>
            <w:vAlign w:val="center"/>
          </w:tcPr>
          <w:p w14:paraId="2EABD4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建筑物外噪声声压级/dB</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A</w:t>
            </w:r>
            <w:r>
              <w:rPr>
                <w:rFonts w:hint="default" w:ascii="Times New Roman" w:hAnsi="Times New Roman" w:eastAsia="宋体" w:cs="Times New Roman"/>
                <w:b w:val="0"/>
                <w:bCs/>
                <w:sz w:val="21"/>
                <w:szCs w:val="21"/>
                <w:lang w:eastAsia="zh-CN"/>
              </w:rPr>
              <w:t>）</w:t>
            </w:r>
          </w:p>
        </w:tc>
      </w:tr>
      <w:tr w14:paraId="54EC6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 w:type="pct"/>
            <w:vMerge w:val="continue"/>
            <w:tcBorders>
              <w:tl2br w:val="nil"/>
              <w:tr2bl w:val="nil"/>
            </w:tcBorders>
            <w:shd w:val="clear" w:color="auto" w:fill="auto"/>
            <w:tcMar>
              <w:top w:w="0" w:type="dxa"/>
              <w:left w:w="0" w:type="dxa"/>
              <w:bottom w:w="0" w:type="dxa"/>
              <w:right w:w="0" w:type="dxa"/>
            </w:tcMar>
            <w:vAlign w:val="center"/>
          </w:tcPr>
          <w:p w14:paraId="37514F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val="en-US" w:eastAsia="zh-CN"/>
              </w:rPr>
            </w:pPr>
          </w:p>
        </w:tc>
        <w:tc>
          <w:tcPr>
            <w:tcW w:w="229" w:type="pct"/>
            <w:vMerge w:val="continue"/>
            <w:tcBorders>
              <w:tl2br w:val="nil"/>
              <w:tr2bl w:val="nil"/>
            </w:tcBorders>
            <w:shd w:val="clear" w:color="auto" w:fill="auto"/>
            <w:tcMar>
              <w:top w:w="0" w:type="dxa"/>
              <w:left w:w="0" w:type="dxa"/>
              <w:bottom w:w="0" w:type="dxa"/>
              <w:right w:w="0" w:type="dxa"/>
            </w:tcMar>
            <w:vAlign w:val="center"/>
          </w:tcPr>
          <w:p w14:paraId="6B9EED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vMerge w:val="continue"/>
            <w:tcBorders>
              <w:tl2br w:val="nil"/>
              <w:tr2bl w:val="nil"/>
            </w:tcBorders>
            <w:shd w:val="clear" w:color="auto" w:fill="auto"/>
            <w:tcMar>
              <w:top w:w="0" w:type="dxa"/>
              <w:left w:w="0" w:type="dxa"/>
              <w:bottom w:w="0" w:type="dxa"/>
              <w:right w:w="0" w:type="dxa"/>
            </w:tcMar>
            <w:vAlign w:val="center"/>
          </w:tcPr>
          <w:p w14:paraId="4FEEFF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52" w:type="pct"/>
            <w:tcBorders>
              <w:tl2br w:val="nil"/>
              <w:tr2bl w:val="nil"/>
            </w:tcBorders>
            <w:shd w:val="clear" w:color="auto" w:fill="auto"/>
            <w:tcMar>
              <w:top w:w="0" w:type="dxa"/>
              <w:left w:w="0" w:type="dxa"/>
              <w:bottom w:w="0" w:type="dxa"/>
              <w:right w:w="0" w:type="dxa"/>
            </w:tcMar>
            <w:vAlign w:val="center"/>
          </w:tcPr>
          <w:p w14:paraId="10E185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声功率级/dB</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A</w:t>
            </w:r>
            <w:r>
              <w:rPr>
                <w:rFonts w:hint="default" w:ascii="Times New Roman" w:hAnsi="Times New Roman" w:eastAsia="宋体" w:cs="Times New Roman"/>
                <w:b w:val="0"/>
                <w:bCs/>
                <w:sz w:val="21"/>
                <w:szCs w:val="21"/>
                <w:lang w:eastAsia="zh-CN"/>
              </w:rPr>
              <w:t>）</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6AAA5D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2C7A9B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X</w:t>
            </w:r>
          </w:p>
        </w:tc>
        <w:tc>
          <w:tcPr>
            <w:tcW w:w="196" w:type="pct"/>
            <w:tcBorders>
              <w:tl2br w:val="nil"/>
              <w:tr2bl w:val="nil"/>
            </w:tcBorders>
            <w:shd w:val="clear" w:color="auto" w:fill="auto"/>
            <w:tcMar>
              <w:top w:w="0" w:type="dxa"/>
              <w:left w:w="0" w:type="dxa"/>
              <w:bottom w:w="0" w:type="dxa"/>
              <w:right w:w="0" w:type="dxa"/>
            </w:tcMar>
            <w:vAlign w:val="center"/>
          </w:tcPr>
          <w:p w14:paraId="591900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Y</w:t>
            </w:r>
          </w:p>
        </w:tc>
        <w:tc>
          <w:tcPr>
            <w:tcW w:w="192" w:type="pct"/>
            <w:tcBorders>
              <w:tl2br w:val="nil"/>
              <w:tr2bl w:val="nil"/>
            </w:tcBorders>
            <w:shd w:val="clear" w:color="auto" w:fill="auto"/>
            <w:tcMar>
              <w:top w:w="0" w:type="dxa"/>
              <w:left w:w="0" w:type="dxa"/>
              <w:bottom w:w="0" w:type="dxa"/>
              <w:right w:w="0" w:type="dxa"/>
            </w:tcMar>
            <w:vAlign w:val="center"/>
          </w:tcPr>
          <w:p w14:paraId="198117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Z</w:t>
            </w:r>
          </w:p>
        </w:tc>
        <w:tc>
          <w:tcPr>
            <w:tcW w:w="171" w:type="pct"/>
            <w:tcBorders>
              <w:tl2br w:val="nil"/>
              <w:tr2bl w:val="nil"/>
            </w:tcBorders>
            <w:shd w:val="clear" w:color="auto" w:fill="auto"/>
            <w:tcMar>
              <w:top w:w="0" w:type="dxa"/>
              <w:left w:w="0" w:type="dxa"/>
              <w:bottom w:w="0" w:type="dxa"/>
              <w:right w:w="0" w:type="dxa"/>
            </w:tcMar>
            <w:vAlign w:val="center"/>
          </w:tcPr>
          <w:p w14:paraId="209EE5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东</w:t>
            </w:r>
          </w:p>
        </w:tc>
        <w:tc>
          <w:tcPr>
            <w:tcW w:w="150" w:type="pct"/>
            <w:tcBorders>
              <w:tl2br w:val="nil"/>
              <w:tr2bl w:val="nil"/>
            </w:tcBorders>
            <w:shd w:val="clear" w:color="auto" w:fill="auto"/>
            <w:tcMar>
              <w:top w:w="0" w:type="dxa"/>
              <w:left w:w="0" w:type="dxa"/>
              <w:bottom w:w="0" w:type="dxa"/>
              <w:right w:w="0" w:type="dxa"/>
            </w:tcMar>
            <w:vAlign w:val="center"/>
          </w:tcPr>
          <w:p w14:paraId="480B5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南</w:t>
            </w:r>
          </w:p>
        </w:tc>
        <w:tc>
          <w:tcPr>
            <w:tcW w:w="150" w:type="pct"/>
            <w:tcBorders>
              <w:tl2br w:val="nil"/>
              <w:tr2bl w:val="nil"/>
            </w:tcBorders>
            <w:shd w:val="clear" w:color="auto" w:fill="auto"/>
            <w:tcMar>
              <w:top w:w="0" w:type="dxa"/>
              <w:left w:w="0" w:type="dxa"/>
              <w:bottom w:w="0" w:type="dxa"/>
              <w:right w:w="0" w:type="dxa"/>
            </w:tcMar>
            <w:vAlign w:val="center"/>
          </w:tcPr>
          <w:p w14:paraId="2E167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西</w:t>
            </w:r>
          </w:p>
        </w:tc>
        <w:tc>
          <w:tcPr>
            <w:tcW w:w="159" w:type="pct"/>
            <w:tcBorders>
              <w:tl2br w:val="nil"/>
              <w:tr2bl w:val="nil"/>
            </w:tcBorders>
            <w:shd w:val="clear" w:color="auto" w:fill="auto"/>
            <w:tcMar>
              <w:top w:w="0" w:type="dxa"/>
              <w:left w:w="0" w:type="dxa"/>
              <w:bottom w:w="0" w:type="dxa"/>
              <w:right w:w="0" w:type="dxa"/>
            </w:tcMar>
            <w:vAlign w:val="center"/>
          </w:tcPr>
          <w:p w14:paraId="22ADA7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北</w:t>
            </w:r>
          </w:p>
        </w:tc>
        <w:tc>
          <w:tcPr>
            <w:tcW w:w="162" w:type="pct"/>
            <w:tcBorders>
              <w:tl2br w:val="nil"/>
              <w:tr2bl w:val="nil"/>
            </w:tcBorders>
            <w:shd w:val="clear" w:color="auto" w:fill="auto"/>
            <w:tcMar>
              <w:top w:w="0" w:type="dxa"/>
              <w:left w:w="0" w:type="dxa"/>
              <w:bottom w:w="0" w:type="dxa"/>
              <w:right w:w="0" w:type="dxa"/>
            </w:tcMar>
            <w:vAlign w:val="center"/>
          </w:tcPr>
          <w:p w14:paraId="2031C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东</w:t>
            </w:r>
          </w:p>
        </w:tc>
        <w:tc>
          <w:tcPr>
            <w:tcW w:w="162" w:type="pct"/>
            <w:tcBorders>
              <w:tl2br w:val="nil"/>
              <w:tr2bl w:val="nil"/>
            </w:tcBorders>
            <w:shd w:val="clear" w:color="auto" w:fill="auto"/>
            <w:tcMar>
              <w:top w:w="0" w:type="dxa"/>
              <w:left w:w="0" w:type="dxa"/>
              <w:bottom w:w="0" w:type="dxa"/>
              <w:right w:w="0" w:type="dxa"/>
            </w:tcMar>
            <w:vAlign w:val="center"/>
          </w:tcPr>
          <w:p w14:paraId="596F9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南</w:t>
            </w:r>
          </w:p>
        </w:tc>
        <w:tc>
          <w:tcPr>
            <w:tcW w:w="162" w:type="pct"/>
            <w:tcBorders>
              <w:tl2br w:val="nil"/>
              <w:tr2bl w:val="nil"/>
            </w:tcBorders>
            <w:shd w:val="clear" w:color="auto" w:fill="auto"/>
            <w:tcMar>
              <w:top w:w="0" w:type="dxa"/>
              <w:left w:w="0" w:type="dxa"/>
              <w:bottom w:w="0" w:type="dxa"/>
              <w:right w:w="0" w:type="dxa"/>
            </w:tcMar>
            <w:vAlign w:val="center"/>
          </w:tcPr>
          <w:p w14:paraId="559141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西</w:t>
            </w:r>
          </w:p>
        </w:tc>
        <w:tc>
          <w:tcPr>
            <w:tcW w:w="167" w:type="pct"/>
            <w:tcBorders>
              <w:tl2br w:val="nil"/>
              <w:tr2bl w:val="nil"/>
            </w:tcBorders>
            <w:shd w:val="clear" w:color="auto" w:fill="auto"/>
            <w:tcMar>
              <w:top w:w="0" w:type="dxa"/>
              <w:left w:w="0" w:type="dxa"/>
              <w:bottom w:w="0" w:type="dxa"/>
              <w:right w:w="0" w:type="dxa"/>
            </w:tcMar>
            <w:vAlign w:val="center"/>
          </w:tcPr>
          <w:p w14:paraId="3E39B1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北</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1FCBD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23F0D2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东</w:t>
            </w:r>
          </w:p>
        </w:tc>
        <w:tc>
          <w:tcPr>
            <w:tcW w:w="157" w:type="pct"/>
            <w:tcBorders>
              <w:tl2br w:val="nil"/>
              <w:tr2bl w:val="nil"/>
            </w:tcBorders>
            <w:shd w:val="clear" w:color="auto" w:fill="auto"/>
            <w:tcMar>
              <w:top w:w="0" w:type="dxa"/>
              <w:left w:w="0" w:type="dxa"/>
              <w:bottom w:w="0" w:type="dxa"/>
              <w:right w:w="0" w:type="dxa"/>
            </w:tcMar>
            <w:vAlign w:val="center"/>
          </w:tcPr>
          <w:p w14:paraId="4B6A60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南</w:t>
            </w:r>
          </w:p>
        </w:tc>
        <w:tc>
          <w:tcPr>
            <w:tcW w:w="165" w:type="pct"/>
            <w:tcBorders>
              <w:tl2br w:val="nil"/>
              <w:tr2bl w:val="nil"/>
            </w:tcBorders>
            <w:shd w:val="clear" w:color="auto" w:fill="auto"/>
            <w:tcMar>
              <w:top w:w="0" w:type="dxa"/>
              <w:left w:w="0" w:type="dxa"/>
              <w:bottom w:w="0" w:type="dxa"/>
              <w:right w:w="0" w:type="dxa"/>
            </w:tcMar>
            <w:vAlign w:val="center"/>
          </w:tcPr>
          <w:p w14:paraId="70C5D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西</w:t>
            </w:r>
          </w:p>
        </w:tc>
        <w:tc>
          <w:tcPr>
            <w:tcW w:w="178" w:type="pct"/>
            <w:tcBorders>
              <w:tl2br w:val="nil"/>
              <w:tr2bl w:val="nil"/>
            </w:tcBorders>
            <w:shd w:val="clear" w:color="auto" w:fill="auto"/>
            <w:tcMar>
              <w:top w:w="0" w:type="dxa"/>
              <w:left w:w="0" w:type="dxa"/>
              <w:bottom w:w="0" w:type="dxa"/>
              <w:right w:w="0" w:type="dxa"/>
            </w:tcMar>
            <w:vAlign w:val="center"/>
          </w:tcPr>
          <w:p w14:paraId="74A242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北</w:t>
            </w:r>
          </w:p>
        </w:tc>
        <w:tc>
          <w:tcPr>
            <w:tcW w:w="161" w:type="pct"/>
            <w:tcBorders>
              <w:tl2br w:val="nil"/>
              <w:tr2bl w:val="nil"/>
            </w:tcBorders>
            <w:shd w:val="clear" w:color="auto" w:fill="auto"/>
            <w:tcMar>
              <w:top w:w="0" w:type="dxa"/>
              <w:left w:w="0" w:type="dxa"/>
              <w:bottom w:w="0" w:type="dxa"/>
              <w:right w:w="0" w:type="dxa"/>
            </w:tcMar>
            <w:vAlign w:val="center"/>
          </w:tcPr>
          <w:p w14:paraId="10B031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东</w:t>
            </w:r>
          </w:p>
        </w:tc>
        <w:tc>
          <w:tcPr>
            <w:tcW w:w="167" w:type="pct"/>
            <w:tcBorders>
              <w:tl2br w:val="nil"/>
              <w:tr2bl w:val="nil"/>
            </w:tcBorders>
            <w:shd w:val="clear" w:color="auto" w:fill="auto"/>
            <w:tcMar>
              <w:top w:w="0" w:type="dxa"/>
              <w:left w:w="0" w:type="dxa"/>
              <w:bottom w:w="0" w:type="dxa"/>
              <w:right w:w="0" w:type="dxa"/>
            </w:tcMar>
            <w:vAlign w:val="center"/>
          </w:tcPr>
          <w:p w14:paraId="4E9EC0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南</w:t>
            </w:r>
          </w:p>
        </w:tc>
        <w:tc>
          <w:tcPr>
            <w:tcW w:w="145" w:type="pct"/>
            <w:tcBorders>
              <w:tl2br w:val="nil"/>
              <w:tr2bl w:val="nil"/>
            </w:tcBorders>
            <w:shd w:val="clear" w:color="auto" w:fill="auto"/>
            <w:tcMar>
              <w:top w:w="0" w:type="dxa"/>
              <w:left w:w="0" w:type="dxa"/>
              <w:bottom w:w="0" w:type="dxa"/>
              <w:right w:w="0" w:type="dxa"/>
            </w:tcMar>
            <w:vAlign w:val="center"/>
          </w:tcPr>
          <w:p w14:paraId="6D20C6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西</w:t>
            </w:r>
          </w:p>
        </w:tc>
        <w:tc>
          <w:tcPr>
            <w:tcW w:w="145" w:type="pct"/>
            <w:tcBorders>
              <w:tl2br w:val="nil"/>
              <w:tr2bl w:val="nil"/>
            </w:tcBorders>
            <w:shd w:val="clear" w:color="auto" w:fill="auto"/>
            <w:tcMar>
              <w:top w:w="0" w:type="dxa"/>
              <w:left w:w="0" w:type="dxa"/>
              <w:bottom w:w="0" w:type="dxa"/>
              <w:right w:w="0" w:type="dxa"/>
            </w:tcMar>
            <w:vAlign w:val="center"/>
          </w:tcPr>
          <w:p w14:paraId="2B4F6F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北</w:t>
            </w:r>
          </w:p>
        </w:tc>
        <w:tc>
          <w:tcPr>
            <w:tcW w:w="277" w:type="pct"/>
            <w:tcBorders>
              <w:tl2br w:val="nil"/>
              <w:tr2bl w:val="nil"/>
            </w:tcBorders>
            <w:shd w:val="clear" w:color="auto" w:fill="auto"/>
            <w:tcMar>
              <w:top w:w="0" w:type="dxa"/>
              <w:left w:w="0" w:type="dxa"/>
              <w:bottom w:w="0" w:type="dxa"/>
              <w:right w:w="0" w:type="dxa"/>
            </w:tcMar>
            <w:vAlign w:val="center"/>
          </w:tcPr>
          <w:p w14:paraId="178F7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建筑物外距离</w:t>
            </w:r>
          </w:p>
        </w:tc>
      </w:tr>
      <w:tr w14:paraId="69D1D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7C227A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229" w:type="pct"/>
            <w:vMerge w:val="restart"/>
            <w:tcBorders>
              <w:tl2br w:val="nil"/>
              <w:tr2bl w:val="nil"/>
            </w:tcBorders>
            <w:shd w:val="clear" w:color="auto" w:fill="auto"/>
            <w:tcMar>
              <w:top w:w="0" w:type="dxa"/>
              <w:left w:w="0" w:type="dxa"/>
              <w:bottom w:w="0" w:type="dxa"/>
              <w:right w:w="0" w:type="dxa"/>
            </w:tcMar>
            <w:vAlign w:val="center"/>
          </w:tcPr>
          <w:p w14:paraId="59639B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sz w:val="21"/>
                <w:szCs w:val="21"/>
              </w:rPr>
              <w:t>厂房</w:t>
            </w:r>
          </w:p>
        </w:tc>
        <w:tc>
          <w:tcPr>
            <w:tcW w:w="324" w:type="pct"/>
            <w:tcBorders>
              <w:tl2br w:val="nil"/>
              <w:tr2bl w:val="nil"/>
            </w:tcBorders>
            <w:shd w:val="clear" w:color="auto" w:fill="auto"/>
            <w:tcMar>
              <w:top w:w="0" w:type="dxa"/>
              <w:left w:w="0" w:type="dxa"/>
              <w:bottom w:w="0" w:type="dxa"/>
              <w:right w:w="0" w:type="dxa"/>
            </w:tcMar>
            <w:vAlign w:val="center"/>
          </w:tcPr>
          <w:p w14:paraId="5551EC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RS-50热风炉</w:t>
            </w:r>
          </w:p>
        </w:tc>
        <w:tc>
          <w:tcPr>
            <w:tcW w:w="352" w:type="pct"/>
            <w:tcBorders>
              <w:tl2br w:val="nil"/>
              <w:tr2bl w:val="nil"/>
            </w:tcBorders>
            <w:shd w:val="clear" w:color="auto" w:fill="auto"/>
            <w:tcMar>
              <w:top w:w="0" w:type="dxa"/>
              <w:left w:w="0" w:type="dxa"/>
              <w:bottom w:w="0" w:type="dxa"/>
              <w:right w:w="0" w:type="dxa"/>
            </w:tcMar>
            <w:vAlign w:val="center"/>
          </w:tcPr>
          <w:p w14:paraId="77E022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265" w:type="pct"/>
            <w:vMerge w:val="restart"/>
            <w:tcBorders>
              <w:tl2br w:val="nil"/>
              <w:tr2bl w:val="nil"/>
            </w:tcBorders>
            <w:shd w:val="clear" w:color="auto" w:fill="auto"/>
            <w:tcMar>
              <w:top w:w="0" w:type="dxa"/>
              <w:left w:w="0" w:type="dxa"/>
              <w:bottom w:w="0" w:type="dxa"/>
              <w:right w:w="0" w:type="dxa"/>
            </w:tcMar>
            <w:vAlign w:val="center"/>
          </w:tcPr>
          <w:p w14:paraId="112E07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基础减振，厂房隔声</w:t>
            </w:r>
          </w:p>
        </w:tc>
        <w:tc>
          <w:tcPr>
            <w:tcW w:w="212" w:type="pct"/>
            <w:tcBorders>
              <w:tl2br w:val="nil"/>
              <w:tr2bl w:val="nil"/>
            </w:tcBorders>
            <w:shd w:val="clear" w:color="auto" w:fill="auto"/>
            <w:tcMar>
              <w:top w:w="0" w:type="dxa"/>
              <w:left w:w="0" w:type="dxa"/>
              <w:bottom w:w="0" w:type="dxa"/>
              <w:right w:w="0" w:type="dxa"/>
            </w:tcMar>
            <w:vAlign w:val="center"/>
          </w:tcPr>
          <w:p w14:paraId="1856BFC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6.7</w:t>
            </w:r>
          </w:p>
        </w:tc>
        <w:tc>
          <w:tcPr>
            <w:tcW w:w="196" w:type="pct"/>
            <w:tcBorders>
              <w:tl2br w:val="nil"/>
              <w:tr2bl w:val="nil"/>
            </w:tcBorders>
            <w:shd w:val="clear" w:color="auto" w:fill="auto"/>
            <w:tcMar>
              <w:top w:w="0" w:type="dxa"/>
              <w:left w:w="0" w:type="dxa"/>
              <w:bottom w:w="0" w:type="dxa"/>
              <w:right w:w="0" w:type="dxa"/>
            </w:tcMar>
            <w:vAlign w:val="center"/>
          </w:tcPr>
          <w:p w14:paraId="1BE0E4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36.8</w:t>
            </w:r>
          </w:p>
        </w:tc>
        <w:tc>
          <w:tcPr>
            <w:tcW w:w="192" w:type="pct"/>
            <w:tcBorders>
              <w:tl2br w:val="nil"/>
              <w:tr2bl w:val="nil"/>
            </w:tcBorders>
            <w:shd w:val="clear" w:color="auto" w:fill="auto"/>
            <w:tcMar>
              <w:top w:w="0" w:type="dxa"/>
              <w:left w:w="0" w:type="dxa"/>
              <w:bottom w:w="0" w:type="dxa"/>
              <w:right w:w="0" w:type="dxa"/>
            </w:tcMar>
            <w:vAlign w:val="center"/>
          </w:tcPr>
          <w:p w14:paraId="2751F3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7920C9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64.1</w:t>
            </w:r>
          </w:p>
        </w:tc>
        <w:tc>
          <w:tcPr>
            <w:tcW w:w="150" w:type="pct"/>
            <w:tcBorders>
              <w:tl2br w:val="nil"/>
              <w:tr2bl w:val="nil"/>
            </w:tcBorders>
            <w:shd w:val="clear" w:color="auto" w:fill="auto"/>
            <w:tcMar>
              <w:top w:w="0" w:type="dxa"/>
              <w:left w:w="0" w:type="dxa"/>
              <w:bottom w:w="0" w:type="dxa"/>
              <w:right w:w="0" w:type="dxa"/>
            </w:tcMar>
            <w:vAlign w:val="center"/>
          </w:tcPr>
          <w:p w14:paraId="050E39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16.4</w:t>
            </w:r>
          </w:p>
        </w:tc>
        <w:tc>
          <w:tcPr>
            <w:tcW w:w="150" w:type="pct"/>
            <w:tcBorders>
              <w:tl2br w:val="nil"/>
              <w:tr2bl w:val="nil"/>
            </w:tcBorders>
            <w:shd w:val="clear" w:color="auto" w:fill="auto"/>
            <w:tcMar>
              <w:top w:w="0" w:type="dxa"/>
              <w:left w:w="0" w:type="dxa"/>
              <w:bottom w:w="0" w:type="dxa"/>
              <w:right w:w="0" w:type="dxa"/>
            </w:tcMar>
            <w:vAlign w:val="center"/>
          </w:tcPr>
          <w:p w14:paraId="145F9B3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7.8</w:t>
            </w:r>
          </w:p>
        </w:tc>
        <w:tc>
          <w:tcPr>
            <w:tcW w:w="159" w:type="pct"/>
            <w:tcBorders>
              <w:tl2br w:val="nil"/>
              <w:tr2bl w:val="nil"/>
            </w:tcBorders>
            <w:shd w:val="clear" w:color="auto" w:fill="auto"/>
            <w:tcMar>
              <w:top w:w="0" w:type="dxa"/>
              <w:left w:w="0" w:type="dxa"/>
              <w:bottom w:w="0" w:type="dxa"/>
              <w:right w:w="0" w:type="dxa"/>
            </w:tcMar>
            <w:vAlign w:val="center"/>
          </w:tcPr>
          <w:p w14:paraId="108A2A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4.3</w:t>
            </w:r>
          </w:p>
        </w:tc>
        <w:tc>
          <w:tcPr>
            <w:tcW w:w="162" w:type="pct"/>
            <w:tcBorders>
              <w:tl2br w:val="nil"/>
              <w:tr2bl w:val="nil"/>
            </w:tcBorders>
            <w:shd w:val="clear" w:color="auto" w:fill="auto"/>
            <w:tcMar>
              <w:top w:w="0" w:type="dxa"/>
              <w:left w:w="0" w:type="dxa"/>
              <w:bottom w:w="0" w:type="dxa"/>
              <w:right w:w="0" w:type="dxa"/>
            </w:tcMar>
            <w:vAlign w:val="center"/>
          </w:tcPr>
          <w:p w14:paraId="165E3C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61.2</w:t>
            </w:r>
          </w:p>
        </w:tc>
        <w:tc>
          <w:tcPr>
            <w:tcW w:w="162" w:type="pct"/>
            <w:tcBorders>
              <w:tl2br w:val="nil"/>
              <w:tr2bl w:val="nil"/>
            </w:tcBorders>
            <w:shd w:val="clear" w:color="auto" w:fill="auto"/>
            <w:tcMar>
              <w:top w:w="0" w:type="dxa"/>
              <w:left w:w="0" w:type="dxa"/>
              <w:bottom w:w="0" w:type="dxa"/>
              <w:right w:w="0" w:type="dxa"/>
            </w:tcMar>
            <w:vAlign w:val="center"/>
          </w:tcPr>
          <w:p w14:paraId="321A45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61.3</w:t>
            </w:r>
          </w:p>
        </w:tc>
        <w:tc>
          <w:tcPr>
            <w:tcW w:w="162" w:type="pct"/>
            <w:tcBorders>
              <w:tl2br w:val="nil"/>
              <w:tr2bl w:val="nil"/>
            </w:tcBorders>
            <w:shd w:val="clear" w:color="auto" w:fill="auto"/>
            <w:tcMar>
              <w:top w:w="0" w:type="dxa"/>
              <w:left w:w="0" w:type="dxa"/>
              <w:bottom w:w="0" w:type="dxa"/>
              <w:right w:w="0" w:type="dxa"/>
            </w:tcMar>
            <w:vAlign w:val="center"/>
          </w:tcPr>
          <w:p w14:paraId="27D73F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61.4</w:t>
            </w:r>
          </w:p>
        </w:tc>
        <w:tc>
          <w:tcPr>
            <w:tcW w:w="167" w:type="pct"/>
            <w:tcBorders>
              <w:tl2br w:val="nil"/>
              <w:tr2bl w:val="nil"/>
            </w:tcBorders>
            <w:shd w:val="clear" w:color="auto" w:fill="auto"/>
            <w:tcMar>
              <w:top w:w="0" w:type="dxa"/>
              <w:left w:w="0" w:type="dxa"/>
              <w:bottom w:w="0" w:type="dxa"/>
              <w:right w:w="0" w:type="dxa"/>
            </w:tcMar>
            <w:vAlign w:val="center"/>
          </w:tcPr>
          <w:p w14:paraId="2CCC5DA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61.7</w:t>
            </w:r>
          </w:p>
        </w:tc>
        <w:tc>
          <w:tcPr>
            <w:tcW w:w="224" w:type="pct"/>
            <w:vMerge w:val="restart"/>
            <w:tcBorders>
              <w:tl2br w:val="nil"/>
              <w:tr2bl w:val="nil"/>
            </w:tcBorders>
            <w:shd w:val="clear" w:color="auto" w:fill="auto"/>
            <w:tcMar>
              <w:top w:w="0" w:type="dxa"/>
              <w:left w:w="0" w:type="dxa"/>
              <w:bottom w:w="0" w:type="dxa"/>
              <w:right w:w="0" w:type="dxa"/>
            </w:tcMar>
            <w:vAlign w:val="center"/>
          </w:tcPr>
          <w:p w14:paraId="3CA70E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全天</w:t>
            </w:r>
          </w:p>
        </w:tc>
        <w:tc>
          <w:tcPr>
            <w:tcW w:w="152" w:type="pct"/>
            <w:tcBorders>
              <w:tl2br w:val="nil"/>
              <w:tr2bl w:val="nil"/>
            </w:tcBorders>
            <w:shd w:val="clear" w:color="auto" w:fill="auto"/>
            <w:tcMar>
              <w:top w:w="0" w:type="dxa"/>
              <w:left w:w="0" w:type="dxa"/>
              <w:bottom w:w="0" w:type="dxa"/>
              <w:right w:w="0" w:type="dxa"/>
            </w:tcMar>
            <w:vAlign w:val="center"/>
          </w:tcPr>
          <w:p w14:paraId="216EF62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7E094F8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0A8A8D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33D4B4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5BC12EA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36.2</w:t>
            </w:r>
          </w:p>
        </w:tc>
        <w:tc>
          <w:tcPr>
            <w:tcW w:w="167" w:type="pct"/>
            <w:tcBorders>
              <w:tl2br w:val="nil"/>
              <w:tr2bl w:val="nil"/>
            </w:tcBorders>
            <w:shd w:val="clear" w:color="auto" w:fill="auto"/>
            <w:tcMar>
              <w:top w:w="0" w:type="dxa"/>
              <w:left w:w="0" w:type="dxa"/>
              <w:bottom w:w="0" w:type="dxa"/>
              <w:right w:w="0" w:type="dxa"/>
            </w:tcMar>
            <w:vAlign w:val="center"/>
          </w:tcPr>
          <w:p w14:paraId="7C9902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36.3</w:t>
            </w:r>
          </w:p>
        </w:tc>
        <w:tc>
          <w:tcPr>
            <w:tcW w:w="145" w:type="pct"/>
            <w:tcBorders>
              <w:tl2br w:val="nil"/>
              <w:tr2bl w:val="nil"/>
            </w:tcBorders>
            <w:shd w:val="clear" w:color="auto" w:fill="auto"/>
            <w:tcMar>
              <w:top w:w="0" w:type="dxa"/>
              <w:left w:w="0" w:type="dxa"/>
              <w:bottom w:w="0" w:type="dxa"/>
              <w:right w:w="0" w:type="dxa"/>
            </w:tcMar>
            <w:vAlign w:val="center"/>
          </w:tcPr>
          <w:p w14:paraId="07ABC3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36.4</w:t>
            </w:r>
          </w:p>
        </w:tc>
        <w:tc>
          <w:tcPr>
            <w:tcW w:w="145" w:type="pct"/>
            <w:tcBorders>
              <w:tl2br w:val="nil"/>
              <w:tr2bl w:val="nil"/>
            </w:tcBorders>
            <w:shd w:val="clear" w:color="auto" w:fill="auto"/>
            <w:tcMar>
              <w:top w:w="0" w:type="dxa"/>
              <w:left w:w="0" w:type="dxa"/>
              <w:bottom w:w="0" w:type="dxa"/>
              <w:right w:w="0" w:type="dxa"/>
            </w:tcMar>
            <w:vAlign w:val="center"/>
          </w:tcPr>
          <w:p w14:paraId="16A323D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36.7</w:t>
            </w:r>
          </w:p>
        </w:tc>
        <w:tc>
          <w:tcPr>
            <w:tcW w:w="277" w:type="pct"/>
            <w:tcBorders>
              <w:tl2br w:val="nil"/>
              <w:tr2bl w:val="nil"/>
            </w:tcBorders>
            <w:shd w:val="clear" w:color="auto" w:fill="auto"/>
            <w:tcMar>
              <w:top w:w="0" w:type="dxa"/>
              <w:left w:w="0" w:type="dxa"/>
              <w:bottom w:w="0" w:type="dxa"/>
              <w:right w:w="0" w:type="dxa"/>
            </w:tcMar>
            <w:vAlign w:val="center"/>
          </w:tcPr>
          <w:p w14:paraId="6970B3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53884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3506F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2E8447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2DB12FA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RS-130热风炉</w:t>
            </w:r>
          </w:p>
        </w:tc>
        <w:tc>
          <w:tcPr>
            <w:tcW w:w="352" w:type="pct"/>
            <w:tcBorders>
              <w:tl2br w:val="nil"/>
              <w:tr2bl w:val="nil"/>
            </w:tcBorders>
            <w:shd w:val="clear" w:color="auto" w:fill="auto"/>
            <w:tcMar>
              <w:top w:w="0" w:type="dxa"/>
              <w:left w:w="0" w:type="dxa"/>
              <w:bottom w:w="0" w:type="dxa"/>
              <w:right w:w="0" w:type="dxa"/>
            </w:tcMar>
            <w:vAlign w:val="center"/>
          </w:tcPr>
          <w:p w14:paraId="44D47EE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1657F0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5A112F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8.5</w:t>
            </w:r>
          </w:p>
        </w:tc>
        <w:tc>
          <w:tcPr>
            <w:tcW w:w="196" w:type="pct"/>
            <w:tcBorders>
              <w:tl2br w:val="nil"/>
              <w:tr2bl w:val="nil"/>
            </w:tcBorders>
            <w:shd w:val="clear" w:color="auto" w:fill="auto"/>
            <w:tcMar>
              <w:top w:w="0" w:type="dxa"/>
              <w:left w:w="0" w:type="dxa"/>
              <w:bottom w:w="0" w:type="dxa"/>
              <w:right w:w="0" w:type="dxa"/>
            </w:tcMar>
            <w:vAlign w:val="center"/>
          </w:tcPr>
          <w:p w14:paraId="377708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27.1</w:t>
            </w:r>
          </w:p>
        </w:tc>
        <w:tc>
          <w:tcPr>
            <w:tcW w:w="192" w:type="pct"/>
            <w:tcBorders>
              <w:tl2br w:val="nil"/>
              <w:tr2bl w:val="nil"/>
            </w:tcBorders>
            <w:shd w:val="clear" w:color="auto" w:fill="auto"/>
            <w:tcMar>
              <w:top w:w="0" w:type="dxa"/>
              <w:left w:w="0" w:type="dxa"/>
              <w:bottom w:w="0" w:type="dxa"/>
              <w:right w:w="0" w:type="dxa"/>
            </w:tcMar>
            <w:vAlign w:val="center"/>
          </w:tcPr>
          <w:p w14:paraId="3260FA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319D867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62.3</w:t>
            </w:r>
          </w:p>
        </w:tc>
        <w:tc>
          <w:tcPr>
            <w:tcW w:w="150" w:type="pct"/>
            <w:tcBorders>
              <w:tl2br w:val="nil"/>
              <w:tr2bl w:val="nil"/>
            </w:tcBorders>
            <w:shd w:val="clear" w:color="auto" w:fill="auto"/>
            <w:tcMar>
              <w:top w:w="0" w:type="dxa"/>
              <w:left w:w="0" w:type="dxa"/>
              <w:bottom w:w="0" w:type="dxa"/>
              <w:right w:w="0" w:type="dxa"/>
            </w:tcMar>
            <w:vAlign w:val="center"/>
          </w:tcPr>
          <w:p w14:paraId="6083CF8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6.8</w:t>
            </w:r>
          </w:p>
        </w:tc>
        <w:tc>
          <w:tcPr>
            <w:tcW w:w="150" w:type="pct"/>
            <w:tcBorders>
              <w:tl2br w:val="nil"/>
              <w:tr2bl w:val="nil"/>
            </w:tcBorders>
            <w:shd w:val="clear" w:color="auto" w:fill="auto"/>
            <w:tcMar>
              <w:top w:w="0" w:type="dxa"/>
              <w:left w:w="0" w:type="dxa"/>
              <w:bottom w:w="0" w:type="dxa"/>
              <w:right w:w="0" w:type="dxa"/>
            </w:tcMar>
            <w:vAlign w:val="center"/>
          </w:tcPr>
          <w:p w14:paraId="31F742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9.7</w:t>
            </w:r>
          </w:p>
        </w:tc>
        <w:tc>
          <w:tcPr>
            <w:tcW w:w="159" w:type="pct"/>
            <w:tcBorders>
              <w:tl2br w:val="nil"/>
              <w:tr2bl w:val="nil"/>
            </w:tcBorders>
            <w:shd w:val="clear" w:color="auto" w:fill="auto"/>
            <w:tcMar>
              <w:top w:w="0" w:type="dxa"/>
              <w:left w:w="0" w:type="dxa"/>
              <w:bottom w:w="0" w:type="dxa"/>
              <w:right w:w="0" w:type="dxa"/>
            </w:tcMar>
            <w:vAlign w:val="center"/>
          </w:tcPr>
          <w:p w14:paraId="2FB7BA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14.0</w:t>
            </w:r>
          </w:p>
        </w:tc>
        <w:tc>
          <w:tcPr>
            <w:tcW w:w="162" w:type="pct"/>
            <w:tcBorders>
              <w:tl2br w:val="nil"/>
              <w:tr2bl w:val="nil"/>
            </w:tcBorders>
            <w:shd w:val="clear" w:color="auto" w:fill="auto"/>
            <w:tcMar>
              <w:top w:w="0" w:type="dxa"/>
              <w:left w:w="0" w:type="dxa"/>
              <w:bottom w:w="0" w:type="dxa"/>
              <w:right w:w="0" w:type="dxa"/>
            </w:tcMar>
            <w:vAlign w:val="center"/>
          </w:tcPr>
          <w:p w14:paraId="0D21E1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61.2</w:t>
            </w:r>
          </w:p>
        </w:tc>
        <w:tc>
          <w:tcPr>
            <w:tcW w:w="162" w:type="pct"/>
            <w:tcBorders>
              <w:tl2br w:val="nil"/>
              <w:tr2bl w:val="nil"/>
            </w:tcBorders>
            <w:shd w:val="clear" w:color="auto" w:fill="auto"/>
            <w:tcMar>
              <w:top w:w="0" w:type="dxa"/>
              <w:left w:w="0" w:type="dxa"/>
              <w:bottom w:w="0" w:type="dxa"/>
              <w:right w:w="0" w:type="dxa"/>
            </w:tcMar>
            <w:vAlign w:val="center"/>
          </w:tcPr>
          <w:p w14:paraId="151BB5B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61.4</w:t>
            </w:r>
          </w:p>
        </w:tc>
        <w:tc>
          <w:tcPr>
            <w:tcW w:w="162" w:type="pct"/>
            <w:tcBorders>
              <w:tl2br w:val="nil"/>
              <w:tr2bl w:val="nil"/>
            </w:tcBorders>
            <w:shd w:val="clear" w:color="auto" w:fill="auto"/>
            <w:tcMar>
              <w:top w:w="0" w:type="dxa"/>
              <w:left w:w="0" w:type="dxa"/>
              <w:bottom w:w="0" w:type="dxa"/>
              <w:right w:w="0" w:type="dxa"/>
            </w:tcMar>
            <w:vAlign w:val="center"/>
          </w:tcPr>
          <w:p w14:paraId="785B54C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61.3</w:t>
            </w:r>
          </w:p>
        </w:tc>
        <w:tc>
          <w:tcPr>
            <w:tcW w:w="167" w:type="pct"/>
            <w:tcBorders>
              <w:tl2br w:val="nil"/>
              <w:tr2bl w:val="nil"/>
            </w:tcBorders>
            <w:shd w:val="clear" w:color="auto" w:fill="auto"/>
            <w:tcMar>
              <w:top w:w="0" w:type="dxa"/>
              <w:left w:w="0" w:type="dxa"/>
              <w:bottom w:w="0" w:type="dxa"/>
              <w:right w:w="0" w:type="dxa"/>
            </w:tcMar>
            <w:vAlign w:val="center"/>
          </w:tcPr>
          <w:p w14:paraId="69EBE2D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61.3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53D60D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123372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3C7DF40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6E92B52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322046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4454412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36.2</w:t>
            </w:r>
          </w:p>
        </w:tc>
        <w:tc>
          <w:tcPr>
            <w:tcW w:w="167" w:type="pct"/>
            <w:tcBorders>
              <w:tl2br w:val="nil"/>
              <w:tr2bl w:val="nil"/>
            </w:tcBorders>
            <w:shd w:val="clear" w:color="auto" w:fill="auto"/>
            <w:tcMar>
              <w:top w:w="0" w:type="dxa"/>
              <w:left w:w="0" w:type="dxa"/>
              <w:bottom w:w="0" w:type="dxa"/>
              <w:right w:w="0" w:type="dxa"/>
            </w:tcMar>
            <w:vAlign w:val="center"/>
          </w:tcPr>
          <w:p w14:paraId="3768D46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36.4</w:t>
            </w:r>
          </w:p>
        </w:tc>
        <w:tc>
          <w:tcPr>
            <w:tcW w:w="145" w:type="pct"/>
            <w:tcBorders>
              <w:tl2br w:val="nil"/>
              <w:tr2bl w:val="nil"/>
            </w:tcBorders>
            <w:shd w:val="clear" w:color="auto" w:fill="auto"/>
            <w:tcMar>
              <w:top w:w="0" w:type="dxa"/>
              <w:left w:w="0" w:type="dxa"/>
              <w:bottom w:w="0" w:type="dxa"/>
              <w:right w:w="0" w:type="dxa"/>
            </w:tcMar>
            <w:vAlign w:val="center"/>
          </w:tcPr>
          <w:p w14:paraId="3250C7F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36.3</w:t>
            </w:r>
          </w:p>
        </w:tc>
        <w:tc>
          <w:tcPr>
            <w:tcW w:w="145" w:type="pct"/>
            <w:tcBorders>
              <w:tl2br w:val="nil"/>
              <w:tr2bl w:val="nil"/>
            </w:tcBorders>
            <w:shd w:val="clear" w:color="auto" w:fill="auto"/>
            <w:tcMar>
              <w:top w:w="0" w:type="dxa"/>
              <w:left w:w="0" w:type="dxa"/>
              <w:bottom w:w="0" w:type="dxa"/>
              <w:right w:w="0" w:type="dxa"/>
            </w:tcMar>
            <w:vAlign w:val="center"/>
          </w:tcPr>
          <w:p w14:paraId="596F1B7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36.3</w:t>
            </w:r>
          </w:p>
        </w:tc>
        <w:tc>
          <w:tcPr>
            <w:tcW w:w="277" w:type="pct"/>
            <w:tcBorders>
              <w:tl2br w:val="nil"/>
              <w:tr2bl w:val="nil"/>
            </w:tcBorders>
            <w:shd w:val="clear" w:color="auto" w:fill="auto"/>
            <w:tcMar>
              <w:top w:w="0" w:type="dxa"/>
              <w:left w:w="0" w:type="dxa"/>
              <w:bottom w:w="0" w:type="dxa"/>
              <w:right w:w="0" w:type="dxa"/>
            </w:tcMar>
            <w:vAlign w:val="center"/>
          </w:tcPr>
          <w:p w14:paraId="1BB8AA4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720CE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55D10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64B5D3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0D2147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烘干机</w:t>
            </w:r>
          </w:p>
        </w:tc>
        <w:tc>
          <w:tcPr>
            <w:tcW w:w="352" w:type="pct"/>
            <w:tcBorders>
              <w:tl2br w:val="nil"/>
              <w:tr2bl w:val="nil"/>
            </w:tcBorders>
            <w:shd w:val="clear" w:color="auto" w:fill="auto"/>
            <w:tcMar>
              <w:top w:w="0" w:type="dxa"/>
              <w:left w:w="0" w:type="dxa"/>
              <w:bottom w:w="0" w:type="dxa"/>
              <w:right w:w="0" w:type="dxa"/>
            </w:tcMar>
            <w:vAlign w:val="center"/>
          </w:tcPr>
          <w:p w14:paraId="10ADD7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0F26A6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4FBAAC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29.8</w:t>
            </w:r>
          </w:p>
        </w:tc>
        <w:tc>
          <w:tcPr>
            <w:tcW w:w="196" w:type="pct"/>
            <w:tcBorders>
              <w:tl2br w:val="nil"/>
              <w:tr2bl w:val="nil"/>
            </w:tcBorders>
            <w:shd w:val="clear" w:color="auto" w:fill="auto"/>
            <w:tcMar>
              <w:top w:w="0" w:type="dxa"/>
              <w:left w:w="0" w:type="dxa"/>
              <w:bottom w:w="0" w:type="dxa"/>
              <w:right w:w="0" w:type="dxa"/>
            </w:tcMar>
            <w:vAlign w:val="center"/>
          </w:tcPr>
          <w:p w14:paraId="50B8B5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36.8</w:t>
            </w:r>
          </w:p>
        </w:tc>
        <w:tc>
          <w:tcPr>
            <w:tcW w:w="192" w:type="pct"/>
            <w:tcBorders>
              <w:tl2br w:val="nil"/>
              <w:tr2bl w:val="nil"/>
            </w:tcBorders>
            <w:shd w:val="clear" w:color="auto" w:fill="auto"/>
            <w:tcMar>
              <w:top w:w="0" w:type="dxa"/>
              <w:left w:w="0" w:type="dxa"/>
              <w:bottom w:w="0" w:type="dxa"/>
              <w:right w:w="0" w:type="dxa"/>
            </w:tcMar>
            <w:vAlign w:val="center"/>
          </w:tcPr>
          <w:p w14:paraId="6D83858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080AAE4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41.0</w:t>
            </w:r>
          </w:p>
        </w:tc>
        <w:tc>
          <w:tcPr>
            <w:tcW w:w="150" w:type="pct"/>
            <w:tcBorders>
              <w:tl2br w:val="nil"/>
              <w:tr2bl w:val="nil"/>
            </w:tcBorders>
            <w:shd w:val="clear" w:color="auto" w:fill="auto"/>
            <w:tcMar>
              <w:top w:w="0" w:type="dxa"/>
              <w:left w:w="0" w:type="dxa"/>
              <w:bottom w:w="0" w:type="dxa"/>
              <w:right w:w="0" w:type="dxa"/>
            </w:tcMar>
            <w:vAlign w:val="center"/>
          </w:tcPr>
          <w:p w14:paraId="3FDD37B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17.1</w:t>
            </w:r>
          </w:p>
        </w:tc>
        <w:tc>
          <w:tcPr>
            <w:tcW w:w="150" w:type="pct"/>
            <w:tcBorders>
              <w:tl2br w:val="nil"/>
              <w:tr2bl w:val="nil"/>
            </w:tcBorders>
            <w:shd w:val="clear" w:color="auto" w:fill="auto"/>
            <w:tcMar>
              <w:top w:w="0" w:type="dxa"/>
              <w:left w:w="0" w:type="dxa"/>
              <w:bottom w:w="0" w:type="dxa"/>
              <w:right w:w="0" w:type="dxa"/>
            </w:tcMar>
            <w:vAlign w:val="center"/>
          </w:tcPr>
          <w:p w14:paraId="52DE611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30.9</w:t>
            </w:r>
          </w:p>
        </w:tc>
        <w:tc>
          <w:tcPr>
            <w:tcW w:w="159" w:type="pct"/>
            <w:tcBorders>
              <w:tl2br w:val="nil"/>
              <w:tr2bl w:val="nil"/>
            </w:tcBorders>
            <w:shd w:val="clear" w:color="auto" w:fill="auto"/>
            <w:tcMar>
              <w:top w:w="0" w:type="dxa"/>
              <w:left w:w="0" w:type="dxa"/>
              <w:bottom w:w="0" w:type="dxa"/>
              <w:right w:w="0" w:type="dxa"/>
            </w:tcMar>
            <w:vAlign w:val="center"/>
          </w:tcPr>
          <w:p w14:paraId="26CF80F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3.9</w:t>
            </w:r>
          </w:p>
        </w:tc>
        <w:tc>
          <w:tcPr>
            <w:tcW w:w="162" w:type="pct"/>
            <w:tcBorders>
              <w:tl2br w:val="nil"/>
              <w:tr2bl w:val="nil"/>
            </w:tcBorders>
            <w:shd w:val="clear" w:color="auto" w:fill="auto"/>
            <w:tcMar>
              <w:top w:w="0" w:type="dxa"/>
              <w:left w:w="0" w:type="dxa"/>
              <w:bottom w:w="0" w:type="dxa"/>
              <w:right w:w="0" w:type="dxa"/>
            </w:tcMar>
            <w:vAlign w:val="center"/>
          </w:tcPr>
          <w:p w14:paraId="5FF9239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2" w:type="pct"/>
            <w:tcBorders>
              <w:tl2br w:val="nil"/>
              <w:tr2bl w:val="nil"/>
            </w:tcBorders>
            <w:shd w:val="clear" w:color="auto" w:fill="auto"/>
            <w:tcMar>
              <w:top w:w="0" w:type="dxa"/>
              <w:left w:w="0" w:type="dxa"/>
              <w:bottom w:w="0" w:type="dxa"/>
              <w:right w:w="0" w:type="dxa"/>
            </w:tcMar>
            <w:vAlign w:val="center"/>
          </w:tcPr>
          <w:p w14:paraId="112D1ED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363B3EA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77DA68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66.7</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38697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303AA2D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32A50C5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50E25E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0E6025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386B8AE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67" w:type="pct"/>
            <w:tcBorders>
              <w:tl2br w:val="nil"/>
              <w:tr2bl w:val="nil"/>
            </w:tcBorders>
            <w:shd w:val="clear" w:color="auto" w:fill="auto"/>
            <w:tcMar>
              <w:top w:w="0" w:type="dxa"/>
              <w:left w:w="0" w:type="dxa"/>
              <w:bottom w:w="0" w:type="dxa"/>
              <w:right w:w="0" w:type="dxa"/>
            </w:tcMar>
            <w:vAlign w:val="center"/>
          </w:tcPr>
          <w:p w14:paraId="707BF31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3298FD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4CFF90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41.7</w:t>
            </w:r>
          </w:p>
        </w:tc>
        <w:tc>
          <w:tcPr>
            <w:tcW w:w="277" w:type="pct"/>
            <w:tcBorders>
              <w:tl2br w:val="nil"/>
              <w:tr2bl w:val="nil"/>
            </w:tcBorders>
            <w:shd w:val="clear" w:color="auto" w:fill="auto"/>
            <w:tcMar>
              <w:top w:w="0" w:type="dxa"/>
              <w:left w:w="0" w:type="dxa"/>
              <w:bottom w:w="0" w:type="dxa"/>
              <w:right w:w="0" w:type="dxa"/>
            </w:tcMar>
            <w:vAlign w:val="center"/>
          </w:tcPr>
          <w:p w14:paraId="271C92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21F7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5A4157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4</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16B27E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37DE03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摩擦机</w:t>
            </w:r>
          </w:p>
        </w:tc>
        <w:tc>
          <w:tcPr>
            <w:tcW w:w="352" w:type="pct"/>
            <w:tcBorders>
              <w:tl2br w:val="nil"/>
              <w:tr2bl w:val="nil"/>
            </w:tcBorders>
            <w:shd w:val="clear" w:color="auto" w:fill="auto"/>
            <w:tcMar>
              <w:top w:w="0" w:type="dxa"/>
              <w:left w:w="0" w:type="dxa"/>
              <w:bottom w:w="0" w:type="dxa"/>
              <w:right w:w="0" w:type="dxa"/>
            </w:tcMar>
            <w:vAlign w:val="center"/>
          </w:tcPr>
          <w:p w14:paraId="1F2067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3075C7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612E00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30.3</w:t>
            </w:r>
          </w:p>
        </w:tc>
        <w:tc>
          <w:tcPr>
            <w:tcW w:w="196" w:type="pct"/>
            <w:tcBorders>
              <w:tl2br w:val="nil"/>
              <w:tr2bl w:val="nil"/>
            </w:tcBorders>
            <w:shd w:val="clear" w:color="auto" w:fill="auto"/>
            <w:tcMar>
              <w:top w:w="0" w:type="dxa"/>
              <w:left w:w="0" w:type="dxa"/>
              <w:bottom w:w="0" w:type="dxa"/>
              <w:right w:w="0" w:type="dxa"/>
            </w:tcMar>
            <w:vAlign w:val="center"/>
          </w:tcPr>
          <w:p w14:paraId="73A038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28.2</w:t>
            </w:r>
          </w:p>
        </w:tc>
        <w:tc>
          <w:tcPr>
            <w:tcW w:w="192" w:type="pct"/>
            <w:tcBorders>
              <w:tl2br w:val="nil"/>
              <w:tr2bl w:val="nil"/>
            </w:tcBorders>
            <w:shd w:val="clear" w:color="auto" w:fill="auto"/>
            <w:tcMar>
              <w:top w:w="0" w:type="dxa"/>
              <w:left w:w="0" w:type="dxa"/>
              <w:bottom w:w="0" w:type="dxa"/>
              <w:right w:w="0" w:type="dxa"/>
            </w:tcMar>
            <w:vAlign w:val="center"/>
          </w:tcPr>
          <w:p w14:paraId="37AB8C5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4C8D19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40.5</w:t>
            </w:r>
          </w:p>
        </w:tc>
        <w:tc>
          <w:tcPr>
            <w:tcW w:w="150" w:type="pct"/>
            <w:tcBorders>
              <w:tl2br w:val="nil"/>
              <w:tr2bl w:val="nil"/>
            </w:tcBorders>
            <w:shd w:val="clear" w:color="auto" w:fill="auto"/>
            <w:tcMar>
              <w:top w:w="0" w:type="dxa"/>
              <w:left w:w="0" w:type="dxa"/>
              <w:bottom w:w="0" w:type="dxa"/>
              <w:right w:w="0" w:type="dxa"/>
            </w:tcMar>
            <w:vAlign w:val="center"/>
          </w:tcPr>
          <w:p w14:paraId="6E5F97D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8.6</w:t>
            </w:r>
          </w:p>
        </w:tc>
        <w:tc>
          <w:tcPr>
            <w:tcW w:w="150" w:type="pct"/>
            <w:tcBorders>
              <w:tl2br w:val="nil"/>
              <w:tr2bl w:val="nil"/>
            </w:tcBorders>
            <w:shd w:val="clear" w:color="auto" w:fill="auto"/>
            <w:tcMar>
              <w:top w:w="0" w:type="dxa"/>
              <w:left w:w="0" w:type="dxa"/>
              <w:bottom w:w="0" w:type="dxa"/>
              <w:right w:w="0" w:type="dxa"/>
            </w:tcMar>
            <w:vAlign w:val="center"/>
          </w:tcPr>
          <w:p w14:paraId="5DCE4B0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31.5</w:t>
            </w:r>
          </w:p>
        </w:tc>
        <w:tc>
          <w:tcPr>
            <w:tcW w:w="159" w:type="pct"/>
            <w:tcBorders>
              <w:tl2br w:val="nil"/>
              <w:tr2bl w:val="nil"/>
            </w:tcBorders>
            <w:shd w:val="clear" w:color="auto" w:fill="auto"/>
            <w:tcMar>
              <w:top w:w="0" w:type="dxa"/>
              <w:left w:w="0" w:type="dxa"/>
              <w:bottom w:w="0" w:type="dxa"/>
              <w:right w:w="0" w:type="dxa"/>
            </w:tcMar>
            <w:vAlign w:val="center"/>
          </w:tcPr>
          <w:p w14:paraId="7D818B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12.5</w:t>
            </w:r>
          </w:p>
        </w:tc>
        <w:tc>
          <w:tcPr>
            <w:tcW w:w="162" w:type="pct"/>
            <w:tcBorders>
              <w:tl2br w:val="nil"/>
              <w:tr2bl w:val="nil"/>
            </w:tcBorders>
            <w:shd w:val="clear" w:color="auto" w:fill="auto"/>
            <w:tcMar>
              <w:top w:w="0" w:type="dxa"/>
              <w:left w:w="0" w:type="dxa"/>
              <w:bottom w:w="0" w:type="dxa"/>
              <w:right w:w="0" w:type="dxa"/>
            </w:tcMar>
            <w:vAlign w:val="center"/>
          </w:tcPr>
          <w:p w14:paraId="7F45F2C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2" w:type="pct"/>
            <w:tcBorders>
              <w:tl2br w:val="nil"/>
              <w:tr2bl w:val="nil"/>
            </w:tcBorders>
            <w:shd w:val="clear" w:color="auto" w:fill="auto"/>
            <w:tcMar>
              <w:top w:w="0" w:type="dxa"/>
              <w:left w:w="0" w:type="dxa"/>
              <w:bottom w:w="0" w:type="dxa"/>
              <w:right w:w="0" w:type="dxa"/>
            </w:tcMar>
            <w:vAlign w:val="center"/>
          </w:tcPr>
          <w:p w14:paraId="3B3A4BB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0152BF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53A68C4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78DA4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4F1825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607B671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75C68A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08416FB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08A9236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67" w:type="pct"/>
            <w:tcBorders>
              <w:tl2br w:val="nil"/>
              <w:tr2bl w:val="nil"/>
            </w:tcBorders>
            <w:shd w:val="clear" w:color="auto" w:fill="auto"/>
            <w:tcMar>
              <w:top w:w="0" w:type="dxa"/>
              <w:left w:w="0" w:type="dxa"/>
              <w:bottom w:w="0" w:type="dxa"/>
              <w:right w:w="0" w:type="dxa"/>
            </w:tcMar>
            <w:vAlign w:val="center"/>
          </w:tcPr>
          <w:p w14:paraId="4738DB6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58DA030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6ECAB7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277" w:type="pct"/>
            <w:tcBorders>
              <w:tl2br w:val="nil"/>
              <w:tr2bl w:val="nil"/>
            </w:tcBorders>
            <w:shd w:val="clear" w:color="auto" w:fill="auto"/>
            <w:tcMar>
              <w:top w:w="0" w:type="dxa"/>
              <w:left w:w="0" w:type="dxa"/>
              <w:bottom w:w="0" w:type="dxa"/>
              <w:right w:w="0" w:type="dxa"/>
            </w:tcMar>
            <w:vAlign w:val="center"/>
          </w:tcPr>
          <w:p w14:paraId="33EB6B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41016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3B75D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5</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35D701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667BA6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烘干机风机</w:t>
            </w:r>
          </w:p>
        </w:tc>
        <w:tc>
          <w:tcPr>
            <w:tcW w:w="352" w:type="pct"/>
            <w:tcBorders>
              <w:tl2br w:val="nil"/>
              <w:tr2bl w:val="nil"/>
            </w:tcBorders>
            <w:shd w:val="clear" w:color="auto" w:fill="auto"/>
            <w:tcMar>
              <w:top w:w="0" w:type="dxa"/>
              <w:left w:w="0" w:type="dxa"/>
              <w:bottom w:w="0" w:type="dxa"/>
              <w:right w:w="0" w:type="dxa"/>
            </w:tcMar>
            <w:vAlign w:val="center"/>
          </w:tcPr>
          <w:p w14:paraId="305D94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2B01F7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2EED8E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35.9</w:t>
            </w:r>
          </w:p>
        </w:tc>
        <w:tc>
          <w:tcPr>
            <w:tcW w:w="196" w:type="pct"/>
            <w:tcBorders>
              <w:tl2br w:val="nil"/>
              <w:tr2bl w:val="nil"/>
            </w:tcBorders>
            <w:shd w:val="clear" w:color="auto" w:fill="auto"/>
            <w:tcMar>
              <w:top w:w="0" w:type="dxa"/>
              <w:left w:w="0" w:type="dxa"/>
              <w:bottom w:w="0" w:type="dxa"/>
              <w:right w:w="0" w:type="dxa"/>
            </w:tcMar>
            <w:vAlign w:val="center"/>
          </w:tcPr>
          <w:p w14:paraId="79707BC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29.4</w:t>
            </w:r>
          </w:p>
        </w:tc>
        <w:tc>
          <w:tcPr>
            <w:tcW w:w="192" w:type="pct"/>
            <w:tcBorders>
              <w:tl2br w:val="nil"/>
              <w:tr2bl w:val="nil"/>
            </w:tcBorders>
            <w:shd w:val="clear" w:color="auto" w:fill="auto"/>
            <w:tcMar>
              <w:top w:w="0" w:type="dxa"/>
              <w:left w:w="0" w:type="dxa"/>
              <w:bottom w:w="0" w:type="dxa"/>
              <w:right w:w="0" w:type="dxa"/>
            </w:tcMar>
            <w:vAlign w:val="center"/>
          </w:tcPr>
          <w:p w14:paraId="28D1B47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21A1539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34.9</w:t>
            </w:r>
          </w:p>
        </w:tc>
        <w:tc>
          <w:tcPr>
            <w:tcW w:w="150" w:type="pct"/>
            <w:tcBorders>
              <w:tl2br w:val="nil"/>
              <w:tr2bl w:val="nil"/>
            </w:tcBorders>
            <w:shd w:val="clear" w:color="auto" w:fill="auto"/>
            <w:tcMar>
              <w:top w:w="0" w:type="dxa"/>
              <w:left w:w="0" w:type="dxa"/>
              <w:bottom w:w="0" w:type="dxa"/>
              <w:right w:w="0" w:type="dxa"/>
            </w:tcMar>
            <w:vAlign w:val="center"/>
          </w:tcPr>
          <w:p w14:paraId="4C0099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9.9</w:t>
            </w:r>
          </w:p>
        </w:tc>
        <w:tc>
          <w:tcPr>
            <w:tcW w:w="150" w:type="pct"/>
            <w:tcBorders>
              <w:tl2br w:val="nil"/>
              <w:tr2bl w:val="nil"/>
            </w:tcBorders>
            <w:shd w:val="clear" w:color="auto" w:fill="auto"/>
            <w:tcMar>
              <w:top w:w="0" w:type="dxa"/>
              <w:left w:w="0" w:type="dxa"/>
              <w:bottom w:w="0" w:type="dxa"/>
              <w:right w:w="0" w:type="dxa"/>
            </w:tcMar>
            <w:vAlign w:val="center"/>
          </w:tcPr>
          <w:p w14:paraId="602455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37.1</w:t>
            </w:r>
          </w:p>
        </w:tc>
        <w:tc>
          <w:tcPr>
            <w:tcW w:w="159" w:type="pct"/>
            <w:tcBorders>
              <w:tl2br w:val="nil"/>
              <w:tr2bl w:val="nil"/>
            </w:tcBorders>
            <w:shd w:val="clear" w:color="auto" w:fill="auto"/>
            <w:tcMar>
              <w:top w:w="0" w:type="dxa"/>
              <w:left w:w="0" w:type="dxa"/>
              <w:bottom w:w="0" w:type="dxa"/>
              <w:right w:w="0" w:type="dxa"/>
            </w:tcMar>
            <w:vAlign w:val="center"/>
          </w:tcPr>
          <w:p w14:paraId="013150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11.2</w:t>
            </w:r>
          </w:p>
        </w:tc>
        <w:tc>
          <w:tcPr>
            <w:tcW w:w="162" w:type="pct"/>
            <w:tcBorders>
              <w:tl2br w:val="nil"/>
              <w:tr2bl w:val="nil"/>
            </w:tcBorders>
            <w:shd w:val="clear" w:color="auto" w:fill="auto"/>
            <w:tcMar>
              <w:top w:w="0" w:type="dxa"/>
              <w:left w:w="0" w:type="dxa"/>
              <w:bottom w:w="0" w:type="dxa"/>
              <w:right w:w="0" w:type="dxa"/>
            </w:tcMar>
            <w:vAlign w:val="center"/>
          </w:tcPr>
          <w:p w14:paraId="1BFAEFA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2" w:type="pct"/>
            <w:tcBorders>
              <w:tl2br w:val="nil"/>
              <w:tr2bl w:val="nil"/>
            </w:tcBorders>
            <w:shd w:val="clear" w:color="auto" w:fill="auto"/>
            <w:tcMar>
              <w:top w:w="0" w:type="dxa"/>
              <w:left w:w="0" w:type="dxa"/>
              <w:bottom w:w="0" w:type="dxa"/>
              <w:right w:w="0" w:type="dxa"/>
            </w:tcMar>
            <w:vAlign w:val="center"/>
          </w:tcPr>
          <w:p w14:paraId="2627AA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6713D84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695C2D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3F5CB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7871EAD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48C33D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10FB7F5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6F7576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5AD59A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67" w:type="pct"/>
            <w:tcBorders>
              <w:tl2br w:val="nil"/>
              <w:tr2bl w:val="nil"/>
            </w:tcBorders>
            <w:shd w:val="clear" w:color="auto" w:fill="auto"/>
            <w:tcMar>
              <w:top w:w="0" w:type="dxa"/>
              <w:left w:w="0" w:type="dxa"/>
              <w:bottom w:w="0" w:type="dxa"/>
              <w:right w:w="0" w:type="dxa"/>
            </w:tcMar>
            <w:vAlign w:val="center"/>
          </w:tcPr>
          <w:p w14:paraId="22AFB7C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61C128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4DE607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277" w:type="pct"/>
            <w:tcBorders>
              <w:tl2br w:val="nil"/>
              <w:tr2bl w:val="nil"/>
            </w:tcBorders>
            <w:shd w:val="clear" w:color="auto" w:fill="auto"/>
            <w:tcMar>
              <w:top w:w="0" w:type="dxa"/>
              <w:left w:w="0" w:type="dxa"/>
              <w:bottom w:w="0" w:type="dxa"/>
              <w:right w:w="0" w:type="dxa"/>
            </w:tcMar>
            <w:vAlign w:val="center"/>
          </w:tcPr>
          <w:p w14:paraId="450A10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27AB9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046F0A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6</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0389C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308184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摩擦机风机</w:t>
            </w:r>
          </w:p>
        </w:tc>
        <w:tc>
          <w:tcPr>
            <w:tcW w:w="352" w:type="pct"/>
            <w:tcBorders>
              <w:tl2br w:val="nil"/>
              <w:tr2bl w:val="nil"/>
            </w:tcBorders>
            <w:shd w:val="clear" w:color="auto" w:fill="auto"/>
            <w:tcMar>
              <w:top w:w="0" w:type="dxa"/>
              <w:left w:w="0" w:type="dxa"/>
              <w:bottom w:w="0" w:type="dxa"/>
              <w:right w:w="0" w:type="dxa"/>
            </w:tcMar>
            <w:vAlign w:val="center"/>
          </w:tcPr>
          <w:p w14:paraId="2F4A0C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5B99CA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6571BF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35.4</w:t>
            </w:r>
          </w:p>
        </w:tc>
        <w:tc>
          <w:tcPr>
            <w:tcW w:w="196" w:type="pct"/>
            <w:tcBorders>
              <w:tl2br w:val="nil"/>
              <w:tr2bl w:val="nil"/>
            </w:tcBorders>
            <w:shd w:val="clear" w:color="auto" w:fill="auto"/>
            <w:tcMar>
              <w:top w:w="0" w:type="dxa"/>
              <w:left w:w="0" w:type="dxa"/>
              <w:bottom w:w="0" w:type="dxa"/>
              <w:right w:w="0" w:type="dxa"/>
            </w:tcMar>
            <w:vAlign w:val="center"/>
          </w:tcPr>
          <w:p w14:paraId="3E361C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36.3</w:t>
            </w:r>
          </w:p>
        </w:tc>
        <w:tc>
          <w:tcPr>
            <w:tcW w:w="192" w:type="pct"/>
            <w:tcBorders>
              <w:tl2br w:val="nil"/>
              <w:tr2bl w:val="nil"/>
            </w:tcBorders>
            <w:shd w:val="clear" w:color="auto" w:fill="auto"/>
            <w:tcMar>
              <w:top w:w="0" w:type="dxa"/>
              <w:left w:w="0" w:type="dxa"/>
              <w:bottom w:w="0" w:type="dxa"/>
              <w:right w:w="0" w:type="dxa"/>
            </w:tcMar>
            <w:vAlign w:val="center"/>
          </w:tcPr>
          <w:p w14:paraId="0E0FDDD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05A7A5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35.4</w:t>
            </w:r>
          </w:p>
        </w:tc>
        <w:tc>
          <w:tcPr>
            <w:tcW w:w="150" w:type="pct"/>
            <w:tcBorders>
              <w:tl2br w:val="nil"/>
              <w:tr2bl w:val="nil"/>
            </w:tcBorders>
            <w:shd w:val="clear" w:color="auto" w:fill="auto"/>
            <w:tcMar>
              <w:top w:w="0" w:type="dxa"/>
              <w:left w:w="0" w:type="dxa"/>
              <w:bottom w:w="0" w:type="dxa"/>
              <w:right w:w="0" w:type="dxa"/>
            </w:tcMar>
            <w:vAlign w:val="center"/>
          </w:tcPr>
          <w:p w14:paraId="23609D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16.8</w:t>
            </w:r>
          </w:p>
        </w:tc>
        <w:tc>
          <w:tcPr>
            <w:tcW w:w="150" w:type="pct"/>
            <w:tcBorders>
              <w:tl2br w:val="nil"/>
              <w:tr2bl w:val="nil"/>
            </w:tcBorders>
            <w:shd w:val="clear" w:color="auto" w:fill="auto"/>
            <w:tcMar>
              <w:top w:w="0" w:type="dxa"/>
              <w:left w:w="0" w:type="dxa"/>
              <w:bottom w:w="0" w:type="dxa"/>
              <w:right w:w="0" w:type="dxa"/>
            </w:tcMar>
            <w:vAlign w:val="center"/>
          </w:tcPr>
          <w:p w14:paraId="41EB01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36.5</w:t>
            </w:r>
          </w:p>
        </w:tc>
        <w:tc>
          <w:tcPr>
            <w:tcW w:w="159" w:type="pct"/>
            <w:tcBorders>
              <w:tl2br w:val="nil"/>
              <w:tr2bl w:val="nil"/>
            </w:tcBorders>
            <w:shd w:val="clear" w:color="auto" w:fill="auto"/>
            <w:tcMar>
              <w:top w:w="0" w:type="dxa"/>
              <w:left w:w="0" w:type="dxa"/>
              <w:bottom w:w="0" w:type="dxa"/>
              <w:right w:w="0" w:type="dxa"/>
            </w:tcMar>
            <w:vAlign w:val="center"/>
          </w:tcPr>
          <w:p w14:paraId="75C1F7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4.3</w:t>
            </w:r>
          </w:p>
        </w:tc>
        <w:tc>
          <w:tcPr>
            <w:tcW w:w="162" w:type="pct"/>
            <w:tcBorders>
              <w:tl2br w:val="nil"/>
              <w:tr2bl w:val="nil"/>
            </w:tcBorders>
            <w:shd w:val="clear" w:color="auto" w:fill="auto"/>
            <w:tcMar>
              <w:top w:w="0" w:type="dxa"/>
              <w:left w:w="0" w:type="dxa"/>
              <w:bottom w:w="0" w:type="dxa"/>
              <w:right w:w="0" w:type="dxa"/>
            </w:tcMar>
            <w:vAlign w:val="center"/>
          </w:tcPr>
          <w:p w14:paraId="634D45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2" w:type="pct"/>
            <w:tcBorders>
              <w:tl2br w:val="nil"/>
              <w:tr2bl w:val="nil"/>
            </w:tcBorders>
            <w:shd w:val="clear" w:color="auto" w:fill="auto"/>
            <w:tcMar>
              <w:top w:w="0" w:type="dxa"/>
              <w:left w:w="0" w:type="dxa"/>
              <w:bottom w:w="0" w:type="dxa"/>
              <w:right w:w="0" w:type="dxa"/>
            </w:tcMar>
            <w:vAlign w:val="center"/>
          </w:tcPr>
          <w:p w14:paraId="0DFA8ED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4AC8D5E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51427D3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66.7</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366C22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555F08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05E5EA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7F126FC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3ABFED5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494938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67" w:type="pct"/>
            <w:tcBorders>
              <w:tl2br w:val="nil"/>
              <w:tr2bl w:val="nil"/>
            </w:tcBorders>
            <w:shd w:val="clear" w:color="auto" w:fill="auto"/>
            <w:tcMar>
              <w:top w:w="0" w:type="dxa"/>
              <w:left w:w="0" w:type="dxa"/>
              <w:bottom w:w="0" w:type="dxa"/>
              <w:right w:w="0" w:type="dxa"/>
            </w:tcMar>
            <w:vAlign w:val="center"/>
          </w:tcPr>
          <w:p w14:paraId="58313C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2CE64D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6DB72BA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41.7</w:t>
            </w:r>
          </w:p>
        </w:tc>
        <w:tc>
          <w:tcPr>
            <w:tcW w:w="277" w:type="pct"/>
            <w:tcBorders>
              <w:tl2br w:val="nil"/>
              <w:tr2bl w:val="nil"/>
            </w:tcBorders>
            <w:shd w:val="clear" w:color="auto" w:fill="auto"/>
            <w:tcMar>
              <w:top w:w="0" w:type="dxa"/>
              <w:left w:w="0" w:type="dxa"/>
              <w:bottom w:w="0" w:type="dxa"/>
              <w:right w:w="0" w:type="dxa"/>
            </w:tcMar>
            <w:vAlign w:val="center"/>
          </w:tcPr>
          <w:p w14:paraId="45DB499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14:paraId="23E11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56DC69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7868F8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5E98B6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吸籽风机</w:t>
            </w:r>
          </w:p>
        </w:tc>
        <w:tc>
          <w:tcPr>
            <w:tcW w:w="352" w:type="pct"/>
            <w:tcBorders>
              <w:tl2br w:val="nil"/>
              <w:tr2bl w:val="nil"/>
            </w:tcBorders>
            <w:shd w:val="clear" w:color="auto" w:fill="auto"/>
            <w:tcMar>
              <w:top w:w="0" w:type="dxa"/>
              <w:left w:w="0" w:type="dxa"/>
              <w:bottom w:w="0" w:type="dxa"/>
              <w:right w:w="0" w:type="dxa"/>
            </w:tcMar>
            <w:vAlign w:val="center"/>
          </w:tcPr>
          <w:p w14:paraId="61B52F3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3D41D2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6A8ABF7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w:t>
            </w:r>
          </w:p>
        </w:tc>
        <w:tc>
          <w:tcPr>
            <w:tcW w:w="196" w:type="pct"/>
            <w:tcBorders>
              <w:tl2br w:val="nil"/>
              <w:tr2bl w:val="nil"/>
            </w:tcBorders>
            <w:shd w:val="clear" w:color="auto" w:fill="auto"/>
            <w:tcMar>
              <w:top w:w="0" w:type="dxa"/>
              <w:left w:w="0" w:type="dxa"/>
              <w:bottom w:w="0" w:type="dxa"/>
              <w:right w:w="0" w:type="dxa"/>
            </w:tcMar>
            <w:vAlign w:val="center"/>
          </w:tcPr>
          <w:p w14:paraId="1A0A22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27.7</w:t>
            </w:r>
          </w:p>
        </w:tc>
        <w:tc>
          <w:tcPr>
            <w:tcW w:w="192" w:type="pct"/>
            <w:tcBorders>
              <w:tl2br w:val="nil"/>
              <w:tr2bl w:val="nil"/>
            </w:tcBorders>
            <w:shd w:val="clear" w:color="auto" w:fill="auto"/>
            <w:tcMar>
              <w:top w:w="0" w:type="dxa"/>
              <w:left w:w="0" w:type="dxa"/>
              <w:bottom w:w="0" w:type="dxa"/>
              <w:right w:w="0" w:type="dxa"/>
            </w:tcMar>
            <w:vAlign w:val="center"/>
          </w:tcPr>
          <w:p w14:paraId="2E707B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471429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67.0</w:t>
            </w:r>
          </w:p>
        </w:tc>
        <w:tc>
          <w:tcPr>
            <w:tcW w:w="150" w:type="pct"/>
            <w:tcBorders>
              <w:tl2br w:val="nil"/>
              <w:tr2bl w:val="nil"/>
            </w:tcBorders>
            <w:shd w:val="clear" w:color="auto" w:fill="auto"/>
            <w:tcMar>
              <w:top w:w="0" w:type="dxa"/>
              <w:left w:w="0" w:type="dxa"/>
              <w:bottom w:w="0" w:type="dxa"/>
              <w:right w:w="0" w:type="dxa"/>
            </w:tcMar>
            <w:vAlign w:val="center"/>
          </w:tcPr>
          <w:p w14:paraId="0E826D0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w:t>
            </w:r>
          </w:p>
        </w:tc>
        <w:tc>
          <w:tcPr>
            <w:tcW w:w="150" w:type="pct"/>
            <w:tcBorders>
              <w:tl2br w:val="nil"/>
              <w:tr2bl w:val="nil"/>
            </w:tcBorders>
            <w:shd w:val="clear" w:color="auto" w:fill="auto"/>
            <w:tcMar>
              <w:top w:w="0" w:type="dxa"/>
              <w:left w:w="0" w:type="dxa"/>
              <w:bottom w:w="0" w:type="dxa"/>
              <w:right w:w="0" w:type="dxa"/>
            </w:tcMar>
            <w:vAlign w:val="center"/>
          </w:tcPr>
          <w:p w14:paraId="14FBBA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59" w:type="pct"/>
            <w:tcBorders>
              <w:tl2br w:val="nil"/>
              <w:tr2bl w:val="nil"/>
            </w:tcBorders>
            <w:shd w:val="clear" w:color="auto" w:fill="auto"/>
            <w:tcMar>
              <w:top w:w="0" w:type="dxa"/>
              <w:left w:w="0" w:type="dxa"/>
              <w:bottom w:w="0" w:type="dxa"/>
              <w:right w:w="0" w:type="dxa"/>
            </w:tcMar>
            <w:vAlign w:val="center"/>
          </w:tcPr>
          <w:p w14:paraId="2E7461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13.4</w:t>
            </w:r>
          </w:p>
        </w:tc>
        <w:tc>
          <w:tcPr>
            <w:tcW w:w="162" w:type="pct"/>
            <w:tcBorders>
              <w:tl2br w:val="nil"/>
              <w:tr2bl w:val="nil"/>
            </w:tcBorders>
            <w:shd w:val="clear" w:color="auto" w:fill="auto"/>
            <w:tcMar>
              <w:top w:w="0" w:type="dxa"/>
              <w:left w:w="0" w:type="dxa"/>
              <w:bottom w:w="0" w:type="dxa"/>
              <w:right w:w="0" w:type="dxa"/>
            </w:tcMar>
            <w:vAlign w:val="center"/>
          </w:tcPr>
          <w:p w14:paraId="6BE086B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162" w:type="pct"/>
            <w:tcBorders>
              <w:tl2br w:val="nil"/>
              <w:tr2bl w:val="nil"/>
            </w:tcBorders>
            <w:shd w:val="clear" w:color="auto" w:fill="auto"/>
            <w:tcMar>
              <w:top w:w="0" w:type="dxa"/>
              <w:left w:w="0" w:type="dxa"/>
              <w:bottom w:w="0" w:type="dxa"/>
              <w:right w:w="0" w:type="dxa"/>
            </w:tcMar>
            <w:vAlign w:val="center"/>
          </w:tcPr>
          <w:p w14:paraId="737518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66.4</w:t>
            </w:r>
          </w:p>
        </w:tc>
        <w:tc>
          <w:tcPr>
            <w:tcW w:w="162" w:type="pct"/>
            <w:tcBorders>
              <w:tl2br w:val="nil"/>
              <w:tr2bl w:val="nil"/>
            </w:tcBorders>
            <w:shd w:val="clear" w:color="auto" w:fill="auto"/>
            <w:tcMar>
              <w:top w:w="0" w:type="dxa"/>
              <w:left w:w="0" w:type="dxa"/>
              <w:bottom w:w="0" w:type="dxa"/>
              <w:right w:w="0" w:type="dxa"/>
            </w:tcMar>
            <w:vAlign w:val="center"/>
          </w:tcPr>
          <w:p w14:paraId="6CDFCA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66.6</w:t>
            </w:r>
          </w:p>
        </w:tc>
        <w:tc>
          <w:tcPr>
            <w:tcW w:w="167" w:type="pct"/>
            <w:tcBorders>
              <w:tl2br w:val="nil"/>
              <w:tr2bl w:val="nil"/>
            </w:tcBorders>
            <w:shd w:val="clear" w:color="auto" w:fill="auto"/>
            <w:tcMar>
              <w:top w:w="0" w:type="dxa"/>
              <w:left w:w="0" w:type="dxa"/>
              <w:bottom w:w="0" w:type="dxa"/>
              <w:right w:w="0" w:type="dxa"/>
            </w:tcMar>
            <w:vAlign w:val="center"/>
          </w:tcPr>
          <w:p w14:paraId="7FC567F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786F7A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083644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654542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468A1AD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0E481FC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2FF1D6D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41.2</w:t>
            </w:r>
          </w:p>
        </w:tc>
        <w:tc>
          <w:tcPr>
            <w:tcW w:w="167" w:type="pct"/>
            <w:tcBorders>
              <w:tl2br w:val="nil"/>
              <w:tr2bl w:val="nil"/>
            </w:tcBorders>
            <w:shd w:val="clear" w:color="auto" w:fill="auto"/>
            <w:tcMar>
              <w:top w:w="0" w:type="dxa"/>
              <w:left w:w="0" w:type="dxa"/>
              <w:bottom w:w="0" w:type="dxa"/>
              <w:right w:w="0" w:type="dxa"/>
            </w:tcMar>
            <w:vAlign w:val="center"/>
          </w:tcPr>
          <w:p w14:paraId="212874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41.4</w:t>
            </w:r>
          </w:p>
        </w:tc>
        <w:tc>
          <w:tcPr>
            <w:tcW w:w="145" w:type="pct"/>
            <w:tcBorders>
              <w:tl2br w:val="nil"/>
              <w:tr2bl w:val="nil"/>
            </w:tcBorders>
            <w:shd w:val="clear" w:color="auto" w:fill="auto"/>
            <w:tcMar>
              <w:top w:w="0" w:type="dxa"/>
              <w:left w:w="0" w:type="dxa"/>
              <w:bottom w:w="0" w:type="dxa"/>
              <w:right w:w="0" w:type="dxa"/>
            </w:tcMar>
            <w:vAlign w:val="center"/>
          </w:tcPr>
          <w:p w14:paraId="74B309C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41.6</w:t>
            </w:r>
          </w:p>
        </w:tc>
        <w:tc>
          <w:tcPr>
            <w:tcW w:w="145" w:type="pct"/>
            <w:tcBorders>
              <w:tl2br w:val="nil"/>
              <w:tr2bl w:val="nil"/>
            </w:tcBorders>
            <w:shd w:val="clear" w:color="auto" w:fill="auto"/>
            <w:tcMar>
              <w:top w:w="0" w:type="dxa"/>
              <w:left w:w="0" w:type="dxa"/>
              <w:bottom w:w="0" w:type="dxa"/>
              <w:right w:w="0" w:type="dxa"/>
            </w:tcMar>
            <w:vAlign w:val="center"/>
          </w:tcPr>
          <w:p w14:paraId="570979D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277" w:type="pct"/>
            <w:tcBorders>
              <w:tl2br w:val="nil"/>
              <w:tr2bl w:val="nil"/>
            </w:tcBorders>
            <w:shd w:val="clear" w:color="auto" w:fill="auto"/>
            <w:tcMar>
              <w:top w:w="0" w:type="dxa"/>
              <w:left w:w="0" w:type="dxa"/>
              <w:bottom w:w="0" w:type="dxa"/>
              <w:right w:w="0" w:type="dxa"/>
            </w:tcMar>
            <w:vAlign w:val="center"/>
          </w:tcPr>
          <w:p w14:paraId="03B4BC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6019C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3125259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6506C1F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4C9F8D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酸搅拌器</w:t>
            </w:r>
          </w:p>
        </w:tc>
        <w:tc>
          <w:tcPr>
            <w:tcW w:w="352" w:type="pct"/>
            <w:tcBorders>
              <w:tl2br w:val="nil"/>
              <w:tr2bl w:val="nil"/>
            </w:tcBorders>
            <w:shd w:val="clear" w:color="auto" w:fill="auto"/>
            <w:tcMar>
              <w:top w:w="0" w:type="dxa"/>
              <w:left w:w="0" w:type="dxa"/>
              <w:bottom w:w="0" w:type="dxa"/>
              <w:right w:w="0" w:type="dxa"/>
            </w:tcMar>
            <w:vAlign w:val="center"/>
          </w:tcPr>
          <w:p w14:paraId="69A5C9C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7D9313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405CBC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48.6</w:t>
            </w:r>
          </w:p>
        </w:tc>
        <w:tc>
          <w:tcPr>
            <w:tcW w:w="196" w:type="pct"/>
            <w:tcBorders>
              <w:tl2br w:val="nil"/>
              <w:tr2bl w:val="nil"/>
            </w:tcBorders>
            <w:shd w:val="clear" w:color="auto" w:fill="auto"/>
            <w:tcMar>
              <w:top w:w="0" w:type="dxa"/>
              <w:left w:w="0" w:type="dxa"/>
              <w:bottom w:w="0" w:type="dxa"/>
              <w:right w:w="0" w:type="dxa"/>
            </w:tcMar>
            <w:vAlign w:val="center"/>
          </w:tcPr>
          <w:p w14:paraId="4708C05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26.8</w:t>
            </w:r>
          </w:p>
        </w:tc>
        <w:tc>
          <w:tcPr>
            <w:tcW w:w="192" w:type="pct"/>
            <w:tcBorders>
              <w:tl2br w:val="nil"/>
              <w:tr2bl w:val="nil"/>
            </w:tcBorders>
            <w:shd w:val="clear" w:color="auto" w:fill="auto"/>
            <w:tcMar>
              <w:top w:w="0" w:type="dxa"/>
              <w:left w:w="0" w:type="dxa"/>
              <w:bottom w:w="0" w:type="dxa"/>
              <w:right w:w="0" w:type="dxa"/>
            </w:tcMar>
            <w:vAlign w:val="center"/>
          </w:tcPr>
          <w:p w14:paraId="4FB589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3613C5D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22.2</w:t>
            </w:r>
          </w:p>
        </w:tc>
        <w:tc>
          <w:tcPr>
            <w:tcW w:w="150" w:type="pct"/>
            <w:tcBorders>
              <w:tl2br w:val="nil"/>
              <w:tr2bl w:val="nil"/>
            </w:tcBorders>
            <w:shd w:val="clear" w:color="auto" w:fill="auto"/>
            <w:tcMar>
              <w:top w:w="0" w:type="dxa"/>
              <w:left w:w="0" w:type="dxa"/>
              <w:bottom w:w="0" w:type="dxa"/>
              <w:right w:w="0" w:type="dxa"/>
            </w:tcMar>
            <w:vAlign w:val="center"/>
          </w:tcPr>
          <w:p w14:paraId="12FA3C2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7.7</w:t>
            </w:r>
          </w:p>
        </w:tc>
        <w:tc>
          <w:tcPr>
            <w:tcW w:w="150" w:type="pct"/>
            <w:tcBorders>
              <w:tl2br w:val="nil"/>
              <w:tr2bl w:val="nil"/>
            </w:tcBorders>
            <w:shd w:val="clear" w:color="auto" w:fill="auto"/>
            <w:tcMar>
              <w:top w:w="0" w:type="dxa"/>
              <w:left w:w="0" w:type="dxa"/>
              <w:bottom w:w="0" w:type="dxa"/>
              <w:right w:w="0" w:type="dxa"/>
            </w:tcMar>
            <w:vAlign w:val="center"/>
          </w:tcPr>
          <w:p w14:paraId="4F379AA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49.8</w:t>
            </w:r>
          </w:p>
        </w:tc>
        <w:tc>
          <w:tcPr>
            <w:tcW w:w="159" w:type="pct"/>
            <w:tcBorders>
              <w:tl2br w:val="nil"/>
              <w:tr2bl w:val="nil"/>
            </w:tcBorders>
            <w:shd w:val="clear" w:color="auto" w:fill="auto"/>
            <w:tcMar>
              <w:top w:w="0" w:type="dxa"/>
              <w:left w:w="0" w:type="dxa"/>
              <w:bottom w:w="0" w:type="dxa"/>
              <w:right w:w="0" w:type="dxa"/>
            </w:tcMar>
            <w:vAlign w:val="center"/>
          </w:tcPr>
          <w:p w14:paraId="60AD68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13.6</w:t>
            </w:r>
          </w:p>
        </w:tc>
        <w:tc>
          <w:tcPr>
            <w:tcW w:w="162" w:type="pct"/>
            <w:tcBorders>
              <w:tl2br w:val="nil"/>
              <w:tr2bl w:val="nil"/>
            </w:tcBorders>
            <w:shd w:val="clear" w:color="auto" w:fill="auto"/>
            <w:tcMar>
              <w:top w:w="0" w:type="dxa"/>
              <w:left w:w="0" w:type="dxa"/>
              <w:bottom w:w="0" w:type="dxa"/>
              <w:right w:w="0" w:type="dxa"/>
            </w:tcMar>
            <w:vAlign w:val="center"/>
          </w:tcPr>
          <w:p w14:paraId="04E2DE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32E4D5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66.4</w:t>
            </w:r>
          </w:p>
        </w:tc>
        <w:tc>
          <w:tcPr>
            <w:tcW w:w="162" w:type="pct"/>
            <w:tcBorders>
              <w:tl2br w:val="nil"/>
              <w:tr2bl w:val="nil"/>
            </w:tcBorders>
            <w:shd w:val="clear" w:color="auto" w:fill="auto"/>
            <w:tcMar>
              <w:top w:w="0" w:type="dxa"/>
              <w:left w:w="0" w:type="dxa"/>
              <w:bottom w:w="0" w:type="dxa"/>
              <w:right w:w="0" w:type="dxa"/>
            </w:tcMar>
            <w:vAlign w:val="center"/>
          </w:tcPr>
          <w:p w14:paraId="1B8789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69BD45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2981DC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39A2008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1BC5E5A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7AA835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1DF2E0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332857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67" w:type="pct"/>
            <w:tcBorders>
              <w:tl2br w:val="nil"/>
              <w:tr2bl w:val="nil"/>
            </w:tcBorders>
            <w:shd w:val="clear" w:color="auto" w:fill="auto"/>
            <w:tcMar>
              <w:top w:w="0" w:type="dxa"/>
              <w:left w:w="0" w:type="dxa"/>
              <w:bottom w:w="0" w:type="dxa"/>
              <w:right w:w="0" w:type="dxa"/>
            </w:tcMar>
            <w:vAlign w:val="center"/>
          </w:tcPr>
          <w:p w14:paraId="09E0B05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41.4</w:t>
            </w:r>
          </w:p>
        </w:tc>
        <w:tc>
          <w:tcPr>
            <w:tcW w:w="145" w:type="pct"/>
            <w:tcBorders>
              <w:tl2br w:val="nil"/>
              <w:tr2bl w:val="nil"/>
            </w:tcBorders>
            <w:shd w:val="clear" w:color="auto" w:fill="auto"/>
            <w:tcMar>
              <w:top w:w="0" w:type="dxa"/>
              <w:left w:w="0" w:type="dxa"/>
              <w:bottom w:w="0" w:type="dxa"/>
              <w:right w:w="0" w:type="dxa"/>
            </w:tcMar>
            <w:vAlign w:val="center"/>
          </w:tcPr>
          <w:p w14:paraId="5229935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13F100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277" w:type="pct"/>
            <w:tcBorders>
              <w:tl2br w:val="nil"/>
              <w:tr2bl w:val="nil"/>
            </w:tcBorders>
            <w:shd w:val="clear" w:color="auto" w:fill="auto"/>
            <w:tcMar>
              <w:top w:w="0" w:type="dxa"/>
              <w:left w:w="0" w:type="dxa"/>
              <w:bottom w:w="0" w:type="dxa"/>
              <w:right w:w="0" w:type="dxa"/>
            </w:tcMar>
            <w:vAlign w:val="center"/>
          </w:tcPr>
          <w:p w14:paraId="67FDC3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1F877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3359E2F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7E5EC33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5D36398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离心机</w:t>
            </w:r>
          </w:p>
        </w:tc>
        <w:tc>
          <w:tcPr>
            <w:tcW w:w="352" w:type="pct"/>
            <w:tcBorders>
              <w:tl2br w:val="nil"/>
              <w:tr2bl w:val="nil"/>
            </w:tcBorders>
            <w:shd w:val="clear" w:color="auto" w:fill="auto"/>
            <w:tcMar>
              <w:top w:w="0" w:type="dxa"/>
              <w:left w:w="0" w:type="dxa"/>
              <w:bottom w:w="0" w:type="dxa"/>
              <w:right w:w="0" w:type="dxa"/>
            </w:tcMar>
            <w:vAlign w:val="center"/>
          </w:tcPr>
          <w:p w14:paraId="20284D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5EBB37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2DDF82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49.1</w:t>
            </w:r>
          </w:p>
        </w:tc>
        <w:tc>
          <w:tcPr>
            <w:tcW w:w="196" w:type="pct"/>
            <w:tcBorders>
              <w:tl2br w:val="nil"/>
              <w:tr2bl w:val="nil"/>
            </w:tcBorders>
            <w:shd w:val="clear" w:color="auto" w:fill="auto"/>
            <w:tcMar>
              <w:top w:w="0" w:type="dxa"/>
              <w:left w:w="0" w:type="dxa"/>
              <w:bottom w:w="0" w:type="dxa"/>
              <w:right w:w="0" w:type="dxa"/>
            </w:tcMar>
            <w:vAlign w:val="center"/>
          </w:tcPr>
          <w:p w14:paraId="67DBFDE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35.1</w:t>
            </w:r>
          </w:p>
        </w:tc>
        <w:tc>
          <w:tcPr>
            <w:tcW w:w="192" w:type="pct"/>
            <w:tcBorders>
              <w:tl2br w:val="nil"/>
              <w:tr2bl w:val="nil"/>
            </w:tcBorders>
            <w:shd w:val="clear" w:color="auto" w:fill="auto"/>
            <w:tcMar>
              <w:top w:w="0" w:type="dxa"/>
              <w:left w:w="0" w:type="dxa"/>
              <w:bottom w:w="0" w:type="dxa"/>
              <w:right w:w="0" w:type="dxa"/>
            </w:tcMar>
            <w:vAlign w:val="center"/>
          </w:tcPr>
          <w:p w14:paraId="622C2E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484AB6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21.7</w:t>
            </w:r>
          </w:p>
        </w:tc>
        <w:tc>
          <w:tcPr>
            <w:tcW w:w="150" w:type="pct"/>
            <w:tcBorders>
              <w:tl2br w:val="nil"/>
              <w:tr2bl w:val="nil"/>
            </w:tcBorders>
            <w:shd w:val="clear" w:color="auto" w:fill="auto"/>
            <w:tcMar>
              <w:top w:w="0" w:type="dxa"/>
              <w:left w:w="0" w:type="dxa"/>
              <w:bottom w:w="0" w:type="dxa"/>
              <w:right w:w="0" w:type="dxa"/>
            </w:tcMar>
            <w:vAlign w:val="center"/>
          </w:tcPr>
          <w:p w14:paraId="6254524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150" w:type="pct"/>
            <w:tcBorders>
              <w:tl2br w:val="nil"/>
              <w:tr2bl w:val="nil"/>
            </w:tcBorders>
            <w:shd w:val="clear" w:color="auto" w:fill="auto"/>
            <w:tcMar>
              <w:top w:w="0" w:type="dxa"/>
              <w:left w:w="0" w:type="dxa"/>
              <w:bottom w:w="0" w:type="dxa"/>
              <w:right w:w="0" w:type="dxa"/>
            </w:tcMar>
            <w:vAlign w:val="center"/>
          </w:tcPr>
          <w:p w14:paraId="2EC6BB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50.3</w:t>
            </w:r>
          </w:p>
        </w:tc>
        <w:tc>
          <w:tcPr>
            <w:tcW w:w="159" w:type="pct"/>
            <w:tcBorders>
              <w:tl2br w:val="nil"/>
              <w:tr2bl w:val="nil"/>
            </w:tcBorders>
            <w:shd w:val="clear" w:color="auto" w:fill="auto"/>
            <w:tcMar>
              <w:top w:w="0" w:type="dxa"/>
              <w:left w:w="0" w:type="dxa"/>
              <w:bottom w:w="0" w:type="dxa"/>
              <w:right w:w="0" w:type="dxa"/>
            </w:tcMar>
            <w:vAlign w:val="center"/>
          </w:tcPr>
          <w:p w14:paraId="533352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162" w:type="pct"/>
            <w:tcBorders>
              <w:tl2br w:val="nil"/>
              <w:tr2bl w:val="nil"/>
            </w:tcBorders>
            <w:shd w:val="clear" w:color="auto" w:fill="auto"/>
            <w:tcMar>
              <w:top w:w="0" w:type="dxa"/>
              <w:left w:w="0" w:type="dxa"/>
              <w:bottom w:w="0" w:type="dxa"/>
              <w:right w:w="0" w:type="dxa"/>
            </w:tcMar>
            <w:vAlign w:val="center"/>
          </w:tcPr>
          <w:p w14:paraId="2D9046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27D2074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2137D5B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00A5EEF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66.5</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62C1E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76A69E0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12B4EEA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068701C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6881EFC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58BDCE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67" w:type="pct"/>
            <w:tcBorders>
              <w:tl2br w:val="nil"/>
              <w:tr2bl w:val="nil"/>
            </w:tcBorders>
            <w:shd w:val="clear" w:color="auto" w:fill="auto"/>
            <w:tcMar>
              <w:top w:w="0" w:type="dxa"/>
              <w:left w:w="0" w:type="dxa"/>
              <w:bottom w:w="0" w:type="dxa"/>
              <w:right w:w="0" w:type="dxa"/>
            </w:tcMar>
            <w:vAlign w:val="center"/>
          </w:tcPr>
          <w:p w14:paraId="2F5202B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4D26F04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1B0EDC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41.5</w:t>
            </w:r>
          </w:p>
        </w:tc>
        <w:tc>
          <w:tcPr>
            <w:tcW w:w="277" w:type="pct"/>
            <w:tcBorders>
              <w:tl2br w:val="nil"/>
              <w:tr2bl w:val="nil"/>
            </w:tcBorders>
            <w:shd w:val="clear" w:color="auto" w:fill="auto"/>
            <w:tcMar>
              <w:top w:w="0" w:type="dxa"/>
              <w:left w:w="0" w:type="dxa"/>
              <w:bottom w:w="0" w:type="dxa"/>
              <w:right w:w="0" w:type="dxa"/>
            </w:tcMar>
            <w:vAlign w:val="center"/>
          </w:tcPr>
          <w:p w14:paraId="2E11DE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11423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543E90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10</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546E82B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548B4E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抛光机</w:t>
            </w:r>
          </w:p>
        </w:tc>
        <w:tc>
          <w:tcPr>
            <w:tcW w:w="352" w:type="pct"/>
            <w:tcBorders>
              <w:tl2br w:val="nil"/>
              <w:tr2bl w:val="nil"/>
            </w:tcBorders>
            <w:shd w:val="clear" w:color="auto" w:fill="auto"/>
            <w:tcMar>
              <w:top w:w="0" w:type="dxa"/>
              <w:left w:w="0" w:type="dxa"/>
              <w:bottom w:w="0" w:type="dxa"/>
              <w:right w:w="0" w:type="dxa"/>
            </w:tcMar>
            <w:vAlign w:val="center"/>
          </w:tcPr>
          <w:p w14:paraId="487545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48498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1B37A4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57.3</w:t>
            </w:r>
          </w:p>
        </w:tc>
        <w:tc>
          <w:tcPr>
            <w:tcW w:w="196" w:type="pct"/>
            <w:tcBorders>
              <w:tl2br w:val="nil"/>
              <w:tr2bl w:val="nil"/>
            </w:tcBorders>
            <w:shd w:val="clear" w:color="auto" w:fill="auto"/>
            <w:tcMar>
              <w:top w:w="0" w:type="dxa"/>
              <w:left w:w="0" w:type="dxa"/>
              <w:bottom w:w="0" w:type="dxa"/>
              <w:right w:w="0" w:type="dxa"/>
            </w:tcMar>
            <w:vAlign w:val="center"/>
          </w:tcPr>
          <w:p w14:paraId="504795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26.6</w:t>
            </w:r>
          </w:p>
        </w:tc>
        <w:tc>
          <w:tcPr>
            <w:tcW w:w="192" w:type="pct"/>
            <w:tcBorders>
              <w:tl2br w:val="nil"/>
              <w:tr2bl w:val="nil"/>
            </w:tcBorders>
            <w:shd w:val="clear" w:color="auto" w:fill="auto"/>
            <w:tcMar>
              <w:top w:w="0" w:type="dxa"/>
              <w:left w:w="0" w:type="dxa"/>
              <w:bottom w:w="0" w:type="dxa"/>
              <w:right w:w="0" w:type="dxa"/>
            </w:tcMar>
            <w:vAlign w:val="center"/>
          </w:tcPr>
          <w:p w14:paraId="7BFD97B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0B476C8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w:t>
            </w:r>
          </w:p>
        </w:tc>
        <w:tc>
          <w:tcPr>
            <w:tcW w:w="150" w:type="pct"/>
            <w:tcBorders>
              <w:tl2br w:val="nil"/>
              <w:tr2bl w:val="nil"/>
            </w:tcBorders>
            <w:shd w:val="clear" w:color="auto" w:fill="auto"/>
            <w:tcMar>
              <w:top w:w="0" w:type="dxa"/>
              <w:left w:w="0" w:type="dxa"/>
              <w:bottom w:w="0" w:type="dxa"/>
              <w:right w:w="0" w:type="dxa"/>
            </w:tcMar>
            <w:vAlign w:val="center"/>
          </w:tcPr>
          <w:p w14:paraId="1B4321F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150" w:type="pct"/>
            <w:tcBorders>
              <w:tl2br w:val="nil"/>
              <w:tr2bl w:val="nil"/>
            </w:tcBorders>
            <w:shd w:val="clear" w:color="auto" w:fill="auto"/>
            <w:tcMar>
              <w:top w:w="0" w:type="dxa"/>
              <w:left w:w="0" w:type="dxa"/>
              <w:bottom w:w="0" w:type="dxa"/>
              <w:right w:w="0" w:type="dxa"/>
            </w:tcMar>
            <w:vAlign w:val="center"/>
          </w:tcPr>
          <w:p w14:paraId="5A34230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58.5</w:t>
            </w:r>
          </w:p>
        </w:tc>
        <w:tc>
          <w:tcPr>
            <w:tcW w:w="159" w:type="pct"/>
            <w:tcBorders>
              <w:tl2br w:val="nil"/>
              <w:tr2bl w:val="nil"/>
            </w:tcBorders>
            <w:shd w:val="clear" w:color="auto" w:fill="auto"/>
            <w:tcMar>
              <w:top w:w="0" w:type="dxa"/>
              <w:left w:w="0" w:type="dxa"/>
              <w:bottom w:w="0" w:type="dxa"/>
              <w:right w:w="0" w:type="dxa"/>
            </w:tcMar>
            <w:vAlign w:val="center"/>
          </w:tcPr>
          <w:p w14:paraId="7010618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w:t>
            </w:r>
          </w:p>
        </w:tc>
        <w:tc>
          <w:tcPr>
            <w:tcW w:w="162" w:type="pct"/>
            <w:tcBorders>
              <w:tl2br w:val="nil"/>
              <w:tr2bl w:val="nil"/>
            </w:tcBorders>
            <w:shd w:val="clear" w:color="auto" w:fill="auto"/>
            <w:tcMar>
              <w:top w:w="0" w:type="dxa"/>
              <w:left w:w="0" w:type="dxa"/>
              <w:bottom w:w="0" w:type="dxa"/>
              <w:right w:w="0" w:type="dxa"/>
            </w:tcMar>
            <w:vAlign w:val="center"/>
          </w:tcPr>
          <w:p w14:paraId="2506DBC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61.3</w:t>
            </w:r>
          </w:p>
        </w:tc>
        <w:tc>
          <w:tcPr>
            <w:tcW w:w="162" w:type="pct"/>
            <w:tcBorders>
              <w:tl2br w:val="nil"/>
              <w:tr2bl w:val="nil"/>
            </w:tcBorders>
            <w:shd w:val="clear" w:color="auto" w:fill="auto"/>
            <w:tcMar>
              <w:top w:w="0" w:type="dxa"/>
              <w:left w:w="0" w:type="dxa"/>
              <w:bottom w:w="0" w:type="dxa"/>
              <w:right w:w="0" w:type="dxa"/>
            </w:tcMar>
            <w:vAlign w:val="center"/>
          </w:tcPr>
          <w:p w14:paraId="4F67A0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61.4</w:t>
            </w:r>
          </w:p>
        </w:tc>
        <w:tc>
          <w:tcPr>
            <w:tcW w:w="162" w:type="pct"/>
            <w:tcBorders>
              <w:tl2br w:val="nil"/>
              <w:tr2bl w:val="nil"/>
            </w:tcBorders>
            <w:shd w:val="clear" w:color="auto" w:fill="auto"/>
            <w:tcMar>
              <w:top w:w="0" w:type="dxa"/>
              <w:left w:w="0" w:type="dxa"/>
              <w:bottom w:w="0" w:type="dxa"/>
              <w:right w:w="0" w:type="dxa"/>
            </w:tcMar>
            <w:vAlign w:val="center"/>
          </w:tcPr>
          <w:p w14:paraId="4664832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61.2</w:t>
            </w:r>
          </w:p>
        </w:tc>
        <w:tc>
          <w:tcPr>
            <w:tcW w:w="167" w:type="pct"/>
            <w:tcBorders>
              <w:tl2br w:val="nil"/>
              <w:tr2bl w:val="nil"/>
            </w:tcBorders>
            <w:shd w:val="clear" w:color="auto" w:fill="auto"/>
            <w:tcMar>
              <w:top w:w="0" w:type="dxa"/>
              <w:left w:w="0" w:type="dxa"/>
              <w:bottom w:w="0" w:type="dxa"/>
              <w:right w:w="0" w:type="dxa"/>
            </w:tcMar>
            <w:vAlign w:val="center"/>
          </w:tcPr>
          <w:p w14:paraId="290C890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61.3</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4AE232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2B520F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3618FE7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5408A1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764328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6AC1F6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36.3</w:t>
            </w:r>
          </w:p>
        </w:tc>
        <w:tc>
          <w:tcPr>
            <w:tcW w:w="167" w:type="pct"/>
            <w:tcBorders>
              <w:tl2br w:val="nil"/>
              <w:tr2bl w:val="nil"/>
            </w:tcBorders>
            <w:shd w:val="clear" w:color="auto" w:fill="auto"/>
            <w:tcMar>
              <w:top w:w="0" w:type="dxa"/>
              <w:left w:w="0" w:type="dxa"/>
              <w:bottom w:w="0" w:type="dxa"/>
              <w:right w:w="0" w:type="dxa"/>
            </w:tcMar>
            <w:vAlign w:val="center"/>
          </w:tcPr>
          <w:p w14:paraId="68CD863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36.4</w:t>
            </w:r>
          </w:p>
        </w:tc>
        <w:tc>
          <w:tcPr>
            <w:tcW w:w="145" w:type="pct"/>
            <w:tcBorders>
              <w:tl2br w:val="nil"/>
              <w:tr2bl w:val="nil"/>
            </w:tcBorders>
            <w:shd w:val="clear" w:color="auto" w:fill="auto"/>
            <w:tcMar>
              <w:top w:w="0" w:type="dxa"/>
              <w:left w:w="0" w:type="dxa"/>
              <w:bottom w:w="0" w:type="dxa"/>
              <w:right w:w="0" w:type="dxa"/>
            </w:tcMar>
            <w:vAlign w:val="center"/>
          </w:tcPr>
          <w:p w14:paraId="6F9CC27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36.2</w:t>
            </w:r>
          </w:p>
        </w:tc>
        <w:tc>
          <w:tcPr>
            <w:tcW w:w="145" w:type="pct"/>
            <w:tcBorders>
              <w:tl2br w:val="nil"/>
              <w:tr2bl w:val="nil"/>
            </w:tcBorders>
            <w:shd w:val="clear" w:color="auto" w:fill="auto"/>
            <w:tcMar>
              <w:top w:w="0" w:type="dxa"/>
              <w:left w:w="0" w:type="dxa"/>
              <w:bottom w:w="0" w:type="dxa"/>
              <w:right w:w="0" w:type="dxa"/>
            </w:tcMar>
            <w:vAlign w:val="center"/>
          </w:tcPr>
          <w:p w14:paraId="65948E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36.3</w:t>
            </w:r>
          </w:p>
        </w:tc>
        <w:tc>
          <w:tcPr>
            <w:tcW w:w="277" w:type="pct"/>
            <w:tcBorders>
              <w:tl2br w:val="nil"/>
              <w:tr2bl w:val="nil"/>
            </w:tcBorders>
            <w:shd w:val="clear" w:color="auto" w:fill="auto"/>
            <w:tcMar>
              <w:top w:w="0" w:type="dxa"/>
              <w:left w:w="0" w:type="dxa"/>
              <w:bottom w:w="0" w:type="dxa"/>
              <w:right w:w="0" w:type="dxa"/>
            </w:tcMar>
            <w:vAlign w:val="center"/>
          </w:tcPr>
          <w:p w14:paraId="062EE8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5ED1C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697B75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11</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7C07E33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44E3E4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风筛选</w:t>
            </w:r>
          </w:p>
        </w:tc>
        <w:tc>
          <w:tcPr>
            <w:tcW w:w="352" w:type="pct"/>
            <w:tcBorders>
              <w:tl2br w:val="nil"/>
              <w:tr2bl w:val="nil"/>
            </w:tcBorders>
            <w:shd w:val="clear" w:color="auto" w:fill="auto"/>
            <w:tcMar>
              <w:top w:w="0" w:type="dxa"/>
              <w:left w:w="0" w:type="dxa"/>
              <w:bottom w:w="0" w:type="dxa"/>
              <w:right w:w="0" w:type="dxa"/>
            </w:tcMar>
            <w:vAlign w:val="center"/>
          </w:tcPr>
          <w:p w14:paraId="2E7526C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591069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1B392A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196" w:type="pct"/>
            <w:tcBorders>
              <w:tl2br w:val="nil"/>
              <w:tr2bl w:val="nil"/>
            </w:tcBorders>
            <w:shd w:val="clear" w:color="auto" w:fill="auto"/>
            <w:tcMar>
              <w:top w:w="0" w:type="dxa"/>
              <w:left w:w="0" w:type="dxa"/>
              <w:bottom w:w="0" w:type="dxa"/>
              <w:right w:w="0" w:type="dxa"/>
            </w:tcMar>
            <w:vAlign w:val="center"/>
          </w:tcPr>
          <w:p w14:paraId="5E95403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33.5</w:t>
            </w:r>
          </w:p>
        </w:tc>
        <w:tc>
          <w:tcPr>
            <w:tcW w:w="192" w:type="pct"/>
            <w:tcBorders>
              <w:tl2br w:val="nil"/>
              <w:tr2bl w:val="nil"/>
            </w:tcBorders>
            <w:shd w:val="clear" w:color="auto" w:fill="auto"/>
            <w:tcMar>
              <w:top w:w="0" w:type="dxa"/>
              <w:left w:w="0" w:type="dxa"/>
              <w:bottom w:w="0" w:type="dxa"/>
              <w:right w:w="0" w:type="dxa"/>
            </w:tcMar>
            <w:vAlign w:val="center"/>
          </w:tcPr>
          <w:p w14:paraId="02F7FF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607CCAF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14.8</w:t>
            </w:r>
          </w:p>
        </w:tc>
        <w:tc>
          <w:tcPr>
            <w:tcW w:w="150" w:type="pct"/>
            <w:tcBorders>
              <w:tl2br w:val="nil"/>
              <w:tr2bl w:val="nil"/>
            </w:tcBorders>
            <w:shd w:val="clear" w:color="auto" w:fill="auto"/>
            <w:tcMar>
              <w:top w:w="0" w:type="dxa"/>
              <w:left w:w="0" w:type="dxa"/>
              <w:bottom w:w="0" w:type="dxa"/>
              <w:right w:w="0" w:type="dxa"/>
            </w:tcMar>
            <w:vAlign w:val="center"/>
          </w:tcPr>
          <w:p w14:paraId="5706543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14.6</w:t>
            </w:r>
          </w:p>
        </w:tc>
        <w:tc>
          <w:tcPr>
            <w:tcW w:w="150" w:type="pct"/>
            <w:tcBorders>
              <w:tl2br w:val="nil"/>
              <w:tr2bl w:val="nil"/>
            </w:tcBorders>
            <w:shd w:val="clear" w:color="auto" w:fill="auto"/>
            <w:tcMar>
              <w:top w:w="0" w:type="dxa"/>
              <w:left w:w="0" w:type="dxa"/>
              <w:bottom w:w="0" w:type="dxa"/>
              <w:right w:w="0" w:type="dxa"/>
            </w:tcMar>
            <w:vAlign w:val="center"/>
          </w:tcPr>
          <w:p w14:paraId="01C304A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57.2</w:t>
            </w:r>
          </w:p>
        </w:tc>
        <w:tc>
          <w:tcPr>
            <w:tcW w:w="159" w:type="pct"/>
            <w:tcBorders>
              <w:tl2br w:val="nil"/>
              <w:tr2bl w:val="nil"/>
            </w:tcBorders>
            <w:shd w:val="clear" w:color="auto" w:fill="auto"/>
            <w:tcMar>
              <w:top w:w="0" w:type="dxa"/>
              <w:left w:w="0" w:type="dxa"/>
              <w:bottom w:w="0" w:type="dxa"/>
              <w:right w:w="0" w:type="dxa"/>
            </w:tcMar>
            <w:vAlign w:val="center"/>
          </w:tcPr>
          <w:p w14:paraId="6A22CF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162" w:type="pct"/>
            <w:tcBorders>
              <w:tl2br w:val="nil"/>
              <w:tr2bl w:val="nil"/>
            </w:tcBorders>
            <w:shd w:val="clear" w:color="auto" w:fill="auto"/>
            <w:tcMar>
              <w:top w:w="0" w:type="dxa"/>
              <w:left w:w="0" w:type="dxa"/>
              <w:bottom w:w="0" w:type="dxa"/>
              <w:right w:w="0" w:type="dxa"/>
            </w:tcMar>
            <w:vAlign w:val="center"/>
          </w:tcPr>
          <w:p w14:paraId="59E6EB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1B38FA0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73F419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4F3FC4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66.4</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2B0BBE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237E08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67D493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0FAD88B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298C2A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32D82B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67" w:type="pct"/>
            <w:tcBorders>
              <w:tl2br w:val="nil"/>
              <w:tr2bl w:val="nil"/>
            </w:tcBorders>
            <w:shd w:val="clear" w:color="auto" w:fill="auto"/>
            <w:tcMar>
              <w:top w:w="0" w:type="dxa"/>
              <w:left w:w="0" w:type="dxa"/>
              <w:bottom w:w="0" w:type="dxa"/>
              <w:right w:w="0" w:type="dxa"/>
            </w:tcMar>
            <w:vAlign w:val="center"/>
          </w:tcPr>
          <w:p w14:paraId="0E85FB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5C04833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799A23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41.4</w:t>
            </w:r>
          </w:p>
        </w:tc>
        <w:tc>
          <w:tcPr>
            <w:tcW w:w="277" w:type="pct"/>
            <w:tcBorders>
              <w:tl2br w:val="nil"/>
              <w:tr2bl w:val="nil"/>
            </w:tcBorders>
            <w:shd w:val="clear" w:color="auto" w:fill="auto"/>
            <w:tcMar>
              <w:top w:w="0" w:type="dxa"/>
              <w:left w:w="0" w:type="dxa"/>
              <w:bottom w:w="0" w:type="dxa"/>
              <w:right w:w="0" w:type="dxa"/>
            </w:tcMar>
            <w:vAlign w:val="center"/>
          </w:tcPr>
          <w:p w14:paraId="6918AF2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2400C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 w:type="pct"/>
            <w:tcBorders>
              <w:tl2br w:val="nil"/>
              <w:tr2bl w:val="nil"/>
            </w:tcBorders>
            <w:shd w:val="clear" w:color="auto" w:fill="auto"/>
            <w:tcMar>
              <w:top w:w="0" w:type="dxa"/>
              <w:left w:w="0" w:type="dxa"/>
              <w:bottom w:w="0" w:type="dxa"/>
              <w:right w:w="0" w:type="dxa"/>
            </w:tcMar>
            <w:vAlign w:val="center"/>
          </w:tcPr>
          <w:p w14:paraId="44A23E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229" w:type="pct"/>
            <w:vMerge w:val="continue"/>
            <w:tcBorders>
              <w:tl2br w:val="nil"/>
              <w:tr2bl w:val="nil"/>
            </w:tcBorders>
            <w:shd w:val="clear" w:color="auto" w:fill="auto"/>
            <w:tcMar>
              <w:top w:w="0" w:type="dxa"/>
              <w:left w:w="0" w:type="dxa"/>
              <w:bottom w:w="0" w:type="dxa"/>
              <w:right w:w="0" w:type="dxa"/>
            </w:tcMar>
            <w:vAlign w:val="center"/>
          </w:tcPr>
          <w:p w14:paraId="012214E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324" w:type="pct"/>
            <w:tcBorders>
              <w:tl2br w:val="nil"/>
              <w:tr2bl w:val="nil"/>
            </w:tcBorders>
            <w:shd w:val="clear" w:color="auto" w:fill="auto"/>
            <w:tcMar>
              <w:top w:w="0" w:type="dxa"/>
              <w:left w:w="0" w:type="dxa"/>
              <w:bottom w:w="0" w:type="dxa"/>
              <w:right w:w="0" w:type="dxa"/>
            </w:tcMar>
            <w:vAlign w:val="center"/>
          </w:tcPr>
          <w:p w14:paraId="3E67463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包衣机</w:t>
            </w:r>
          </w:p>
        </w:tc>
        <w:tc>
          <w:tcPr>
            <w:tcW w:w="352" w:type="pct"/>
            <w:tcBorders>
              <w:tl2br w:val="nil"/>
              <w:tr2bl w:val="nil"/>
            </w:tcBorders>
            <w:shd w:val="clear" w:color="auto" w:fill="auto"/>
            <w:tcMar>
              <w:top w:w="0" w:type="dxa"/>
              <w:left w:w="0" w:type="dxa"/>
              <w:bottom w:w="0" w:type="dxa"/>
              <w:right w:w="0" w:type="dxa"/>
            </w:tcMar>
            <w:vAlign w:val="center"/>
          </w:tcPr>
          <w:p w14:paraId="23BCC1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65" w:type="pct"/>
            <w:vMerge w:val="continue"/>
            <w:tcBorders>
              <w:tl2br w:val="nil"/>
              <w:tr2bl w:val="nil"/>
            </w:tcBorders>
            <w:shd w:val="clear" w:color="auto" w:fill="auto"/>
            <w:tcMar>
              <w:top w:w="0" w:type="dxa"/>
              <w:left w:w="0" w:type="dxa"/>
              <w:bottom w:w="0" w:type="dxa"/>
              <w:right w:w="0" w:type="dxa"/>
            </w:tcMar>
            <w:vAlign w:val="center"/>
          </w:tcPr>
          <w:p w14:paraId="7FBEB6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212" w:type="pct"/>
            <w:tcBorders>
              <w:tl2br w:val="nil"/>
              <w:tr2bl w:val="nil"/>
            </w:tcBorders>
            <w:shd w:val="clear" w:color="auto" w:fill="auto"/>
            <w:tcMar>
              <w:top w:w="0" w:type="dxa"/>
              <w:left w:w="0" w:type="dxa"/>
              <w:bottom w:w="0" w:type="dxa"/>
              <w:right w:w="0" w:type="dxa"/>
            </w:tcMar>
            <w:vAlign w:val="center"/>
          </w:tcPr>
          <w:p w14:paraId="674A348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62.1</w:t>
            </w:r>
          </w:p>
        </w:tc>
        <w:tc>
          <w:tcPr>
            <w:tcW w:w="196" w:type="pct"/>
            <w:tcBorders>
              <w:tl2br w:val="nil"/>
              <w:tr2bl w:val="nil"/>
            </w:tcBorders>
            <w:shd w:val="clear" w:color="auto" w:fill="auto"/>
            <w:tcMar>
              <w:top w:w="0" w:type="dxa"/>
              <w:left w:w="0" w:type="dxa"/>
              <w:bottom w:w="0" w:type="dxa"/>
              <w:right w:w="0" w:type="dxa"/>
            </w:tcMar>
            <w:vAlign w:val="center"/>
          </w:tcPr>
          <w:p w14:paraId="7370FB9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32.4</w:t>
            </w:r>
          </w:p>
        </w:tc>
        <w:tc>
          <w:tcPr>
            <w:tcW w:w="192" w:type="pct"/>
            <w:tcBorders>
              <w:tl2br w:val="nil"/>
              <w:tr2bl w:val="nil"/>
            </w:tcBorders>
            <w:shd w:val="clear" w:color="auto" w:fill="auto"/>
            <w:tcMar>
              <w:top w:w="0" w:type="dxa"/>
              <w:left w:w="0" w:type="dxa"/>
              <w:bottom w:w="0" w:type="dxa"/>
              <w:right w:w="0" w:type="dxa"/>
            </w:tcMar>
            <w:vAlign w:val="center"/>
          </w:tcPr>
          <w:p w14:paraId="421C86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71" w:type="pct"/>
            <w:tcBorders>
              <w:tl2br w:val="nil"/>
              <w:tr2bl w:val="nil"/>
            </w:tcBorders>
            <w:shd w:val="clear" w:color="auto" w:fill="auto"/>
            <w:tcMar>
              <w:top w:w="0" w:type="dxa"/>
              <w:left w:w="0" w:type="dxa"/>
              <w:bottom w:w="0" w:type="dxa"/>
              <w:right w:w="0" w:type="dxa"/>
            </w:tcMar>
            <w:vAlign w:val="center"/>
          </w:tcPr>
          <w:p w14:paraId="65C110F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8.7</w:t>
            </w:r>
          </w:p>
        </w:tc>
        <w:tc>
          <w:tcPr>
            <w:tcW w:w="150" w:type="pct"/>
            <w:tcBorders>
              <w:tl2br w:val="nil"/>
              <w:tr2bl w:val="nil"/>
            </w:tcBorders>
            <w:shd w:val="clear" w:color="auto" w:fill="auto"/>
            <w:tcMar>
              <w:top w:w="0" w:type="dxa"/>
              <w:left w:w="0" w:type="dxa"/>
              <w:bottom w:w="0" w:type="dxa"/>
              <w:right w:w="0" w:type="dxa"/>
            </w:tcMar>
            <w:vAlign w:val="center"/>
          </w:tcPr>
          <w:p w14:paraId="5440AB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w:t>
            </w:r>
          </w:p>
        </w:tc>
        <w:tc>
          <w:tcPr>
            <w:tcW w:w="150" w:type="pct"/>
            <w:tcBorders>
              <w:tl2br w:val="nil"/>
              <w:tr2bl w:val="nil"/>
            </w:tcBorders>
            <w:shd w:val="clear" w:color="auto" w:fill="auto"/>
            <w:tcMar>
              <w:top w:w="0" w:type="dxa"/>
              <w:left w:w="0" w:type="dxa"/>
              <w:bottom w:w="0" w:type="dxa"/>
              <w:right w:w="0" w:type="dxa"/>
            </w:tcMar>
            <w:vAlign w:val="center"/>
          </w:tcPr>
          <w:p w14:paraId="5257A23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63.3</w:t>
            </w:r>
          </w:p>
        </w:tc>
        <w:tc>
          <w:tcPr>
            <w:tcW w:w="159" w:type="pct"/>
            <w:tcBorders>
              <w:tl2br w:val="nil"/>
              <w:tr2bl w:val="nil"/>
            </w:tcBorders>
            <w:shd w:val="clear" w:color="auto" w:fill="auto"/>
            <w:tcMar>
              <w:top w:w="0" w:type="dxa"/>
              <w:left w:w="0" w:type="dxa"/>
              <w:bottom w:w="0" w:type="dxa"/>
              <w:right w:w="0" w:type="dxa"/>
            </w:tcMar>
            <w:vAlign w:val="center"/>
          </w:tcPr>
          <w:p w14:paraId="445849E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162" w:type="pct"/>
            <w:tcBorders>
              <w:tl2br w:val="nil"/>
              <w:tr2bl w:val="nil"/>
            </w:tcBorders>
            <w:shd w:val="clear" w:color="auto" w:fill="auto"/>
            <w:tcMar>
              <w:top w:w="0" w:type="dxa"/>
              <w:left w:w="0" w:type="dxa"/>
              <w:bottom w:w="0" w:type="dxa"/>
              <w:right w:w="0" w:type="dxa"/>
            </w:tcMar>
            <w:vAlign w:val="center"/>
          </w:tcPr>
          <w:p w14:paraId="439EDBE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5884826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66.3</w:t>
            </w:r>
          </w:p>
        </w:tc>
        <w:tc>
          <w:tcPr>
            <w:tcW w:w="162" w:type="pct"/>
            <w:tcBorders>
              <w:tl2br w:val="nil"/>
              <w:tr2bl w:val="nil"/>
            </w:tcBorders>
            <w:shd w:val="clear" w:color="auto" w:fill="auto"/>
            <w:tcMar>
              <w:top w:w="0" w:type="dxa"/>
              <w:left w:w="0" w:type="dxa"/>
              <w:bottom w:w="0" w:type="dxa"/>
              <w:right w:w="0" w:type="dxa"/>
            </w:tcMar>
            <w:vAlign w:val="center"/>
          </w:tcPr>
          <w:p w14:paraId="1301C59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66.2</w:t>
            </w:r>
          </w:p>
        </w:tc>
        <w:tc>
          <w:tcPr>
            <w:tcW w:w="167" w:type="pct"/>
            <w:tcBorders>
              <w:tl2br w:val="nil"/>
              <w:tr2bl w:val="nil"/>
            </w:tcBorders>
            <w:shd w:val="clear" w:color="auto" w:fill="auto"/>
            <w:tcMar>
              <w:top w:w="0" w:type="dxa"/>
              <w:left w:w="0" w:type="dxa"/>
              <w:bottom w:w="0" w:type="dxa"/>
              <w:right w:w="0" w:type="dxa"/>
            </w:tcMar>
            <w:vAlign w:val="center"/>
          </w:tcPr>
          <w:p w14:paraId="6C34CD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66.4</w:t>
            </w:r>
          </w:p>
        </w:tc>
        <w:tc>
          <w:tcPr>
            <w:tcW w:w="224" w:type="pct"/>
            <w:vMerge w:val="continue"/>
            <w:tcBorders>
              <w:tl2br w:val="nil"/>
              <w:tr2bl w:val="nil"/>
            </w:tcBorders>
            <w:shd w:val="clear" w:color="auto" w:fill="auto"/>
            <w:tcMar>
              <w:top w:w="0" w:type="dxa"/>
              <w:left w:w="0" w:type="dxa"/>
              <w:bottom w:w="0" w:type="dxa"/>
              <w:right w:w="0" w:type="dxa"/>
            </w:tcMar>
            <w:vAlign w:val="center"/>
          </w:tcPr>
          <w:p w14:paraId="121B4D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152" w:type="pct"/>
            <w:tcBorders>
              <w:tl2br w:val="nil"/>
              <w:tr2bl w:val="nil"/>
            </w:tcBorders>
            <w:shd w:val="clear" w:color="auto" w:fill="auto"/>
            <w:tcMar>
              <w:top w:w="0" w:type="dxa"/>
              <w:left w:w="0" w:type="dxa"/>
              <w:bottom w:w="0" w:type="dxa"/>
              <w:right w:w="0" w:type="dxa"/>
            </w:tcMar>
            <w:vAlign w:val="center"/>
          </w:tcPr>
          <w:p w14:paraId="7E7ADE2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57" w:type="pct"/>
            <w:tcBorders>
              <w:tl2br w:val="nil"/>
              <w:tr2bl w:val="nil"/>
            </w:tcBorders>
            <w:shd w:val="clear" w:color="auto" w:fill="auto"/>
            <w:tcMar>
              <w:top w:w="0" w:type="dxa"/>
              <w:left w:w="0" w:type="dxa"/>
              <w:bottom w:w="0" w:type="dxa"/>
              <w:right w:w="0" w:type="dxa"/>
            </w:tcMar>
            <w:vAlign w:val="center"/>
          </w:tcPr>
          <w:p w14:paraId="101C1B7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5" w:type="pct"/>
            <w:tcBorders>
              <w:tl2br w:val="nil"/>
              <w:tr2bl w:val="nil"/>
            </w:tcBorders>
            <w:shd w:val="clear" w:color="auto" w:fill="auto"/>
            <w:tcMar>
              <w:top w:w="0" w:type="dxa"/>
              <w:left w:w="0" w:type="dxa"/>
              <w:bottom w:w="0" w:type="dxa"/>
              <w:right w:w="0" w:type="dxa"/>
            </w:tcMar>
            <w:vAlign w:val="center"/>
          </w:tcPr>
          <w:p w14:paraId="559B3AC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78" w:type="pct"/>
            <w:tcBorders>
              <w:tl2br w:val="nil"/>
              <w:tr2bl w:val="nil"/>
            </w:tcBorders>
            <w:shd w:val="clear" w:color="auto" w:fill="auto"/>
            <w:tcMar>
              <w:top w:w="0" w:type="dxa"/>
              <w:left w:w="0" w:type="dxa"/>
              <w:bottom w:w="0" w:type="dxa"/>
              <w:right w:w="0" w:type="dxa"/>
            </w:tcMar>
            <w:vAlign w:val="center"/>
          </w:tcPr>
          <w:p w14:paraId="5BED3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161" w:type="pct"/>
            <w:tcBorders>
              <w:tl2br w:val="nil"/>
              <w:tr2bl w:val="nil"/>
            </w:tcBorders>
            <w:shd w:val="clear" w:color="auto" w:fill="auto"/>
            <w:tcMar>
              <w:top w:w="0" w:type="dxa"/>
              <w:left w:w="0" w:type="dxa"/>
              <w:bottom w:w="0" w:type="dxa"/>
              <w:right w:w="0" w:type="dxa"/>
            </w:tcMar>
            <w:vAlign w:val="center"/>
          </w:tcPr>
          <w:p w14:paraId="3843BA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67" w:type="pct"/>
            <w:tcBorders>
              <w:tl2br w:val="nil"/>
              <w:tr2bl w:val="nil"/>
            </w:tcBorders>
            <w:shd w:val="clear" w:color="auto" w:fill="auto"/>
            <w:tcMar>
              <w:top w:w="0" w:type="dxa"/>
              <w:left w:w="0" w:type="dxa"/>
              <w:bottom w:w="0" w:type="dxa"/>
              <w:right w:w="0" w:type="dxa"/>
            </w:tcMar>
            <w:vAlign w:val="center"/>
          </w:tcPr>
          <w:p w14:paraId="1BCC4F5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41.3</w:t>
            </w:r>
          </w:p>
        </w:tc>
        <w:tc>
          <w:tcPr>
            <w:tcW w:w="145" w:type="pct"/>
            <w:tcBorders>
              <w:tl2br w:val="nil"/>
              <w:tr2bl w:val="nil"/>
            </w:tcBorders>
            <w:shd w:val="clear" w:color="auto" w:fill="auto"/>
            <w:tcMar>
              <w:top w:w="0" w:type="dxa"/>
              <w:left w:w="0" w:type="dxa"/>
              <w:bottom w:w="0" w:type="dxa"/>
              <w:right w:w="0" w:type="dxa"/>
            </w:tcMar>
            <w:vAlign w:val="center"/>
          </w:tcPr>
          <w:p w14:paraId="4326540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41.2</w:t>
            </w:r>
          </w:p>
        </w:tc>
        <w:tc>
          <w:tcPr>
            <w:tcW w:w="145" w:type="pct"/>
            <w:tcBorders>
              <w:tl2br w:val="nil"/>
              <w:tr2bl w:val="nil"/>
            </w:tcBorders>
            <w:shd w:val="clear" w:color="auto" w:fill="auto"/>
            <w:tcMar>
              <w:top w:w="0" w:type="dxa"/>
              <w:left w:w="0" w:type="dxa"/>
              <w:bottom w:w="0" w:type="dxa"/>
              <w:right w:w="0" w:type="dxa"/>
            </w:tcMar>
            <w:vAlign w:val="center"/>
          </w:tcPr>
          <w:p w14:paraId="147D72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41.4</w:t>
            </w:r>
          </w:p>
        </w:tc>
        <w:tc>
          <w:tcPr>
            <w:tcW w:w="277" w:type="pct"/>
            <w:tcBorders>
              <w:tl2br w:val="nil"/>
              <w:tr2bl w:val="nil"/>
            </w:tcBorders>
            <w:shd w:val="clear" w:color="auto" w:fill="auto"/>
            <w:tcMar>
              <w:top w:w="0" w:type="dxa"/>
              <w:left w:w="0" w:type="dxa"/>
              <w:bottom w:w="0" w:type="dxa"/>
              <w:right w:w="0" w:type="dxa"/>
            </w:tcMar>
            <w:vAlign w:val="center"/>
          </w:tcPr>
          <w:p w14:paraId="6B3FBC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14:paraId="08F99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26"/>
            <w:tcBorders>
              <w:tl2br w:val="nil"/>
              <w:tr2bl w:val="nil"/>
            </w:tcBorders>
            <w:shd w:val="clear" w:color="auto" w:fill="auto"/>
            <w:tcMar>
              <w:top w:w="0" w:type="dxa"/>
              <w:left w:w="0" w:type="dxa"/>
              <w:bottom w:w="0" w:type="dxa"/>
              <w:right w:w="0" w:type="dxa"/>
            </w:tcMar>
            <w:vAlign w:val="center"/>
          </w:tcPr>
          <w:p w14:paraId="0CF0C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表中坐标以（</w:t>
            </w:r>
            <w:bookmarkStart w:id="14" w:name="PO_7"/>
            <w:r>
              <w:rPr>
                <w:rFonts w:hint="default" w:ascii="Times New Roman" w:hAnsi="Times New Roman" w:eastAsia="宋体" w:cs="Times New Roman"/>
                <w:b w:val="0"/>
                <w:bCs/>
                <w:sz w:val="21"/>
                <w:szCs w:val="21"/>
                <w:lang w:val="en-US" w:eastAsia="zh-CN"/>
              </w:rPr>
              <w:t>86.2470093,41.365009</w:t>
            </w:r>
            <w:bookmarkEnd w:id="14"/>
            <w:r>
              <w:rPr>
                <w:rFonts w:hint="default" w:ascii="Times New Roman" w:hAnsi="Times New Roman" w:eastAsia="宋体" w:cs="Times New Roman"/>
                <w:b w:val="0"/>
                <w:bCs/>
                <w:sz w:val="21"/>
                <w:szCs w:val="21"/>
                <w:lang w:val="en-US" w:eastAsia="zh-CN"/>
              </w:rPr>
              <w:t>）为坐标原点，正东向为X轴正方向，正北向为Y轴正方向</w:t>
            </w:r>
          </w:p>
        </w:tc>
      </w:tr>
    </w:tbl>
    <w:p w14:paraId="419E1554">
      <w:pPr>
        <w:pStyle w:val="3"/>
        <w:ind w:left="0" w:leftChars="0" w:firstLine="0" w:firstLineChars="0"/>
        <w:rPr>
          <w:rFonts w:hint="eastAsia"/>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p w14:paraId="56CEE961">
      <w:pPr>
        <w:pStyle w:val="3"/>
      </w:pPr>
    </w:p>
    <w:tbl>
      <w:tblPr>
        <w:tblStyle w:val="35"/>
        <w:tblW w:w="898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108" w:type="dxa"/>
          <w:bottom w:w="0" w:type="dxa"/>
          <w:right w:w="108" w:type="dxa"/>
        </w:tblCellMar>
      </w:tblPr>
      <w:tblGrid>
        <w:gridCol w:w="403"/>
        <w:gridCol w:w="8578"/>
      </w:tblGrid>
      <w:tr w14:paraId="2C898D1B">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jc w:val="center"/>
        </w:trPr>
        <w:tc>
          <w:tcPr>
            <w:tcW w:w="403" w:type="dxa"/>
            <w:tcBorders>
              <w:tl2br w:val="nil"/>
              <w:tr2bl w:val="nil"/>
            </w:tcBorders>
            <w:noWrap w:val="0"/>
            <w:tcMar>
              <w:left w:w="28" w:type="dxa"/>
              <w:right w:w="28" w:type="dxa"/>
            </w:tcMar>
            <w:vAlign w:val="center"/>
          </w:tcPr>
          <w:p w14:paraId="34E5C2EB">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运营</w:t>
            </w:r>
          </w:p>
          <w:p w14:paraId="5D5D185F">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期环</w:t>
            </w:r>
          </w:p>
          <w:p w14:paraId="75F67BE5">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境影</w:t>
            </w:r>
          </w:p>
          <w:p w14:paraId="283F509E">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响和</w:t>
            </w:r>
          </w:p>
          <w:p w14:paraId="78526670">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保护</w:t>
            </w:r>
          </w:p>
          <w:p w14:paraId="059D55E4">
            <w:pPr>
              <w:keepNext w:val="0"/>
              <w:keepLines w:val="0"/>
              <w:suppressLineNumbers w:val="0"/>
              <w:adjustRightInd w:val="0"/>
              <w:snapToGrid w:val="0"/>
              <w:spacing w:before="0" w:beforeAutospacing="0" w:after="0" w:afterAutospacing="0"/>
              <w:ind w:left="0" w:right="0"/>
              <w:jc w:val="center"/>
              <w:rPr>
                <w:rFonts w:hint="default"/>
                <w:b/>
                <w:bCs/>
                <w:color w:val="000000"/>
                <w:spacing w:val="0"/>
                <w:kern w:val="0"/>
                <w:szCs w:val="21"/>
              </w:rPr>
            </w:pPr>
            <w:r>
              <w:rPr>
                <w:rFonts w:hint="default"/>
                <w:b/>
                <w:bCs/>
                <w:color w:val="000000"/>
                <w:spacing w:val="0"/>
                <w:kern w:val="0"/>
                <w:szCs w:val="21"/>
              </w:rPr>
              <w:t>措施</w:t>
            </w:r>
          </w:p>
        </w:tc>
        <w:tc>
          <w:tcPr>
            <w:tcW w:w="8578" w:type="dxa"/>
            <w:tcBorders>
              <w:tl2br w:val="nil"/>
              <w:tr2bl w:val="nil"/>
            </w:tcBorders>
            <w:noWrap w:val="0"/>
            <w:vAlign w:val="center"/>
          </w:tcPr>
          <w:p w14:paraId="15897FC3">
            <w:pPr>
              <w:pStyle w:val="6"/>
              <w:suppressLineNumbers w:val="0"/>
              <w:adjustRightInd w:val="0"/>
              <w:snapToGrid w:val="0"/>
              <w:spacing w:before="0" w:beforeAutospacing="0" w:after="0" w:afterAutospacing="0"/>
              <w:ind w:left="0" w:right="0" w:firstLine="482" w:firstLineChars="200"/>
              <w:rPr>
                <w:rFonts w:hint="default"/>
                <w:color w:val="000000"/>
                <w:spacing w:val="0"/>
                <w:kern w:val="0"/>
              </w:rPr>
            </w:pPr>
            <w:r>
              <w:rPr>
                <w:rFonts w:hint="default"/>
                <w:color w:val="000000"/>
                <w:spacing w:val="0"/>
                <w:kern w:val="0"/>
              </w:rPr>
              <w:t>3.2</w:t>
            </w:r>
            <w:r>
              <w:rPr>
                <w:rFonts w:hint="eastAsia"/>
                <w:color w:val="000000"/>
                <w:spacing w:val="0"/>
                <w:kern w:val="0"/>
              </w:rPr>
              <w:t>预测模式选用</w:t>
            </w:r>
          </w:p>
          <w:p w14:paraId="097E013B">
            <w:pPr>
              <w:pStyle w:val="54"/>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szCs w:val="24"/>
              </w:rPr>
            </w:pPr>
            <w:r>
              <w:rPr>
                <w:rFonts w:hint="eastAsia"/>
                <w:color w:val="000000"/>
                <w:spacing w:val="0"/>
                <w:kern w:val="0"/>
                <w:szCs w:val="24"/>
              </w:rPr>
              <w:t>采用《环境影响评价技术导则 声环境》</w:t>
            </w:r>
            <w:r>
              <w:rPr>
                <w:rFonts w:hint="eastAsia"/>
                <w:color w:val="000000"/>
                <w:spacing w:val="0"/>
                <w:kern w:val="0"/>
                <w:szCs w:val="24"/>
                <w:lang w:eastAsia="zh-CN"/>
              </w:rPr>
              <w:t>（</w:t>
            </w:r>
            <w:r>
              <w:rPr>
                <w:rFonts w:hint="eastAsia"/>
                <w:color w:val="000000"/>
                <w:spacing w:val="0"/>
                <w:kern w:val="0"/>
                <w:szCs w:val="24"/>
              </w:rPr>
              <w:t>HJ2.4-2021</w:t>
            </w:r>
            <w:r>
              <w:rPr>
                <w:rFonts w:hint="eastAsia"/>
                <w:color w:val="000000"/>
                <w:spacing w:val="0"/>
                <w:kern w:val="0"/>
                <w:szCs w:val="24"/>
                <w:lang w:eastAsia="zh-CN"/>
              </w:rPr>
              <w:t>）</w:t>
            </w:r>
            <w:r>
              <w:rPr>
                <w:rFonts w:hint="eastAsia"/>
                <w:color w:val="000000"/>
                <w:spacing w:val="0"/>
                <w:kern w:val="0"/>
                <w:szCs w:val="24"/>
              </w:rPr>
              <w:t>中推荐的模式进行计算。</w:t>
            </w:r>
          </w:p>
          <w:p w14:paraId="5409D761">
            <w:pPr>
              <w:pStyle w:val="6"/>
              <w:suppressLineNumbers w:val="0"/>
              <w:adjustRightInd w:val="0"/>
              <w:snapToGrid w:val="0"/>
              <w:spacing w:before="0" w:beforeAutospacing="0" w:after="0" w:afterAutospacing="0"/>
              <w:ind w:left="0" w:right="0" w:firstLine="482" w:firstLineChars="200"/>
              <w:rPr>
                <w:rFonts w:hint="default"/>
                <w:color w:val="000000"/>
                <w:spacing w:val="0"/>
                <w:kern w:val="0"/>
              </w:rPr>
            </w:pPr>
            <w:r>
              <w:rPr>
                <w:rFonts w:hint="default"/>
                <w:color w:val="000000"/>
                <w:spacing w:val="0"/>
                <w:kern w:val="0"/>
              </w:rPr>
              <w:t>3.3</w:t>
            </w:r>
            <w:r>
              <w:rPr>
                <w:rFonts w:hint="eastAsia"/>
                <w:color w:val="000000"/>
                <w:spacing w:val="0"/>
                <w:kern w:val="0"/>
              </w:rPr>
              <w:t>降噪措施</w:t>
            </w:r>
          </w:p>
          <w:p w14:paraId="3C32B8DA">
            <w:pPr>
              <w:keepNext w:val="0"/>
              <w:keepLines w:val="0"/>
              <w:suppressLineNumbers w:val="0"/>
              <w:autoSpaceDE w:val="0"/>
              <w:autoSpaceDN w:val="0"/>
              <w:adjustRightInd w:val="0"/>
              <w:snapToGrid w:val="0"/>
              <w:spacing w:before="0" w:beforeAutospacing="0" w:after="0" w:afterAutospacing="0"/>
              <w:ind w:left="0" w:right="0" w:firstLine="480" w:firstLineChars="200"/>
              <w:rPr>
                <w:rFonts w:hint="default"/>
                <w:color w:val="000000"/>
                <w:spacing w:val="0"/>
                <w:kern w:val="0"/>
              </w:rPr>
            </w:pPr>
            <w:r>
              <w:rPr>
                <w:rFonts w:hint="eastAsia"/>
                <w:color w:val="000000"/>
                <w:spacing w:val="0"/>
                <w:kern w:val="0"/>
              </w:rPr>
              <w:t>为减少噪声对周边环境的影响，本次提出噪声治理措施如下：</w:t>
            </w:r>
          </w:p>
          <w:p w14:paraId="6C1E3C88">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rPr>
            </w:pPr>
            <w:r>
              <w:rPr>
                <w:rFonts w:hint="eastAsia"/>
                <w:color w:val="000000"/>
                <w:spacing w:val="0"/>
                <w:kern w:val="0"/>
              </w:rPr>
              <w:t>（1）对噪声的防治采用综合治理方法，首先从声源上加以控制，在设备选型上，尽量选用</w:t>
            </w:r>
            <w:r>
              <w:rPr>
                <w:rFonts w:hint="eastAsia"/>
                <w:color w:val="000000"/>
                <w:spacing w:val="0"/>
                <w:kern w:val="0"/>
                <w:lang w:eastAsia="zh-CN"/>
              </w:rPr>
              <w:t>低噪声</w:t>
            </w:r>
            <w:r>
              <w:rPr>
                <w:rFonts w:hint="eastAsia"/>
                <w:color w:val="000000"/>
                <w:spacing w:val="0"/>
                <w:kern w:val="0"/>
              </w:rPr>
              <w:t>设备或振动小的设备；对振动大的设备在主体与基础之间安装减振装置；</w:t>
            </w:r>
          </w:p>
          <w:p w14:paraId="2DBA2B17">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rPr>
            </w:pPr>
            <w:r>
              <w:rPr>
                <w:rFonts w:hint="eastAsia"/>
                <w:color w:val="000000"/>
                <w:spacing w:val="0"/>
                <w:kern w:val="0"/>
              </w:rPr>
              <w:t>（2）生产设备均位于生产车间内，有效降低噪声；</w:t>
            </w:r>
          </w:p>
          <w:p w14:paraId="2EF0ED1D">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rPr>
            </w:pPr>
            <w:r>
              <w:rPr>
                <w:rFonts w:hint="eastAsia"/>
                <w:color w:val="000000"/>
                <w:spacing w:val="0"/>
                <w:kern w:val="0"/>
              </w:rPr>
              <w:t>（3）定期对设备噪声进行检查，掌握其变化规律；加强生产设备的日常维护、更新，确保所有设备尤其是噪声污染防治设备处于正常工况；</w:t>
            </w:r>
          </w:p>
          <w:p w14:paraId="25097578">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rPr>
            </w:pPr>
            <w:r>
              <w:rPr>
                <w:rFonts w:hint="eastAsia"/>
                <w:color w:val="000000"/>
                <w:spacing w:val="0"/>
                <w:kern w:val="0"/>
              </w:rPr>
              <w:t>（4）加强对工作人员的个人防护和保护，如采用隔声耳罩等。</w:t>
            </w:r>
          </w:p>
          <w:p w14:paraId="071AFE33">
            <w:pPr>
              <w:pStyle w:val="6"/>
              <w:suppressLineNumbers w:val="0"/>
              <w:adjustRightInd w:val="0"/>
              <w:snapToGrid w:val="0"/>
              <w:spacing w:before="0" w:beforeAutospacing="0" w:after="0" w:afterAutospacing="0"/>
              <w:ind w:left="0" w:right="0" w:firstLine="482" w:firstLineChars="200"/>
              <w:rPr>
                <w:rFonts w:hint="eastAsia" w:eastAsia="宋体"/>
                <w:color w:val="000000"/>
                <w:spacing w:val="0"/>
                <w:kern w:val="0"/>
                <w:lang w:eastAsia="zh-CN"/>
              </w:rPr>
            </w:pPr>
            <w:r>
              <w:rPr>
                <w:rFonts w:hint="eastAsia"/>
                <w:color w:val="000000"/>
                <w:spacing w:val="0"/>
                <w:kern w:val="0"/>
                <w:lang w:val="en-US" w:eastAsia="zh-CN"/>
              </w:rPr>
              <w:t>3.4</w:t>
            </w:r>
            <w:r>
              <w:rPr>
                <w:rFonts w:hint="eastAsia"/>
                <w:color w:val="000000"/>
                <w:spacing w:val="0"/>
                <w:kern w:val="0"/>
              </w:rPr>
              <w:t>噪声</w:t>
            </w:r>
            <w:r>
              <w:rPr>
                <w:rFonts w:hint="eastAsia"/>
                <w:color w:val="000000"/>
                <w:spacing w:val="0"/>
                <w:kern w:val="0"/>
                <w:lang w:val="en-US" w:eastAsia="zh-CN"/>
              </w:rPr>
              <w:t>预测结果</w:t>
            </w:r>
          </w:p>
          <w:p w14:paraId="7E785616">
            <w:pPr>
              <w:pStyle w:val="54"/>
              <w:keepNext w:val="0"/>
              <w:keepLines w:val="0"/>
              <w:suppressLineNumbers w:val="0"/>
              <w:adjustRightInd w:val="0"/>
              <w:snapToGrid w:val="0"/>
              <w:spacing w:before="0" w:beforeAutospacing="0" w:after="0" w:afterAutospacing="0"/>
              <w:ind w:left="0" w:right="0" w:firstLine="480" w:firstLineChars="200"/>
              <w:rPr>
                <w:rFonts w:hint="default" w:eastAsia="宋体"/>
                <w:b/>
                <w:bCs/>
                <w:color w:val="000000"/>
                <w:spacing w:val="0"/>
                <w:kern w:val="0"/>
                <w:sz w:val="21"/>
                <w:szCs w:val="21"/>
                <w:lang w:val="en-US" w:eastAsia="zh-CN"/>
              </w:rPr>
            </w:pPr>
            <w:r>
              <w:rPr>
                <w:rFonts w:hint="eastAsia"/>
                <w:color w:val="000000"/>
                <w:spacing w:val="0"/>
                <w:kern w:val="0"/>
                <w:szCs w:val="24"/>
              </w:rPr>
              <w:t>本项目所有设备均置于</w:t>
            </w:r>
            <w:r>
              <w:rPr>
                <w:rFonts w:hint="eastAsia"/>
                <w:color w:val="000000"/>
                <w:spacing w:val="0"/>
                <w:kern w:val="0"/>
                <w:szCs w:val="24"/>
                <w:lang w:val="en-US" w:eastAsia="zh-CN"/>
              </w:rPr>
              <w:t>厂房</w:t>
            </w:r>
            <w:r>
              <w:rPr>
                <w:rFonts w:hint="eastAsia"/>
                <w:color w:val="000000"/>
                <w:spacing w:val="0"/>
                <w:kern w:val="0"/>
                <w:szCs w:val="24"/>
              </w:rPr>
              <w:t>内，采用基础减振，厂房门窗隔音及距离衰减等措施治理后，预测结果见表</w:t>
            </w:r>
            <w:r>
              <w:rPr>
                <w:rFonts w:hint="eastAsia"/>
                <w:color w:val="000000"/>
                <w:spacing w:val="0"/>
                <w:kern w:val="0"/>
                <w:szCs w:val="24"/>
                <w:lang w:val="en-US" w:eastAsia="zh-CN"/>
              </w:rPr>
              <w:t>4-8</w:t>
            </w:r>
            <w:r>
              <w:rPr>
                <w:rFonts w:hint="eastAsia"/>
                <w:color w:val="000000"/>
                <w:spacing w:val="0"/>
                <w:kern w:val="0"/>
                <w:szCs w:val="24"/>
              </w:rPr>
              <w:t>。</w:t>
            </w:r>
          </w:p>
          <w:p w14:paraId="6340C5E1">
            <w:pPr>
              <w:keepNext w:val="0"/>
              <w:keepLines w:val="0"/>
              <w:suppressLineNumbers w:val="0"/>
              <w:adjustRightInd w:val="0"/>
              <w:snapToGrid w:val="0"/>
              <w:spacing w:before="0" w:beforeAutospacing="0" w:after="0" w:afterAutospacing="0" w:line="240" w:lineRule="auto"/>
              <w:ind w:left="0" w:right="0" w:firstLine="422" w:firstLineChars="200"/>
              <w:rPr>
                <w:rFonts w:hint="default"/>
                <w:b/>
                <w:bCs/>
                <w:color w:val="000000"/>
                <w:spacing w:val="0"/>
                <w:kern w:val="0"/>
                <w:sz w:val="21"/>
                <w:szCs w:val="21"/>
              </w:rPr>
            </w:pPr>
            <w:r>
              <w:rPr>
                <w:rFonts w:hint="default"/>
                <w:b/>
                <w:bCs/>
                <w:color w:val="000000"/>
                <w:spacing w:val="0"/>
                <w:kern w:val="0"/>
                <w:sz w:val="21"/>
                <w:szCs w:val="21"/>
              </w:rPr>
              <w:t>表</w:t>
            </w:r>
            <w:r>
              <w:rPr>
                <w:rFonts w:hint="eastAsia"/>
                <w:b/>
                <w:bCs/>
                <w:color w:val="000000"/>
                <w:spacing w:val="0"/>
                <w:kern w:val="0"/>
                <w:sz w:val="21"/>
                <w:szCs w:val="21"/>
                <w:lang w:val="en-US" w:eastAsia="zh-CN"/>
              </w:rPr>
              <w:t>4-8</w:t>
            </w:r>
            <w:r>
              <w:rPr>
                <w:rFonts w:hint="default"/>
                <w:b/>
                <w:bCs/>
                <w:color w:val="000000"/>
                <w:spacing w:val="0"/>
                <w:kern w:val="0"/>
                <w:sz w:val="21"/>
                <w:szCs w:val="21"/>
              </w:rPr>
              <w:t xml:space="preserve">                   噪声预测结果一览表   </w:t>
            </w:r>
            <w:r>
              <w:rPr>
                <w:rFonts w:hint="eastAsia"/>
                <w:b/>
                <w:bCs/>
                <w:color w:val="000000"/>
                <w:spacing w:val="0"/>
                <w:kern w:val="0"/>
                <w:sz w:val="21"/>
                <w:szCs w:val="21"/>
              </w:rPr>
              <w:t xml:space="preserve">         </w:t>
            </w:r>
            <w:r>
              <w:rPr>
                <w:rFonts w:hint="default"/>
                <w:b/>
                <w:bCs/>
                <w:color w:val="000000"/>
                <w:spacing w:val="0"/>
                <w:kern w:val="0"/>
                <w:sz w:val="21"/>
                <w:szCs w:val="21"/>
              </w:rPr>
              <w:t xml:space="preserve">  单位：dB（A）</w:t>
            </w:r>
          </w:p>
          <w:tbl>
            <w:tblPr>
              <w:tblStyle w:val="35"/>
              <w:tblW w:w="81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8"/>
              <w:gridCol w:w="1034"/>
              <w:gridCol w:w="735"/>
              <w:gridCol w:w="824"/>
              <w:gridCol w:w="838"/>
              <w:gridCol w:w="1119"/>
              <w:gridCol w:w="1048"/>
              <w:gridCol w:w="784"/>
            </w:tblGrid>
            <w:tr w14:paraId="131A09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14:paraId="1B479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预测方位</w:t>
                  </w:r>
                </w:p>
              </w:tc>
              <w:tc>
                <w:tcPr>
                  <w:tcW w:w="1590" w:type="pct"/>
                  <w:gridSpan w:val="3"/>
                  <w:tcBorders>
                    <w:tl2br w:val="nil"/>
                    <w:tr2bl w:val="nil"/>
                  </w:tcBorders>
                  <w:shd w:val="clear" w:color="auto" w:fill="auto"/>
                  <w:vAlign w:val="center"/>
                </w:tcPr>
                <w:p w14:paraId="38C00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最大值点</w:t>
                  </w:r>
                  <w:r>
                    <w:rPr>
                      <w:rFonts w:hint="default" w:ascii="Times New Roman" w:hAnsi="Times New Roman" w:eastAsia="宋体" w:cs="Times New Roman"/>
                      <w:b w:val="0"/>
                      <w:bCs/>
                      <w:sz w:val="21"/>
                      <w:szCs w:val="21"/>
                    </w:rPr>
                    <w:t>空间相对位置/m</w:t>
                  </w:r>
                </w:p>
              </w:tc>
              <w:tc>
                <w:tcPr>
                  <w:tcW w:w="514" w:type="pct"/>
                  <w:vMerge w:val="restart"/>
                  <w:tcBorders>
                    <w:tl2br w:val="nil"/>
                    <w:tr2bl w:val="nil"/>
                  </w:tcBorders>
                  <w:shd w:val="clear" w:color="auto" w:fill="auto"/>
                  <w:vAlign w:val="center"/>
                </w:tcPr>
                <w:p w14:paraId="0890B9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时段</w:t>
                  </w:r>
                </w:p>
              </w:tc>
              <w:tc>
                <w:tcPr>
                  <w:tcW w:w="686" w:type="pct"/>
                  <w:vMerge w:val="restart"/>
                  <w:tcBorders>
                    <w:tl2br w:val="nil"/>
                    <w:tr2bl w:val="nil"/>
                  </w:tcBorders>
                  <w:shd w:val="clear" w:color="auto" w:fill="auto"/>
                  <w:vAlign w:val="center"/>
                </w:tcPr>
                <w:p w14:paraId="118AC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贡献值</w:t>
                  </w:r>
                  <w:r>
                    <w:rPr>
                      <w:rFonts w:hint="default" w:ascii="Times New Roman" w:hAnsi="Times New Roman" w:eastAsia="宋体" w:cs="Times New Roman"/>
                      <w:b w:val="0"/>
                      <w:bCs w:val="0"/>
                      <w:sz w:val="21"/>
                      <w:szCs w:val="21"/>
                    </w:rPr>
                    <w:t>dB</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A</w:t>
                  </w:r>
                  <w:r>
                    <w:rPr>
                      <w:rFonts w:hint="default" w:ascii="Times New Roman" w:hAnsi="Times New Roman" w:eastAsia="宋体" w:cs="Times New Roman"/>
                      <w:b w:val="0"/>
                      <w:bCs w:val="0"/>
                      <w:sz w:val="21"/>
                      <w:szCs w:val="21"/>
                      <w:lang w:eastAsia="zh-CN"/>
                    </w:rPr>
                    <w:t>）</w:t>
                  </w:r>
                </w:p>
              </w:tc>
              <w:tc>
                <w:tcPr>
                  <w:tcW w:w="642" w:type="pct"/>
                  <w:vMerge w:val="restart"/>
                  <w:tcBorders>
                    <w:tl2br w:val="nil"/>
                    <w:tr2bl w:val="nil"/>
                  </w:tcBorders>
                  <w:shd w:val="clear" w:color="auto" w:fill="auto"/>
                  <w:vAlign w:val="center"/>
                </w:tcPr>
                <w:p w14:paraId="74683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标准限值</w:t>
                  </w:r>
                </w:p>
              </w:tc>
              <w:tc>
                <w:tcPr>
                  <w:tcW w:w="480" w:type="pct"/>
                  <w:vMerge w:val="restart"/>
                  <w:tcBorders>
                    <w:tl2br w:val="nil"/>
                    <w:tr2bl w:val="nil"/>
                  </w:tcBorders>
                  <w:shd w:val="clear" w:color="auto" w:fill="auto"/>
                  <w:vAlign w:val="center"/>
                </w:tcPr>
                <w:p w14:paraId="42B87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达标情况</w:t>
                  </w:r>
                </w:p>
              </w:tc>
            </w:tr>
            <w:tr w14:paraId="5E7F9C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084" w:type="pct"/>
                  <w:vMerge w:val="continue"/>
                  <w:tcBorders>
                    <w:tl2br w:val="nil"/>
                    <w:tr2bl w:val="nil"/>
                  </w:tcBorders>
                  <w:shd w:val="clear" w:color="auto" w:fill="auto"/>
                  <w:vAlign w:val="center"/>
                </w:tcPr>
                <w:p w14:paraId="0FA3F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634" w:type="pct"/>
                  <w:tcBorders>
                    <w:tl2br w:val="nil"/>
                    <w:tr2bl w:val="nil"/>
                  </w:tcBorders>
                  <w:shd w:val="clear" w:color="auto" w:fill="auto"/>
                  <w:vAlign w:val="center"/>
                </w:tcPr>
                <w:p w14:paraId="5A639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X</w:t>
                  </w:r>
                </w:p>
              </w:tc>
              <w:tc>
                <w:tcPr>
                  <w:tcW w:w="450" w:type="pct"/>
                  <w:tcBorders>
                    <w:tl2br w:val="nil"/>
                    <w:tr2bl w:val="nil"/>
                  </w:tcBorders>
                  <w:shd w:val="clear" w:color="auto" w:fill="auto"/>
                  <w:vAlign w:val="center"/>
                </w:tcPr>
                <w:p w14:paraId="5AE2B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Y</w:t>
                  </w:r>
                </w:p>
              </w:tc>
              <w:tc>
                <w:tcPr>
                  <w:tcW w:w="505" w:type="pct"/>
                  <w:tcBorders>
                    <w:tl2br w:val="nil"/>
                    <w:tr2bl w:val="nil"/>
                  </w:tcBorders>
                  <w:shd w:val="clear" w:color="auto" w:fill="auto"/>
                  <w:vAlign w:val="center"/>
                </w:tcPr>
                <w:p w14:paraId="51EB5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Z</w:t>
                  </w:r>
                </w:p>
              </w:tc>
              <w:tc>
                <w:tcPr>
                  <w:tcW w:w="514" w:type="pct"/>
                  <w:vMerge w:val="continue"/>
                  <w:tcBorders>
                    <w:tl2br w:val="nil"/>
                    <w:tr2bl w:val="nil"/>
                  </w:tcBorders>
                  <w:shd w:val="clear" w:color="auto" w:fill="auto"/>
                  <w:vAlign w:val="center"/>
                </w:tcPr>
                <w:p w14:paraId="76B3E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686" w:type="pct"/>
                  <w:vMerge w:val="continue"/>
                  <w:tcBorders>
                    <w:tl2br w:val="nil"/>
                    <w:tr2bl w:val="nil"/>
                  </w:tcBorders>
                  <w:shd w:val="clear" w:color="auto" w:fill="auto"/>
                  <w:vAlign w:val="center"/>
                </w:tcPr>
                <w:p w14:paraId="2D625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642" w:type="pct"/>
                  <w:vMerge w:val="continue"/>
                  <w:tcBorders>
                    <w:tl2br w:val="nil"/>
                    <w:tr2bl w:val="nil"/>
                  </w:tcBorders>
                  <w:shd w:val="clear" w:color="auto" w:fill="auto"/>
                  <w:vAlign w:val="center"/>
                </w:tcPr>
                <w:p w14:paraId="52F46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c>
                <w:tcPr>
                  <w:tcW w:w="480" w:type="pct"/>
                  <w:vMerge w:val="continue"/>
                  <w:tcBorders>
                    <w:tl2br w:val="nil"/>
                    <w:tr2bl w:val="nil"/>
                  </w:tcBorders>
                  <w:shd w:val="clear" w:color="auto" w:fill="auto"/>
                  <w:vAlign w:val="center"/>
                </w:tcPr>
                <w:p w14:paraId="709C1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p>
              </w:tc>
            </w:tr>
            <w:tr w14:paraId="5B10E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14:paraId="2C780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东侧</w:t>
                  </w:r>
                </w:p>
              </w:tc>
              <w:tc>
                <w:tcPr>
                  <w:tcW w:w="634" w:type="pct"/>
                  <w:tcBorders>
                    <w:tl2br w:val="nil"/>
                    <w:tr2bl w:val="nil"/>
                  </w:tcBorders>
                  <w:shd w:val="clear" w:color="auto" w:fill="auto"/>
                  <w:vAlign w:val="center"/>
                </w:tcPr>
                <w:p w14:paraId="79001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74.9</w:t>
                  </w:r>
                </w:p>
              </w:tc>
              <w:tc>
                <w:tcPr>
                  <w:tcW w:w="450" w:type="pct"/>
                  <w:tcBorders>
                    <w:tl2br w:val="nil"/>
                    <w:tr2bl w:val="nil"/>
                  </w:tcBorders>
                  <w:shd w:val="clear" w:color="auto" w:fill="auto"/>
                  <w:vAlign w:val="center"/>
                </w:tcPr>
                <w:p w14:paraId="50DC9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52.2</w:t>
                  </w:r>
                </w:p>
              </w:tc>
              <w:tc>
                <w:tcPr>
                  <w:tcW w:w="505" w:type="pct"/>
                  <w:tcBorders>
                    <w:tl2br w:val="nil"/>
                    <w:tr2bl w:val="nil"/>
                  </w:tcBorders>
                  <w:shd w:val="clear" w:color="auto" w:fill="auto"/>
                  <w:vAlign w:val="center"/>
                </w:tcPr>
                <w:p w14:paraId="6EF0B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00428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686" w:type="pct"/>
                  <w:tcBorders>
                    <w:tl2br w:val="nil"/>
                    <w:tr2bl w:val="nil"/>
                  </w:tcBorders>
                  <w:shd w:val="clear" w:color="auto" w:fill="auto"/>
                  <w:vAlign w:val="center"/>
                </w:tcPr>
                <w:p w14:paraId="305B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47.5</w:t>
                  </w:r>
                </w:p>
              </w:tc>
              <w:tc>
                <w:tcPr>
                  <w:tcW w:w="642" w:type="pct"/>
                  <w:tcBorders>
                    <w:tl2br w:val="nil"/>
                    <w:tr2bl w:val="nil"/>
                  </w:tcBorders>
                  <w:shd w:val="clear" w:color="auto" w:fill="auto"/>
                  <w:vAlign w:val="center"/>
                </w:tcPr>
                <w:p w14:paraId="2BCB2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65</w:t>
                  </w:r>
                </w:p>
              </w:tc>
              <w:tc>
                <w:tcPr>
                  <w:tcW w:w="480" w:type="pct"/>
                  <w:tcBorders>
                    <w:tl2br w:val="nil"/>
                    <w:tr2bl w:val="nil"/>
                  </w:tcBorders>
                  <w:shd w:val="clear" w:color="auto" w:fill="auto"/>
                  <w:vAlign w:val="center"/>
                </w:tcPr>
                <w:p w14:paraId="74107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14:paraId="52B23C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continue"/>
                  <w:tcBorders>
                    <w:tl2br w:val="nil"/>
                    <w:tr2bl w:val="nil"/>
                  </w:tcBorders>
                  <w:shd w:val="clear" w:color="auto" w:fill="auto"/>
                  <w:vAlign w:val="center"/>
                </w:tcPr>
                <w:p w14:paraId="7DD5F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634" w:type="pct"/>
                  <w:tcBorders>
                    <w:tl2br w:val="nil"/>
                    <w:tr2bl w:val="nil"/>
                  </w:tcBorders>
                  <w:shd w:val="clear" w:color="auto" w:fill="auto"/>
                  <w:vAlign w:val="center"/>
                </w:tcPr>
                <w:p w14:paraId="3ED32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74.9</w:t>
                  </w:r>
                </w:p>
              </w:tc>
              <w:tc>
                <w:tcPr>
                  <w:tcW w:w="450" w:type="pct"/>
                  <w:tcBorders>
                    <w:tl2br w:val="nil"/>
                    <w:tr2bl w:val="nil"/>
                  </w:tcBorders>
                  <w:shd w:val="clear" w:color="auto" w:fill="auto"/>
                  <w:vAlign w:val="center"/>
                </w:tcPr>
                <w:p w14:paraId="005C5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52.2</w:t>
                  </w:r>
                </w:p>
              </w:tc>
              <w:tc>
                <w:tcPr>
                  <w:tcW w:w="505" w:type="pct"/>
                  <w:tcBorders>
                    <w:tl2br w:val="nil"/>
                    <w:tr2bl w:val="nil"/>
                  </w:tcBorders>
                  <w:shd w:val="clear" w:color="auto" w:fill="auto"/>
                  <w:vAlign w:val="center"/>
                </w:tcPr>
                <w:p w14:paraId="01E7C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0A32C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686" w:type="pct"/>
                  <w:tcBorders>
                    <w:tl2br w:val="nil"/>
                    <w:tr2bl w:val="nil"/>
                  </w:tcBorders>
                  <w:shd w:val="clear" w:color="auto" w:fill="auto"/>
                  <w:vAlign w:val="center"/>
                </w:tcPr>
                <w:p w14:paraId="33B41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47.5</w:t>
                  </w:r>
                </w:p>
              </w:tc>
              <w:tc>
                <w:tcPr>
                  <w:tcW w:w="642" w:type="pct"/>
                  <w:tcBorders>
                    <w:tl2br w:val="nil"/>
                    <w:tr2bl w:val="nil"/>
                  </w:tcBorders>
                  <w:shd w:val="clear" w:color="auto" w:fill="auto"/>
                  <w:vAlign w:val="center"/>
                </w:tcPr>
                <w:p w14:paraId="54F36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55</w:t>
                  </w:r>
                </w:p>
              </w:tc>
              <w:tc>
                <w:tcPr>
                  <w:tcW w:w="480" w:type="pct"/>
                  <w:tcBorders>
                    <w:tl2br w:val="nil"/>
                    <w:tr2bl w:val="nil"/>
                  </w:tcBorders>
                  <w:shd w:val="clear" w:color="auto" w:fill="auto"/>
                  <w:vAlign w:val="center"/>
                </w:tcPr>
                <w:p w14:paraId="31F16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6743F2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14:paraId="31967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南侧</w:t>
                  </w:r>
                </w:p>
              </w:tc>
              <w:tc>
                <w:tcPr>
                  <w:tcW w:w="634" w:type="pct"/>
                  <w:tcBorders>
                    <w:tl2br w:val="nil"/>
                    <w:tr2bl w:val="nil"/>
                  </w:tcBorders>
                  <w:shd w:val="clear" w:color="auto" w:fill="auto"/>
                  <w:vAlign w:val="center"/>
                </w:tcPr>
                <w:p w14:paraId="07D9A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w:t>
                  </w:r>
                </w:p>
              </w:tc>
              <w:tc>
                <w:tcPr>
                  <w:tcW w:w="450" w:type="pct"/>
                  <w:tcBorders>
                    <w:tl2br w:val="nil"/>
                    <w:tr2bl w:val="nil"/>
                  </w:tcBorders>
                  <w:shd w:val="clear" w:color="auto" w:fill="auto"/>
                  <w:vAlign w:val="center"/>
                </w:tcPr>
                <w:p w14:paraId="7E807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-102</w:t>
                  </w:r>
                </w:p>
              </w:tc>
              <w:tc>
                <w:tcPr>
                  <w:tcW w:w="505" w:type="pct"/>
                  <w:tcBorders>
                    <w:tl2br w:val="nil"/>
                    <w:tr2bl w:val="nil"/>
                  </w:tcBorders>
                  <w:shd w:val="clear" w:color="auto" w:fill="auto"/>
                  <w:vAlign w:val="center"/>
                </w:tcPr>
                <w:p w14:paraId="25001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67D30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686" w:type="pct"/>
                  <w:tcBorders>
                    <w:tl2br w:val="nil"/>
                    <w:tr2bl w:val="nil"/>
                  </w:tcBorders>
                  <w:shd w:val="clear" w:color="auto" w:fill="auto"/>
                  <w:vAlign w:val="center"/>
                </w:tcPr>
                <w:p w14:paraId="3C8CB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33.4</w:t>
                  </w:r>
                </w:p>
              </w:tc>
              <w:tc>
                <w:tcPr>
                  <w:tcW w:w="642" w:type="pct"/>
                  <w:tcBorders>
                    <w:tl2br w:val="nil"/>
                    <w:tr2bl w:val="nil"/>
                  </w:tcBorders>
                  <w:shd w:val="clear" w:color="auto" w:fill="auto"/>
                  <w:vAlign w:val="center"/>
                </w:tcPr>
                <w:p w14:paraId="18654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65</w:t>
                  </w:r>
                </w:p>
              </w:tc>
              <w:tc>
                <w:tcPr>
                  <w:tcW w:w="480" w:type="pct"/>
                  <w:tcBorders>
                    <w:tl2br w:val="nil"/>
                    <w:tr2bl w:val="nil"/>
                  </w:tcBorders>
                  <w:shd w:val="clear" w:color="auto" w:fill="auto"/>
                  <w:vAlign w:val="center"/>
                </w:tcPr>
                <w:p w14:paraId="1A3D3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14:paraId="4F7103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continue"/>
                  <w:tcBorders>
                    <w:tl2br w:val="nil"/>
                    <w:tr2bl w:val="nil"/>
                  </w:tcBorders>
                  <w:shd w:val="clear" w:color="auto" w:fill="auto"/>
                  <w:vAlign w:val="center"/>
                </w:tcPr>
                <w:p w14:paraId="2D81C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634" w:type="pct"/>
                  <w:tcBorders>
                    <w:tl2br w:val="nil"/>
                    <w:tr2bl w:val="nil"/>
                  </w:tcBorders>
                  <w:shd w:val="clear" w:color="auto" w:fill="auto"/>
                  <w:vAlign w:val="center"/>
                </w:tcPr>
                <w:p w14:paraId="78F5C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50" w:type="pct"/>
                  <w:tcBorders>
                    <w:tl2br w:val="nil"/>
                    <w:tr2bl w:val="nil"/>
                  </w:tcBorders>
                  <w:shd w:val="clear" w:color="auto" w:fill="auto"/>
                  <w:vAlign w:val="center"/>
                </w:tcPr>
                <w:p w14:paraId="58923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w:t>
                  </w:r>
                </w:p>
              </w:tc>
              <w:tc>
                <w:tcPr>
                  <w:tcW w:w="505" w:type="pct"/>
                  <w:tcBorders>
                    <w:tl2br w:val="nil"/>
                    <w:tr2bl w:val="nil"/>
                  </w:tcBorders>
                  <w:shd w:val="clear" w:color="auto" w:fill="auto"/>
                  <w:vAlign w:val="center"/>
                </w:tcPr>
                <w:p w14:paraId="4BA13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13CCE1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686" w:type="pct"/>
                  <w:tcBorders>
                    <w:tl2br w:val="nil"/>
                    <w:tr2bl w:val="nil"/>
                  </w:tcBorders>
                  <w:shd w:val="clear" w:color="auto" w:fill="auto"/>
                  <w:vAlign w:val="center"/>
                </w:tcPr>
                <w:p w14:paraId="6DE00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33.4</w:t>
                  </w:r>
                </w:p>
              </w:tc>
              <w:tc>
                <w:tcPr>
                  <w:tcW w:w="642" w:type="pct"/>
                  <w:tcBorders>
                    <w:tl2br w:val="nil"/>
                    <w:tr2bl w:val="nil"/>
                  </w:tcBorders>
                  <w:shd w:val="clear" w:color="auto" w:fill="auto"/>
                  <w:vAlign w:val="center"/>
                </w:tcPr>
                <w:p w14:paraId="7F17A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55</w:t>
                  </w:r>
                </w:p>
              </w:tc>
              <w:tc>
                <w:tcPr>
                  <w:tcW w:w="480" w:type="pct"/>
                  <w:tcBorders>
                    <w:tl2br w:val="nil"/>
                    <w:tr2bl w:val="nil"/>
                  </w:tcBorders>
                  <w:shd w:val="clear" w:color="auto" w:fill="auto"/>
                  <w:vAlign w:val="center"/>
                </w:tcPr>
                <w:p w14:paraId="13088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79DD0B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14:paraId="42F39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西侧</w:t>
                  </w:r>
                </w:p>
              </w:tc>
              <w:tc>
                <w:tcPr>
                  <w:tcW w:w="634" w:type="pct"/>
                  <w:tcBorders>
                    <w:tl2br w:val="nil"/>
                    <w:tr2bl w:val="nil"/>
                  </w:tcBorders>
                  <w:shd w:val="clear" w:color="auto" w:fill="auto"/>
                  <w:vAlign w:val="center"/>
                </w:tcPr>
                <w:p w14:paraId="563C4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-83.9</w:t>
                  </w:r>
                </w:p>
              </w:tc>
              <w:tc>
                <w:tcPr>
                  <w:tcW w:w="450" w:type="pct"/>
                  <w:tcBorders>
                    <w:tl2br w:val="nil"/>
                    <w:tr2bl w:val="nil"/>
                  </w:tcBorders>
                  <w:shd w:val="clear" w:color="auto" w:fill="auto"/>
                  <w:vAlign w:val="center"/>
                </w:tcPr>
                <w:p w14:paraId="51208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83</w:t>
                  </w:r>
                </w:p>
              </w:tc>
              <w:tc>
                <w:tcPr>
                  <w:tcW w:w="505" w:type="pct"/>
                  <w:tcBorders>
                    <w:tl2br w:val="nil"/>
                    <w:tr2bl w:val="nil"/>
                  </w:tcBorders>
                  <w:shd w:val="clear" w:color="auto" w:fill="auto"/>
                  <w:vAlign w:val="center"/>
                </w:tcPr>
                <w:p w14:paraId="3FCCA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203AC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686" w:type="pct"/>
                  <w:tcBorders>
                    <w:tl2br w:val="nil"/>
                    <w:tr2bl w:val="nil"/>
                  </w:tcBorders>
                  <w:shd w:val="clear" w:color="auto" w:fill="auto"/>
                  <w:vAlign w:val="center"/>
                </w:tcPr>
                <w:p w14:paraId="0AD2A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36</w:t>
                  </w:r>
                </w:p>
              </w:tc>
              <w:tc>
                <w:tcPr>
                  <w:tcW w:w="642" w:type="pct"/>
                  <w:tcBorders>
                    <w:tl2br w:val="nil"/>
                    <w:tr2bl w:val="nil"/>
                  </w:tcBorders>
                  <w:shd w:val="clear" w:color="auto" w:fill="auto"/>
                  <w:vAlign w:val="center"/>
                </w:tcPr>
                <w:p w14:paraId="2E39B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65</w:t>
                  </w:r>
                </w:p>
              </w:tc>
              <w:tc>
                <w:tcPr>
                  <w:tcW w:w="480" w:type="pct"/>
                  <w:tcBorders>
                    <w:tl2br w:val="nil"/>
                    <w:tr2bl w:val="nil"/>
                  </w:tcBorders>
                  <w:shd w:val="clear" w:color="auto" w:fill="auto"/>
                  <w:vAlign w:val="center"/>
                </w:tcPr>
                <w:p w14:paraId="5279B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14:paraId="38CFA0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84" w:type="pct"/>
                  <w:vMerge w:val="continue"/>
                  <w:tcBorders>
                    <w:tl2br w:val="nil"/>
                    <w:tr2bl w:val="nil"/>
                  </w:tcBorders>
                  <w:shd w:val="clear" w:color="auto" w:fill="auto"/>
                  <w:vAlign w:val="center"/>
                </w:tcPr>
                <w:p w14:paraId="0E0B8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634" w:type="pct"/>
                  <w:tcBorders>
                    <w:tl2br w:val="nil"/>
                    <w:tr2bl w:val="nil"/>
                  </w:tcBorders>
                  <w:shd w:val="clear" w:color="auto" w:fill="auto"/>
                  <w:vAlign w:val="center"/>
                </w:tcPr>
                <w:p w14:paraId="075E9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-83.9</w:t>
                  </w:r>
                </w:p>
              </w:tc>
              <w:tc>
                <w:tcPr>
                  <w:tcW w:w="450" w:type="pct"/>
                  <w:tcBorders>
                    <w:tl2br w:val="nil"/>
                    <w:tr2bl w:val="nil"/>
                  </w:tcBorders>
                  <w:shd w:val="clear" w:color="auto" w:fill="auto"/>
                  <w:vAlign w:val="center"/>
                </w:tcPr>
                <w:p w14:paraId="3FD8C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w:t>
                  </w:r>
                </w:p>
              </w:tc>
              <w:tc>
                <w:tcPr>
                  <w:tcW w:w="505" w:type="pct"/>
                  <w:tcBorders>
                    <w:tl2br w:val="nil"/>
                    <w:tr2bl w:val="nil"/>
                  </w:tcBorders>
                  <w:shd w:val="clear" w:color="auto" w:fill="auto"/>
                  <w:vAlign w:val="center"/>
                </w:tcPr>
                <w:p w14:paraId="77A56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2983D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686" w:type="pct"/>
                  <w:tcBorders>
                    <w:tl2br w:val="nil"/>
                    <w:tr2bl w:val="nil"/>
                  </w:tcBorders>
                  <w:shd w:val="clear" w:color="auto" w:fill="auto"/>
                  <w:vAlign w:val="center"/>
                </w:tcPr>
                <w:p w14:paraId="6CFE6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36</w:t>
                  </w:r>
                </w:p>
              </w:tc>
              <w:tc>
                <w:tcPr>
                  <w:tcW w:w="642" w:type="pct"/>
                  <w:tcBorders>
                    <w:tl2br w:val="nil"/>
                    <w:tr2bl w:val="nil"/>
                  </w:tcBorders>
                  <w:shd w:val="clear" w:color="auto" w:fill="auto"/>
                  <w:vAlign w:val="center"/>
                </w:tcPr>
                <w:p w14:paraId="68677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55</w:t>
                  </w:r>
                </w:p>
              </w:tc>
              <w:tc>
                <w:tcPr>
                  <w:tcW w:w="480" w:type="pct"/>
                  <w:tcBorders>
                    <w:tl2br w:val="nil"/>
                    <w:tr2bl w:val="nil"/>
                  </w:tcBorders>
                  <w:shd w:val="clear" w:color="auto" w:fill="auto"/>
                  <w:vAlign w:val="center"/>
                </w:tcPr>
                <w:p w14:paraId="34879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14:paraId="7009C4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14:paraId="453AC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北侧</w:t>
                  </w:r>
                </w:p>
              </w:tc>
              <w:tc>
                <w:tcPr>
                  <w:tcW w:w="634" w:type="pct"/>
                  <w:tcBorders>
                    <w:tl2br w:val="nil"/>
                    <w:tr2bl w:val="nil"/>
                  </w:tcBorders>
                  <w:shd w:val="clear" w:color="auto" w:fill="auto"/>
                  <w:vAlign w:val="center"/>
                </w:tcPr>
                <w:p w14:paraId="74F3D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20.9</w:t>
                  </w:r>
                </w:p>
              </w:tc>
              <w:tc>
                <w:tcPr>
                  <w:tcW w:w="450" w:type="pct"/>
                  <w:tcBorders>
                    <w:tl2br w:val="nil"/>
                    <w:tr2bl w:val="nil"/>
                  </w:tcBorders>
                  <w:shd w:val="clear" w:color="auto" w:fill="auto"/>
                  <w:vAlign w:val="center"/>
                </w:tcPr>
                <w:p w14:paraId="1DB45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104.7</w:t>
                  </w:r>
                </w:p>
              </w:tc>
              <w:tc>
                <w:tcPr>
                  <w:tcW w:w="505" w:type="pct"/>
                  <w:tcBorders>
                    <w:tl2br w:val="nil"/>
                    <w:tr2bl w:val="nil"/>
                  </w:tcBorders>
                  <w:shd w:val="clear" w:color="auto" w:fill="auto"/>
                  <w:vAlign w:val="center"/>
                </w:tcPr>
                <w:p w14:paraId="5AB30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240A6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686" w:type="pct"/>
                  <w:tcBorders>
                    <w:tl2br w:val="nil"/>
                    <w:tr2bl w:val="nil"/>
                  </w:tcBorders>
                  <w:shd w:val="clear" w:color="auto" w:fill="auto"/>
                  <w:vAlign w:val="center"/>
                </w:tcPr>
                <w:p w14:paraId="6A857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43.9</w:t>
                  </w:r>
                </w:p>
              </w:tc>
              <w:tc>
                <w:tcPr>
                  <w:tcW w:w="642" w:type="pct"/>
                  <w:tcBorders>
                    <w:tl2br w:val="nil"/>
                    <w:tr2bl w:val="nil"/>
                  </w:tcBorders>
                  <w:shd w:val="clear" w:color="auto" w:fill="auto"/>
                  <w:vAlign w:val="center"/>
                </w:tcPr>
                <w:p w14:paraId="0F437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65</w:t>
                  </w:r>
                </w:p>
              </w:tc>
              <w:tc>
                <w:tcPr>
                  <w:tcW w:w="480" w:type="pct"/>
                  <w:tcBorders>
                    <w:tl2br w:val="nil"/>
                    <w:tr2bl w:val="nil"/>
                  </w:tcBorders>
                  <w:shd w:val="clear" w:color="auto" w:fill="auto"/>
                  <w:vAlign w:val="center"/>
                </w:tcPr>
                <w:p w14:paraId="107A7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14:paraId="192CE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vMerge w:val="continue"/>
                  <w:tcBorders>
                    <w:tl2br w:val="nil"/>
                    <w:tr2bl w:val="nil"/>
                  </w:tcBorders>
                  <w:shd w:val="clear" w:color="auto" w:fill="auto"/>
                  <w:vAlign w:val="center"/>
                </w:tcPr>
                <w:p w14:paraId="11FF8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c>
                <w:tcPr>
                  <w:tcW w:w="634" w:type="pct"/>
                  <w:tcBorders>
                    <w:tl2br w:val="nil"/>
                    <w:tr2bl w:val="nil"/>
                  </w:tcBorders>
                  <w:shd w:val="clear" w:color="auto" w:fill="auto"/>
                  <w:vAlign w:val="center"/>
                </w:tcPr>
                <w:p w14:paraId="75B4F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20.9</w:t>
                  </w:r>
                </w:p>
              </w:tc>
              <w:tc>
                <w:tcPr>
                  <w:tcW w:w="450" w:type="pct"/>
                  <w:tcBorders>
                    <w:tl2br w:val="nil"/>
                    <w:tr2bl w:val="nil"/>
                  </w:tcBorders>
                  <w:shd w:val="clear" w:color="auto" w:fill="auto"/>
                  <w:vAlign w:val="center"/>
                </w:tcPr>
                <w:p w14:paraId="4A0CA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104.7</w:t>
                  </w:r>
                </w:p>
              </w:tc>
              <w:tc>
                <w:tcPr>
                  <w:tcW w:w="505" w:type="pct"/>
                  <w:tcBorders>
                    <w:tl2br w:val="nil"/>
                    <w:tr2bl w:val="nil"/>
                  </w:tcBorders>
                  <w:shd w:val="clear" w:color="auto" w:fill="auto"/>
                  <w:vAlign w:val="center"/>
                </w:tcPr>
                <w:p w14:paraId="4F63D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14" w:type="pct"/>
                  <w:tcBorders>
                    <w:tl2br w:val="nil"/>
                    <w:tr2bl w:val="nil"/>
                  </w:tcBorders>
                  <w:shd w:val="clear" w:color="auto" w:fill="auto"/>
                  <w:vAlign w:val="center"/>
                </w:tcPr>
                <w:p w14:paraId="2ACFE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686" w:type="pct"/>
                  <w:tcBorders>
                    <w:tl2br w:val="nil"/>
                    <w:tr2bl w:val="nil"/>
                  </w:tcBorders>
                  <w:shd w:val="clear" w:color="auto" w:fill="auto"/>
                  <w:vAlign w:val="center"/>
                </w:tcPr>
                <w:p w14:paraId="5DA2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43.9</w:t>
                  </w:r>
                </w:p>
              </w:tc>
              <w:tc>
                <w:tcPr>
                  <w:tcW w:w="642" w:type="pct"/>
                  <w:tcBorders>
                    <w:tl2br w:val="nil"/>
                    <w:tr2bl w:val="nil"/>
                  </w:tcBorders>
                  <w:shd w:val="clear" w:color="auto" w:fill="auto"/>
                  <w:vAlign w:val="center"/>
                </w:tcPr>
                <w:p w14:paraId="1580A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55</w:t>
                  </w:r>
                </w:p>
              </w:tc>
              <w:tc>
                <w:tcPr>
                  <w:tcW w:w="480" w:type="pct"/>
                  <w:tcBorders>
                    <w:tl2br w:val="nil"/>
                    <w:tr2bl w:val="nil"/>
                  </w:tcBorders>
                  <w:shd w:val="clear" w:color="auto" w:fill="auto"/>
                  <w:vAlign w:val="center"/>
                </w:tcPr>
                <w:p w14:paraId="07D6A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14:paraId="389E0E24">
            <w:pPr>
              <w:keepNext w:val="0"/>
              <w:keepLines w:val="0"/>
              <w:suppressLineNumbers w:val="0"/>
              <w:autoSpaceDE w:val="0"/>
              <w:autoSpaceDN w:val="0"/>
              <w:adjustRightInd w:val="0"/>
              <w:snapToGrid w:val="0"/>
              <w:spacing w:before="0" w:beforeAutospacing="0" w:after="0" w:afterAutospacing="0"/>
              <w:ind w:left="0" w:right="0" w:firstLine="456" w:firstLineChars="200"/>
              <w:rPr>
                <w:rFonts w:hint="eastAsia"/>
                <w:color w:val="000000"/>
                <w:spacing w:val="-6"/>
                <w:kern w:val="0"/>
                <w:sz w:val="24"/>
              </w:rPr>
            </w:pPr>
            <w:r>
              <w:rPr>
                <w:rFonts w:hint="eastAsia"/>
                <w:color w:val="000000"/>
                <w:spacing w:val="-6"/>
                <w:kern w:val="0"/>
                <w:sz w:val="24"/>
                <w:lang w:eastAsia="zh-CN"/>
              </w:rPr>
              <w:t>由上表可知，正常工况下</w:t>
            </w:r>
            <w:r>
              <w:rPr>
                <w:rFonts w:hint="eastAsia"/>
                <w:color w:val="000000"/>
                <w:spacing w:val="-6"/>
                <w:kern w:val="0"/>
                <w:sz w:val="24"/>
              </w:rPr>
              <w:t>，厂界噪声满足《工业企业厂界环境噪声排放标准》（</w:t>
            </w:r>
            <w:r>
              <w:rPr>
                <w:rFonts w:hint="default"/>
                <w:color w:val="000000"/>
                <w:spacing w:val="-6"/>
                <w:kern w:val="0"/>
                <w:sz w:val="24"/>
              </w:rPr>
              <w:t>GB12348-2008</w:t>
            </w:r>
            <w:r>
              <w:rPr>
                <w:rFonts w:hint="eastAsia"/>
                <w:color w:val="000000"/>
                <w:spacing w:val="-6"/>
                <w:kern w:val="0"/>
                <w:sz w:val="24"/>
              </w:rPr>
              <w:t>）</w:t>
            </w:r>
            <w:r>
              <w:rPr>
                <w:rFonts w:hint="default"/>
                <w:color w:val="000000"/>
                <w:spacing w:val="-6"/>
                <w:kern w:val="0"/>
                <w:sz w:val="24"/>
              </w:rPr>
              <w:t>3</w:t>
            </w:r>
            <w:r>
              <w:rPr>
                <w:rFonts w:hint="eastAsia"/>
                <w:color w:val="000000"/>
                <w:spacing w:val="-6"/>
                <w:kern w:val="0"/>
                <w:sz w:val="24"/>
              </w:rPr>
              <w:t>类区标准中（昼间</w:t>
            </w:r>
            <w:r>
              <w:rPr>
                <w:rFonts w:hint="default"/>
                <w:color w:val="000000"/>
                <w:spacing w:val="-6"/>
                <w:kern w:val="0"/>
                <w:sz w:val="24"/>
              </w:rPr>
              <w:t>65dB</w:t>
            </w:r>
            <w:r>
              <w:rPr>
                <w:rFonts w:hint="eastAsia"/>
                <w:color w:val="000000"/>
                <w:spacing w:val="-6"/>
                <w:kern w:val="0"/>
                <w:sz w:val="24"/>
                <w:lang w:eastAsia="zh-CN"/>
              </w:rPr>
              <w:t>（</w:t>
            </w:r>
            <w:r>
              <w:rPr>
                <w:rFonts w:hint="default"/>
                <w:color w:val="000000"/>
                <w:spacing w:val="-6"/>
                <w:kern w:val="0"/>
                <w:sz w:val="24"/>
              </w:rPr>
              <w:t>A</w:t>
            </w:r>
            <w:r>
              <w:rPr>
                <w:rFonts w:hint="eastAsia"/>
                <w:color w:val="000000"/>
                <w:spacing w:val="-6"/>
                <w:kern w:val="0"/>
                <w:sz w:val="24"/>
                <w:lang w:eastAsia="zh-CN"/>
              </w:rPr>
              <w:t>），</w:t>
            </w:r>
            <w:r>
              <w:rPr>
                <w:rFonts w:hint="eastAsia"/>
                <w:color w:val="000000"/>
                <w:spacing w:val="-6"/>
                <w:kern w:val="0"/>
                <w:sz w:val="24"/>
                <w:lang w:val="en-US" w:eastAsia="zh-CN"/>
              </w:rPr>
              <w:t>夜间55dB（A）</w:t>
            </w:r>
            <w:r>
              <w:rPr>
                <w:rFonts w:hint="eastAsia"/>
                <w:color w:val="000000"/>
                <w:spacing w:val="-6"/>
                <w:kern w:val="0"/>
                <w:sz w:val="24"/>
              </w:rPr>
              <w:t>）的排放要求。</w:t>
            </w:r>
          </w:p>
          <w:p w14:paraId="7DF18274">
            <w:pPr>
              <w:keepNext w:val="0"/>
              <w:keepLines w:val="0"/>
              <w:suppressLineNumbers w:val="0"/>
              <w:spacing w:before="0" w:beforeAutospacing="0" w:after="0" w:afterAutospacing="0"/>
              <w:ind w:left="0" w:right="0"/>
              <w:rPr>
                <w:rFonts w:hint="eastAsia"/>
                <w:b/>
                <w:bCs/>
                <w:color w:val="000000"/>
                <w:spacing w:val="0"/>
                <w:kern w:val="0"/>
              </w:rPr>
            </w:pPr>
            <w:r>
              <w:rPr>
                <w:rFonts w:hint="default"/>
                <w:b/>
                <w:bCs/>
                <w:color w:val="000000"/>
                <w:spacing w:val="0"/>
                <w:kern w:val="0"/>
              </w:rPr>
              <w:t>3.</w:t>
            </w:r>
            <w:r>
              <w:rPr>
                <w:rFonts w:hint="eastAsia"/>
                <w:b/>
                <w:bCs/>
                <w:color w:val="000000"/>
                <w:spacing w:val="0"/>
                <w:kern w:val="0"/>
                <w:lang w:val="en-US" w:eastAsia="zh-CN"/>
              </w:rPr>
              <w:t>5</w:t>
            </w:r>
            <w:r>
              <w:rPr>
                <w:rFonts w:hint="eastAsia"/>
                <w:b/>
                <w:bCs/>
                <w:color w:val="000000"/>
                <w:spacing w:val="0"/>
                <w:kern w:val="0"/>
              </w:rPr>
              <w:t>监测计划</w:t>
            </w:r>
          </w:p>
          <w:p w14:paraId="64834031">
            <w:pPr>
              <w:keepNext w:val="0"/>
              <w:keepLines w:val="0"/>
              <w:suppressLineNumbers w:val="0"/>
              <w:autoSpaceDE w:val="0"/>
              <w:autoSpaceDN w:val="0"/>
              <w:adjustRightInd w:val="0"/>
              <w:snapToGrid w:val="0"/>
              <w:spacing w:before="0" w:beforeAutospacing="0" w:after="0" w:afterAutospacing="0"/>
              <w:ind w:left="0" w:right="0" w:firstLine="480" w:firstLineChars="200"/>
              <w:rPr>
                <w:rFonts w:hint="eastAsia"/>
                <w:color w:val="000000"/>
                <w:spacing w:val="0"/>
                <w:kern w:val="0"/>
              </w:rPr>
            </w:pPr>
            <w:r>
              <w:rPr>
                <w:rFonts w:hint="eastAsia"/>
                <w:color w:val="000000"/>
                <w:spacing w:val="0"/>
                <w:kern w:val="0"/>
              </w:rPr>
              <w:t>本项目运营后监测计划如下表</w:t>
            </w:r>
            <w:r>
              <w:rPr>
                <w:rFonts w:hint="eastAsia"/>
                <w:color w:val="000000"/>
                <w:spacing w:val="0"/>
                <w:kern w:val="0"/>
                <w:lang w:val="en-US" w:eastAsia="zh-CN"/>
              </w:rPr>
              <w:t>4-9</w:t>
            </w:r>
            <w:r>
              <w:rPr>
                <w:rFonts w:hint="eastAsia"/>
                <w:color w:val="000000"/>
                <w:spacing w:val="0"/>
                <w:kern w:val="0"/>
              </w:rPr>
              <w:t>：</w:t>
            </w:r>
          </w:p>
          <w:p w14:paraId="1ADED7B9">
            <w:pPr>
              <w:pStyle w:val="8"/>
              <w:keepNext w:val="0"/>
              <w:keepLines w:val="0"/>
              <w:suppressLineNumbers w:val="0"/>
              <w:adjustRightInd w:val="0"/>
              <w:snapToGrid w:val="0"/>
              <w:spacing w:before="0" w:beforeAutospacing="0" w:after="0" w:afterAutospacing="0"/>
              <w:ind w:left="0" w:right="0" w:firstLine="422"/>
              <w:rPr>
                <w:rFonts w:hint="default"/>
                <w:color w:val="000000"/>
                <w:spacing w:val="0"/>
                <w:kern w:val="0"/>
                <w:szCs w:val="21"/>
              </w:rPr>
            </w:pPr>
            <w:r>
              <w:rPr>
                <w:rFonts w:hint="eastAsia"/>
                <w:color w:val="000000"/>
                <w:spacing w:val="0"/>
                <w:kern w:val="0"/>
                <w:szCs w:val="21"/>
              </w:rPr>
              <w:t>表</w:t>
            </w:r>
            <w:r>
              <w:rPr>
                <w:rFonts w:hint="eastAsia"/>
                <w:color w:val="000000"/>
                <w:spacing w:val="0"/>
                <w:kern w:val="0"/>
                <w:szCs w:val="21"/>
                <w:lang w:val="en-US" w:eastAsia="zh-CN"/>
              </w:rPr>
              <w:t>4-9</w:t>
            </w:r>
            <w:r>
              <w:rPr>
                <w:rFonts w:hint="default"/>
                <w:color w:val="000000"/>
                <w:spacing w:val="0"/>
                <w:kern w:val="0"/>
                <w:szCs w:val="21"/>
              </w:rPr>
              <w:t xml:space="preserve">      </w:t>
            </w:r>
            <w:r>
              <w:rPr>
                <w:rFonts w:hint="eastAsia"/>
                <w:color w:val="000000"/>
                <w:spacing w:val="0"/>
                <w:kern w:val="0"/>
                <w:szCs w:val="21"/>
              </w:rPr>
              <w:t xml:space="preserve">   </w:t>
            </w:r>
            <w:r>
              <w:rPr>
                <w:rFonts w:hint="default"/>
                <w:color w:val="000000"/>
                <w:spacing w:val="0"/>
                <w:kern w:val="0"/>
                <w:szCs w:val="21"/>
              </w:rPr>
              <w:t xml:space="preserve">                </w:t>
            </w:r>
            <w:r>
              <w:rPr>
                <w:rFonts w:hint="eastAsia"/>
                <w:color w:val="000000"/>
                <w:spacing w:val="0"/>
                <w:kern w:val="0"/>
                <w:szCs w:val="21"/>
              </w:rPr>
              <w:t>声环境监测计划</w:t>
            </w:r>
          </w:p>
          <w:tbl>
            <w:tblPr>
              <w:tblStyle w:val="35"/>
              <w:tblW w:w="4998" w:type="pct"/>
              <w:tblInd w:w="0" w:type="dxa"/>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293"/>
              <w:gridCol w:w="1692"/>
              <w:gridCol w:w="1047"/>
              <w:gridCol w:w="3449"/>
            </w:tblGrid>
            <w:tr w14:paraId="2D3A0611">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12" w:space="0"/>
                    <w:left w:val="nil"/>
                    <w:bottom w:val="single" w:color="000000" w:sz="4" w:space="0"/>
                    <w:right w:val="single" w:color="000000" w:sz="4" w:space="0"/>
                  </w:tcBorders>
                  <w:noWrap w:val="0"/>
                  <w:vAlign w:val="center"/>
                </w:tcPr>
                <w:p w14:paraId="52261F48">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项目</w:t>
                  </w:r>
                </w:p>
              </w:tc>
              <w:tc>
                <w:tcPr>
                  <w:tcW w:w="773" w:type="pct"/>
                  <w:tcBorders>
                    <w:top w:val="single" w:color="000000" w:sz="12" w:space="0"/>
                    <w:left w:val="single" w:color="000000" w:sz="4" w:space="0"/>
                    <w:bottom w:val="single" w:color="000000" w:sz="4" w:space="0"/>
                    <w:right w:val="single" w:color="000000" w:sz="4" w:space="0"/>
                  </w:tcBorders>
                  <w:noWrap w:val="0"/>
                  <w:vAlign w:val="center"/>
                </w:tcPr>
                <w:p w14:paraId="6D447766">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监测点位</w:t>
                  </w:r>
                </w:p>
              </w:tc>
              <w:tc>
                <w:tcPr>
                  <w:tcW w:w="1012" w:type="pct"/>
                  <w:tcBorders>
                    <w:top w:val="single" w:color="000000" w:sz="12" w:space="0"/>
                    <w:left w:val="single" w:color="000000" w:sz="4" w:space="0"/>
                    <w:bottom w:val="single" w:color="000000" w:sz="4" w:space="0"/>
                    <w:right w:val="single" w:color="000000" w:sz="4" w:space="0"/>
                  </w:tcBorders>
                  <w:noWrap w:val="0"/>
                  <w:vAlign w:val="center"/>
                </w:tcPr>
                <w:p w14:paraId="03BF27D3">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监测项目</w:t>
                  </w:r>
                </w:p>
              </w:tc>
              <w:tc>
                <w:tcPr>
                  <w:tcW w:w="626" w:type="pct"/>
                  <w:tcBorders>
                    <w:top w:val="single" w:color="000000" w:sz="12" w:space="0"/>
                    <w:left w:val="single" w:color="000000" w:sz="4" w:space="0"/>
                    <w:bottom w:val="single" w:color="000000" w:sz="4" w:space="0"/>
                    <w:right w:val="single" w:color="000000" w:sz="4" w:space="0"/>
                  </w:tcBorders>
                  <w:noWrap w:val="0"/>
                  <w:vAlign w:val="center"/>
                </w:tcPr>
                <w:p w14:paraId="4E36D8E5">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监测频率</w:t>
                  </w:r>
                </w:p>
              </w:tc>
              <w:tc>
                <w:tcPr>
                  <w:tcW w:w="2062" w:type="pct"/>
                  <w:tcBorders>
                    <w:top w:val="single" w:color="000000" w:sz="12" w:space="0"/>
                    <w:left w:val="single" w:color="000000" w:sz="4" w:space="0"/>
                    <w:bottom w:val="single" w:color="000000" w:sz="4" w:space="0"/>
                    <w:right w:val="nil"/>
                  </w:tcBorders>
                  <w:noWrap w:val="0"/>
                  <w:vAlign w:val="center"/>
                </w:tcPr>
                <w:p w14:paraId="1D5B45C6">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排放标准</w:t>
                  </w:r>
                </w:p>
              </w:tc>
            </w:tr>
            <w:tr w14:paraId="0EDDBC4F">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4" w:space="0"/>
                    <w:left w:val="nil"/>
                    <w:bottom w:val="single" w:color="000000" w:sz="12" w:space="0"/>
                    <w:right w:val="single" w:color="000000" w:sz="4" w:space="0"/>
                  </w:tcBorders>
                  <w:noWrap w:val="0"/>
                  <w:vAlign w:val="center"/>
                </w:tcPr>
                <w:p w14:paraId="64851FC1">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噪声</w:t>
                  </w:r>
                </w:p>
              </w:tc>
              <w:tc>
                <w:tcPr>
                  <w:tcW w:w="773" w:type="pct"/>
                  <w:tcBorders>
                    <w:top w:val="single" w:color="000000" w:sz="4" w:space="0"/>
                    <w:left w:val="single" w:color="000000" w:sz="4" w:space="0"/>
                    <w:bottom w:val="single" w:color="000000" w:sz="12" w:space="0"/>
                    <w:right w:val="single" w:color="000000" w:sz="4" w:space="0"/>
                  </w:tcBorders>
                  <w:noWrap w:val="0"/>
                  <w:vAlign w:val="center"/>
                </w:tcPr>
                <w:p w14:paraId="4C9C098F">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厂界</w:t>
                  </w:r>
                </w:p>
              </w:tc>
              <w:tc>
                <w:tcPr>
                  <w:tcW w:w="1012" w:type="pct"/>
                  <w:tcBorders>
                    <w:top w:val="single" w:color="000000" w:sz="4" w:space="0"/>
                    <w:left w:val="single" w:color="000000" w:sz="4" w:space="0"/>
                    <w:bottom w:val="single" w:color="000000" w:sz="12" w:space="0"/>
                    <w:right w:val="single" w:color="000000" w:sz="4" w:space="0"/>
                  </w:tcBorders>
                  <w:noWrap w:val="0"/>
                  <w:vAlign w:val="center"/>
                </w:tcPr>
                <w:p w14:paraId="5DD92BEA">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000000"/>
                      <w:spacing w:val="0"/>
                      <w:kern w:val="0"/>
                      <w:sz w:val="21"/>
                      <w:szCs w:val="21"/>
                    </w:rPr>
                  </w:pPr>
                  <w:r>
                    <w:rPr>
                      <w:rFonts w:hint="eastAsia"/>
                      <w:color w:val="000000"/>
                      <w:spacing w:val="0"/>
                      <w:kern w:val="0"/>
                      <w:sz w:val="21"/>
                      <w:szCs w:val="21"/>
                    </w:rPr>
                    <w:t>等效连续</w:t>
                  </w:r>
                  <w:r>
                    <w:rPr>
                      <w:rFonts w:hint="default"/>
                      <w:color w:val="000000"/>
                      <w:spacing w:val="0"/>
                      <w:kern w:val="0"/>
                      <w:sz w:val="21"/>
                      <w:szCs w:val="21"/>
                    </w:rPr>
                    <w:t>A</w:t>
                  </w:r>
                  <w:r>
                    <w:rPr>
                      <w:rFonts w:hint="eastAsia"/>
                      <w:color w:val="000000"/>
                      <w:spacing w:val="0"/>
                      <w:kern w:val="0"/>
                      <w:sz w:val="21"/>
                      <w:szCs w:val="21"/>
                    </w:rPr>
                    <w:t>声级</w:t>
                  </w:r>
                </w:p>
              </w:tc>
              <w:tc>
                <w:tcPr>
                  <w:tcW w:w="626" w:type="pct"/>
                  <w:tcBorders>
                    <w:top w:val="single" w:color="000000" w:sz="4" w:space="0"/>
                    <w:left w:val="single" w:color="000000" w:sz="4" w:space="0"/>
                    <w:bottom w:val="single" w:color="000000" w:sz="12" w:space="0"/>
                    <w:right w:val="single" w:color="000000" w:sz="4" w:space="0"/>
                  </w:tcBorders>
                  <w:noWrap w:val="0"/>
                  <w:vAlign w:val="center"/>
                </w:tcPr>
                <w:p w14:paraId="15CC6FAA">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pacing w:val="0"/>
                      <w:kern w:val="0"/>
                      <w:sz w:val="21"/>
                      <w:szCs w:val="21"/>
                    </w:rPr>
                  </w:pPr>
                  <w:r>
                    <w:rPr>
                      <w:rFonts w:hint="eastAsia"/>
                      <w:color w:val="000000"/>
                      <w:spacing w:val="0"/>
                      <w:kern w:val="0"/>
                      <w:sz w:val="21"/>
                      <w:szCs w:val="21"/>
                    </w:rPr>
                    <w:t>季度</w:t>
                  </w:r>
                </w:p>
              </w:tc>
              <w:tc>
                <w:tcPr>
                  <w:tcW w:w="2062" w:type="pct"/>
                  <w:tcBorders>
                    <w:top w:val="single" w:color="000000" w:sz="4" w:space="0"/>
                    <w:left w:val="single" w:color="000000" w:sz="4" w:space="0"/>
                    <w:bottom w:val="single" w:color="000000" w:sz="12" w:space="0"/>
                    <w:right w:val="nil"/>
                  </w:tcBorders>
                  <w:noWrap w:val="0"/>
                  <w:vAlign w:val="center"/>
                </w:tcPr>
                <w:p w14:paraId="756EA2F6">
                  <w:pPr>
                    <w:pStyle w:val="2"/>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000000"/>
                      <w:spacing w:val="0"/>
                      <w:kern w:val="0"/>
                      <w:sz w:val="21"/>
                      <w:szCs w:val="21"/>
                    </w:rPr>
                  </w:pPr>
                  <w:r>
                    <w:rPr>
                      <w:rFonts w:hint="eastAsia"/>
                      <w:color w:val="000000"/>
                      <w:spacing w:val="0"/>
                      <w:kern w:val="0"/>
                      <w:sz w:val="21"/>
                      <w:szCs w:val="21"/>
                    </w:rPr>
                    <w:t>《工业企业厂界环境噪声排放标准》</w:t>
                  </w:r>
                  <w:r>
                    <w:rPr>
                      <w:rFonts w:hint="eastAsia"/>
                      <w:color w:val="000000"/>
                      <w:spacing w:val="0"/>
                      <w:kern w:val="0"/>
                      <w:sz w:val="21"/>
                      <w:szCs w:val="21"/>
                      <w:lang w:eastAsia="zh-CN"/>
                    </w:rPr>
                    <w:t>（</w:t>
                  </w:r>
                  <w:r>
                    <w:rPr>
                      <w:rFonts w:hint="default"/>
                      <w:color w:val="000000"/>
                      <w:spacing w:val="0"/>
                      <w:kern w:val="0"/>
                      <w:sz w:val="21"/>
                      <w:szCs w:val="21"/>
                    </w:rPr>
                    <w:t>GB12348-2008</w:t>
                  </w:r>
                  <w:r>
                    <w:rPr>
                      <w:rFonts w:hint="eastAsia"/>
                      <w:color w:val="000000"/>
                      <w:spacing w:val="0"/>
                      <w:kern w:val="0"/>
                      <w:sz w:val="21"/>
                      <w:szCs w:val="21"/>
                      <w:lang w:eastAsia="zh-CN"/>
                    </w:rPr>
                    <w:t>）</w:t>
                  </w:r>
                  <w:r>
                    <w:rPr>
                      <w:rFonts w:hint="default"/>
                      <w:color w:val="000000"/>
                      <w:spacing w:val="0"/>
                      <w:kern w:val="0"/>
                      <w:sz w:val="21"/>
                      <w:szCs w:val="21"/>
                    </w:rPr>
                    <w:t>3</w:t>
                  </w:r>
                  <w:r>
                    <w:rPr>
                      <w:rFonts w:hint="eastAsia"/>
                      <w:color w:val="000000"/>
                      <w:spacing w:val="0"/>
                      <w:kern w:val="0"/>
                      <w:sz w:val="21"/>
                      <w:szCs w:val="21"/>
                    </w:rPr>
                    <w:t>类区排放标准</w:t>
                  </w:r>
                </w:p>
              </w:tc>
            </w:tr>
          </w:tbl>
          <w:p w14:paraId="12F84E13">
            <w:pPr>
              <w:keepNext w:val="0"/>
              <w:keepLines w:val="0"/>
              <w:suppressLineNumbers w:val="0"/>
              <w:spacing w:before="0" w:beforeAutospacing="0" w:after="0" w:afterAutospacing="0"/>
              <w:ind w:left="0" w:right="0"/>
              <w:rPr>
                <w:rFonts w:hint="default"/>
                <w:b/>
                <w:bCs/>
                <w:color w:val="000000"/>
                <w:spacing w:val="0"/>
                <w:kern w:val="0"/>
                <w:highlight w:val="none"/>
              </w:rPr>
            </w:pPr>
            <w:r>
              <w:rPr>
                <w:rFonts w:hint="default"/>
                <w:b/>
                <w:bCs/>
                <w:color w:val="000000"/>
                <w:spacing w:val="0"/>
                <w:kern w:val="0"/>
                <w:highlight w:val="none"/>
              </w:rPr>
              <w:t>4固废</w:t>
            </w:r>
          </w:p>
          <w:p w14:paraId="5EF4CE3D">
            <w:pPr>
              <w:keepNext w:val="0"/>
              <w:keepLines w:val="0"/>
              <w:suppressLineNumbers w:val="0"/>
              <w:spacing w:before="0" w:beforeAutospacing="0" w:after="0" w:afterAutospacing="0"/>
              <w:ind w:left="0" w:right="0" w:firstLine="480" w:firstLineChars="200"/>
              <w:rPr>
                <w:rFonts w:hint="eastAsia"/>
                <w:color w:val="000000"/>
                <w:spacing w:val="0"/>
                <w:kern w:val="0"/>
              </w:rPr>
            </w:pPr>
            <w:r>
              <w:rPr>
                <w:rFonts w:hint="default"/>
                <w:color w:val="000000"/>
                <w:spacing w:val="0"/>
                <w:kern w:val="0"/>
              </w:rPr>
              <w:t>本项目产生的固体废物主要</w:t>
            </w:r>
            <w:r>
              <w:rPr>
                <w:rFonts w:hint="eastAsia"/>
                <w:color w:val="000000"/>
                <w:spacing w:val="0"/>
                <w:kern w:val="0"/>
              </w:rPr>
              <w:t>为</w:t>
            </w:r>
            <w:r>
              <w:rPr>
                <w:rFonts w:hint="eastAsia"/>
                <w:color w:val="000000"/>
                <w:spacing w:val="0"/>
                <w:kern w:val="0"/>
                <w:lang w:val="en-US" w:eastAsia="zh-CN"/>
              </w:rPr>
              <w:t>生活垃圾</w:t>
            </w:r>
            <w:r>
              <w:rPr>
                <w:rFonts w:hint="eastAsia"/>
                <w:color w:val="000000"/>
                <w:spacing w:val="0"/>
                <w:kern w:val="0"/>
              </w:rPr>
              <w:t>和危险废物。</w:t>
            </w:r>
          </w:p>
          <w:p w14:paraId="42AB721C">
            <w:pPr>
              <w:keepNext w:val="0"/>
              <w:keepLines w:val="0"/>
              <w:suppressLineNumbers w:val="0"/>
              <w:spacing w:before="0" w:beforeAutospacing="0" w:after="0" w:afterAutospacing="0"/>
              <w:ind w:left="0" w:right="0" w:firstLine="482" w:firstLineChars="200"/>
              <w:rPr>
                <w:rFonts w:hint="eastAsia" w:ascii="Times New Roman" w:hAnsi="Times New Roman" w:eastAsia="宋体" w:cs="Times New Roman"/>
                <w:b/>
                <w:bCs/>
                <w:color w:val="000000"/>
                <w:spacing w:val="0"/>
                <w:kern w:val="0"/>
              </w:rPr>
            </w:pPr>
            <w:r>
              <w:rPr>
                <w:rFonts w:hint="eastAsia" w:ascii="Times New Roman" w:hAnsi="Times New Roman" w:eastAsia="宋体" w:cs="Times New Roman"/>
                <w:b/>
                <w:bCs/>
                <w:color w:val="000000"/>
                <w:spacing w:val="0"/>
                <w:kern w:val="0"/>
              </w:rPr>
              <w:t>4.1生活垃圾</w:t>
            </w:r>
          </w:p>
          <w:p w14:paraId="67AACA57">
            <w:pPr>
              <w:keepNext w:val="0"/>
              <w:keepLines w:val="0"/>
              <w:suppressLineNumbers w:val="0"/>
              <w:spacing w:before="0" w:beforeAutospacing="0" w:after="0" w:afterAutospacing="0"/>
              <w:ind w:left="0" w:right="0" w:firstLine="456" w:firstLineChars="200"/>
              <w:rPr>
                <w:rFonts w:hint="eastAsia"/>
              </w:rPr>
            </w:pPr>
            <w:r>
              <w:rPr>
                <w:rFonts w:hint="eastAsia"/>
                <w:color w:val="000000"/>
                <w:spacing w:val="-6"/>
                <w:kern w:val="0"/>
                <w:sz w:val="24"/>
              </w:rPr>
              <w:t>本项目职工人数为</w:t>
            </w:r>
            <w:r>
              <w:rPr>
                <w:rFonts w:hint="eastAsia"/>
                <w:color w:val="000000"/>
                <w:spacing w:val="-6"/>
                <w:kern w:val="0"/>
                <w:sz w:val="24"/>
                <w:lang w:val="en-US" w:eastAsia="zh-CN"/>
              </w:rPr>
              <w:t>20</w:t>
            </w:r>
            <w:r>
              <w:rPr>
                <w:rFonts w:hint="eastAsia"/>
                <w:color w:val="000000"/>
                <w:spacing w:val="-6"/>
                <w:kern w:val="0"/>
                <w:sz w:val="24"/>
              </w:rPr>
              <w:t>人，工作天数为</w:t>
            </w:r>
            <w:r>
              <w:rPr>
                <w:rFonts w:hint="eastAsia"/>
                <w:color w:val="000000"/>
                <w:spacing w:val="-6"/>
                <w:kern w:val="0"/>
                <w:sz w:val="24"/>
                <w:lang w:val="en-US" w:eastAsia="zh-CN"/>
              </w:rPr>
              <w:t>180</w:t>
            </w:r>
            <w:r>
              <w:rPr>
                <w:rFonts w:hint="eastAsia"/>
                <w:color w:val="000000"/>
                <w:spacing w:val="-6"/>
                <w:kern w:val="0"/>
                <w:sz w:val="24"/>
              </w:rPr>
              <w:t>d，生活垃圾产生量按每人0.5kg/d计算，则本项目生活垃圾产生量约为</w:t>
            </w:r>
            <w:r>
              <w:rPr>
                <w:rFonts w:hint="eastAsia"/>
                <w:color w:val="000000"/>
                <w:spacing w:val="-6"/>
                <w:kern w:val="0"/>
                <w:sz w:val="24"/>
                <w:lang w:val="en-US" w:eastAsia="zh-CN"/>
              </w:rPr>
              <w:t>1.8</w:t>
            </w:r>
            <w:r>
              <w:rPr>
                <w:rFonts w:hint="eastAsia"/>
                <w:color w:val="000000"/>
                <w:spacing w:val="-6"/>
                <w:kern w:val="0"/>
                <w:sz w:val="24"/>
              </w:rPr>
              <w:t>t/a，集中收集后定期由环卫部门清运处置。</w:t>
            </w:r>
          </w:p>
          <w:p w14:paraId="2AB4DFD7">
            <w:pPr>
              <w:keepNext w:val="0"/>
              <w:keepLines w:val="0"/>
              <w:suppressLineNumbers w:val="0"/>
              <w:spacing w:before="0" w:beforeAutospacing="0" w:after="0" w:afterAutospacing="0"/>
              <w:ind w:left="0" w:right="0" w:firstLine="482" w:firstLineChars="200"/>
              <w:rPr>
                <w:rFonts w:hint="default"/>
                <w:b/>
                <w:bCs/>
                <w:color w:val="000000"/>
                <w:spacing w:val="0"/>
                <w:kern w:val="0"/>
              </w:rPr>
            </w:pPr>
            <w:r>
              <w:rPr>
                <w:rFonts w:hint="default"/>
                <w:b/>
                <w:bCs/>
                <w:color w:val="000000"/>
                <w:spacing w:val="0"/>
                <w:kern w:val="0"/>
              </w:rPr>
              <w:t>4.</w:t>
            </w:r>
            <w:r>
              <w:rPr>
                <w:rFonts w:hint="eastAsia"/>
                <w:b/>
                <w:bCs/>
                <w:color w:val="000000"/>
                <w:spacing w:val="0"/>
                <w:kern w:val="0"/>
                <w:lang w:val="en-US" w:eastAsia="zh-CN"/>
              </w:rPr>
              <w:t>2</w:t>
            </w:r>
            <w:r>
              <w:rPr>
                <w:rFonts w:hint="default"/>
                <w:b/>
                <w:bCs/>
                <w:color w:val="000000"/>
                <w:spacing w:val="0"/>
                <w:kern w:val="0"/>
              </w:rPr>
              <w:t>一般工业固体废物</w:t>
            </w:r>
          </w:p>
          <w:p w14:paraId="5E98A7CB">
            <w:pPr>
              <w:keepNext w:val="0"/>
              <w:keepLines w:val="0"/>
              <w:suppressLineNumbers w:val="0"/>
              <w:spacing w:before="0" w:beforeAutospacing="0" w:after="0" w:afterAutospacing="0"/>
              <w:ind w:left="0" w:right="0" w:firstLine="480" w:firstLineChars="200"/>
              <w:rPr>
                <w:rFonts w:hint="eastAsia" w:eastAsia="宋体"/>
                <w:color w:val="000000"/>
                <w:spacing w:val="0"/>
                <w:kern w:val="0"/>
                <w:lang w:eastAsia="zh-CN"/>
              </w:rPr>
            </w:pPr>
            <w:r>
              <w:rPr>
                <w:rFonts w:hint="default"/>
                <w:color w:val="000000"/>
                <w:spacing w:val="0"/>
                <w:kern w:val="0"/>
              </w:rPr>
              <w:t>（1）</w:t>
            </w:r>
            <w:r>
              <w:rPr>
                <w:rFonts w:hint="eastAsia"/>
                <w:color w:val="000000"/>
                <w:spacing w:val="0"/>
                <w:kern w:val="0"/>
                <w:lang w:val="en-US" w:eastAsia="zh-CN"/>
              </w:rPr>
              <w:t>废棉尘</w:t>
            </w:r>
          </w:p>
          <w:p w14:paraId="23AEC5C0">
            <w:pPr>
              <w:keepNext w:val="0"/>
              <w:keepLines w:val="0"/>
              <w:suppressLineNumbers w:val="0"/>
              <w:spacing w:before="0" w:beforeAutospacing="0" w:after="0" w:afterAutospacing="0"/>
              <w:ind w:left="0" w:right="0" w:firstLine="480" w:firstLineChars="200"/>
              <w:rPr>
                <w:rFonts w:hint="eastAsia"/>
                <w:color w:val="000000"/>
                <w:spacing w:val="0"/>
                <w:kern w:val="0"/>
                <w:lang w:val="en-US" w:eastAsia="zh-CN"/>
              </w:rPr>
            </w:pPr>
            <w:r>
              <w:rPr>
                <w:rFonts w:hint="default"/>
                <w:color w:val="000000"/>
                <w:spacing w:val="0"/>
                <w:kern w:val="0"/>
              </w:rPr>
              <w:t>产生的工艺粉尘采用</w:t>
            </w:r>
            <w:r>
              <w:rPr>
                <w:rFonts w:hint="default"/>
                <w:color w:val="000000"/>
                <w:spacing w:val="0"/>
                <w:kern w:val="0"/>
                <w:lang w:val="en-US" w:eastAsia="zh-CN"/>
              </w:rPr>
              <w:t>旋风除尘器+重力沉降室+碱洗喷淋塔</w:t>
            </w:r>
            <w:r>
              <w:rPr>
                <w:rFonts w:hint="eastAsia"/>
                <w:color w:val="000000"/>
                <w:spacing w:val="0"/>
                <w:kern w:val="0"/>
                <w:lang w:val="en-US" w:eastAsia="zh-CN"/>
              </w:rPr>
              <w:t>及封闭厂房</w:t>
            </w:r>
            <w:r>
              <w:rPr>
                <w:rFonts w:hint="default"/>
                <w:color w:val="000000"/>
                <w:spacing w:val="0"/>
                <w:kern w:val="0"/>
              </w:rPr>
              <w:t>收集的废</w:t>
            </w:r>
            <w:r>
              <w:rPr>
                <w:rFonts w:hint="eastAsia"/>
                <w:color w:val="000000"/>
                <w:spacing w:val="0"/>
                <w:kern w:val="0"/>
                <w:lang w:val="en-US" w:eastAsia="zh-CN"/>
              </w:rPr>
              <w:t>棉尘</w:t>
            </w:r>
            <w:r>
              <w:rPr>
                <w:rFonts w:hint="default"/>
                <w:color w:val="000000"/>
                <w:spacing w:val="0"/>
                <w:kern w:val="0"/>
              </w:rPr>
              <w:t>，总收集量为</w:t>
            </w:r>
            <w:r>
              <w:rPr>
                <w:rFonts w:hint="eastAsia"/>
                <w:color w:val="000000"/>
                <w:spacing w:val="0"/>
                <w:kern w:val="0"/>
                <w:highlight w:val="none"/>
                <w:lang w:val="en-US" w:eastAsia="zh-CN"/>
              </w:rPr>
              <w:t>7.96</w:t>
            </w:r>
            <w:r>
              <w:rPr>
                <w:rFonts w:hint="default"/>
                <w:color w:val="000000"/>
                <w:spacing w:val="0"/>
                <w:kern w:val="0"/>
                <w:highlight w:val="none"/>
              </w:rPr>
              <w:t>t/a</w:t>
            </w:r>
            <w:r>
              <w:rPr>
                <w:rFonts w:hint="default"/>
                <w:color w:val="000000"/>
                <w:spacing w:val="0"/>
                <w:kern w:val="0"/>
              </w:rPr>
              <w:t>，</w:t>
            </w:r>
            <w:r>
              <w:rPr>
                <w:rFonts w:hint="eastAsia"/>
                <w:color w:val="000000"/>
                <w:spacing w:val="0"/>
                <w:kern w:val="0"/>
                <w:lang w:val="en-US" w:eastAsia="zh-CN"/>
              </w:rPr>
              <w:t>定期收集后外售。</w:t>
            </w:r>
          </w:p>
          <w:p w14:paraId="14E92AB1">
            <w:pPr>
              <w:keepNext w:val="0"/>
              <w:keepLines w:val="0"/>
              <w:suppressLineNumbers w:val="0"/>
              <w:spacing w:before="0" w:beforeAutospacing="0" w:after="0" w:afterAutospacing="0"/>
              <w:ind w:left="0" w:right="0" w:firstLine="480" w:firstLineChars="200"/>
              <w:rPr>
                <w:rFonts w:hint="eastAsia" w:eastAsia="宋体"/>
                <w:color w:val="000000"/>
                <w:spacing w:val="0"/>
                <w:kern w:val="0"/>
                <w:lang w:eastAsia="zh-CN"/>
              </w:rPr>
            </w:pPr>
            <w:r>
              <w:rPr>
                <w:rFonts w:hint="default"/>
                <w:color w:val="000000"/>
                <w:spacing w:val="0"/>
                <w:kern w:val="0"/>
              </w:rPr>
              <w:t>（</w:t>
            </w:r>
            <w:r>
              <w:rPr>
                <w:rFonts w:hint="eastAsia"/>
                <w:color w:val="000000"/>
                <w:spacing w:val="0"/>
                <w:kern w:val="0"/>
                <w:lang w:val="en-US" w:eastAsia="zh-CN"/>
              </w:rPr>
              <w:t>2</w:t>
            </w:r>
            <w:r>
              <w:rPr>
                <w:rFonts w:hint="default"/>
                <w:color w:val="000000"/>
                <w:spacing w:val="0"/>
                <w:kern w:val="0"/>
              </w:rPr>
              <w:t>）异常籽、瘪籽及轻杂物</w:t>
            </w:r>
          </w:p>
          <w:p w14:paraId="6104BF6C">
            <w:pPr>
              <w:pStyle w:val="3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shd w:val="clear" w:color="auto" w:fill="auto"/>
              </w:rPr>
            </w:pPr>
            <w:r>
              <w:rPr>
                <w:rFonts w:hint="default" w:ascii="Times New Roman" w:hAnsi="Times New Roman" w:eastAsia="宋体" w:cs="Times New Roman"/>
                <w:color w:val="000000"/>
                <w:sz w:val="24"/>
                <w:szCs w:val="24"/>
                <w:shd w:val="clear" w:color="auto" w:fill="auto"/>
              </w:rPr>
              <w:t>根据业主提供资料，本项目在分选过程中异常籽、瘪籽及轻杂物产生量约占原料的</w:t>
            </w:r>
            <w:r>
              <w:rPr>
                <w:rFonts w:hint="eastAsia" w:cs="Times New Roman"/>
                <w:color w:val="000000"/>
                <w:sz w:val="24"/>
                <w:szCs w:val="24"/>
                <w:shd w:val="clear" w:color="auto" w:fill="auto"/>
                <w:lang w:val="en-US" w:eastAsia="zh-CN"/>
              </w:rPr>
              <w:t>10</w:t>
            </w:r>
            <w:r>
              <w:rPr>
                <w:rFonts w:hint="default" w:ascii="Times New Roman" w:hAnsi="Times New Roman" w:eastAsia="宋体" w:cs="Times New Roman"/>
                <w:color w:val="000000"/>
                <w:sz w:val="24"/>
                <w:szCs w:val="24"/>
                <w:shd w:val="clear" w:color="auto" w:fill="auto"/>
              </w:rPr>
              <w:t>%，产生量为</w:t>
            </w:r>
            <w:r>
              <w:rPr>
                <w:rFonts w:hint="eastAsia" w:cs="Times New Roman"/>
                <w:color w:val="000000"/>
                <w:sz w:val="24"/>
                <w:szCs w:val="24"/>
                <w:shd w:val="clear" w:color="auto" w:fill="auto"/>
                <w:lang w:val="en-US" w:eastAsia="zh-CN"/>
              </w:rPr>
              <w:t>8</w:t>
            </w:r>
            <w:r>
              <w:rPr>
                <w:rFonts w:hint="default" w:ascii="Times New Roman" w:hAnsi="Times New Roman" w:eastAsia="宋体" w:cs="Times New Roman"/>
                <w:color w:val="000000"/>
                <w:sz w:val="24"/>
                <w:szCs w:val="24"/>
                <w:shd w:val="clear" w:color="auto" w:fill="auto"/>
              </w:rPr>
              <w:t>00t/a，</w:t>
            </w:r>
            <w:r>
              <w:rPr>
                <w:rFonts w:hint="eastAsia"/>
                <w:color w:val="000000"/>
                <w:spacing w:val="0"/>
                <w:kern w:val="0"/>
                <w:lang w:val="en-US" w:eastAsia="zh-CN"/>
              </w:rPr>
              <w:t>定期收集后外售</w:t>
            </w:r>
            <w:r>
              <w:rPr>
                <w:rFonts w:hint="default" w:ascii="Times New Roman" w:hAnsi="Times New Roman" w:eastAsia="宋体" w:cs="Times New Roman"/>
                <w:color w:val="000000"/>
                <w:sz w:val="24"/>
                <w:szCs w:val="24"/>
                <w:shd w:val="clear" w:color="auto" w:fill="auto"/>
              </w:rPr>
              <w:t>。</w:t>
            </w:r>
          </w:p>
          <w:p w14:paraId="13FFF633">
            <w:pPr>
              <w:keepNext w:val="0"/>
              <w:keepLines w:val="0"/>
              <w:suppressLineNumbers w:val="0"/>
              <w:spacing w:before="0" w:beforeAutospacing="0" w:after="0" w:afterAutospacing="0"/>
              <w:ind w:left="0" w:right="0" w:firstLine="480" w:firstLineChars="200"/>
              <w:rPr>
                <w:rFonts w:hint="default" w:eastAsia="宋体"/>
                <w:color w:val="000000"/>
                <w:spacing w:val="0"/>
                <w:kern w:val="0"/>
                <w:lang w:val="en-US" w:eastAsia="zh-CN"/>
              </w:rPr>
            </w:pPr>
            <w:r>
              <w:rPr>
                <w:rFonts w:hint="default"/>
                <w:color w:val="000000"/>
                <w:spacing w:val="0"/>
                <w:kern w:val="0"/>
              </w:rPr>
              <w:t>（</w:t>
            </w:r>
            <w:r>
              <w:rPr>
                <w:rFonts w:hint="eastAsia"/>
                <w:color w:val="000000"/>
                <w:spacing w:val="0"/>
                <w:kern w:val="0"/>
                <w:lang w:val="en-US" w:eastAsia="zh-CN"/>
              </w:rPr>
              <w:t>3</w:t>
            </w:r>
            <w:r>
              <w:rPr>
                <w:rFonts w:hint="default"/>
                <w:color w:val="000000"/>
                <w:spacing w:val="0"/>
                <w:kern w:val="0"/>
              </w:rPr>
              <w:t>）</w:t>
            </w:r>
            <w:r>
              <w:rPr>
                <w:rFonts w:hint="eastAsia"/>
                <w:color w:val="000000"/>
                <w:lang w:val="en-US" w:eastAsia="zh-CN"/>
              </w:rPr>
              <w:t>铁磁性杂质</w:t>
            </w:r>
          </w:p>
          <w:p w14:paraId="5E8D1A7B">
            <w:pPr>
              <w:pStyle w:val="3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firstLine="480" w:firstLineChars="200"/>
              <w:textAlignment w:val="auto"/>
              <w:rPr>
                <w:rFonts w:hint="eastAsia"/>
                <w:lang w:val="en-US" w:eastAsia="zh-CN"/>
              </w:rPr>
            </w:pPr>
            <w:r>
              <w:rPr>
                <w:rFonts w:hint="default" w:ascii="Times New Roman" w:hAnsi="Times New Roman" w:eastAsia="宋体" w:cs="Times New Roman"/>
                <w:color w:val="000000"/>
                <w:sz w:val="24"/>
                <w:szCs w:val="24"/>
                <w:shd w:val="clear" w:color="auto" w:fill="auto"/>
              </w:rPr>
              <w:t>根据业主提供资料，本项目在</w:t>
            </w:r>
            <w:r>
              <w:rPr>
                <w:rFonts w:hint="eastAsia" w:cs="Times New Roman"/>
                <w:color w:val="000000"/>
                <w:sz w:val="24"/>
                <w:szCs w:val="24"/>
                <w:shd w:val="clear" w:color="auto" w:fill="auto"/>
                <w:lang w:val="en-US" w:eastAsia="zh-CN"/>
              </w:rPr>
              <w:t>磁</w:t>
            </w:r>
            <w:r>
              <w:rPr>
                <w:rFonts w:hint="default" w:ascii="Times New Roman" w:hAnsi="Times New Roman" w:eastAsia="宋体" w:cs="Times New Roman"/>
                <w:color w:val="000000"/>
                <w:sz w:val="24"/>
                <w:szCs w:val="24"/>
                <w:shd w:val="clear" w:color="auto" w:fill="auto"/>
              </w:rPr>
              <w:t>选过程中</w:t>
            </w:r>
            <w:r>
              <w:rPr>
                <w:rFonts w:hint="eastAsia"/>
                <w:color w:val="000000"/>
                <w:lang w:val="en-US" w:eastAsia="zh-CN"/>
              </w:rPr>
              <w:t>铁磁性杂质</w:t>
            </w:r>
            <w:r>
              <w:rPr>
                <w:rFonts w:hint="default" w:ascii="Times New Roman" w:hAnsi="Times New Roman" w:eastAsia="宋体" w:cs="Times New Roman"/>
                <w:color w:val="000000"/>
                <w:sz w:val="24"/>
                <w:szCs w:val="24"/>
                <w:shd w:val="clear" w:color="auto" w:fill="auto"/>
              </w:rPr>
              <w:t>产生量约占原料的</w:t>
            </w:r>
            <w:r>
              <w:rPr>
                <w:rFonts w:hint="eastAsia" w:cs="Times New Roman"/>
                <w:color w:val="000000"/>
                <w:sz w:val="24"/>
                <w:szCs w:val="24"/>
                <w:shd w:val="clear" w:color="auto" w:fill="auto"/>
                <w:lang w:val="en-US" w:eastAsia="zh-CN"/>
              </w:rPr>
              <w:t>1</w:t>
            </w:r>
            <w:r>
              <w:rPr>
                <w:rFonts w:hint="default" w:ascii="Times New Roman" w:hAnsi="Times New Roman" w:eastAsia="宋体" w:cs="Times New Roman"/>
                <w:color w:val="000000"/>
                <w:sz w:val="24"/>
                <w:szCs w:val="24"/>
                <w:shd w:val="clear" w:color="auto" w:fill="auto"/>
              </w:rPr>
              <w:t>%，产生量为</w:t>
            </w:r>
            <w:r>
              <w:rPr>
                <w:rFonts w:hint="eastAsia" w:cs="Times New Roman"/>
                <w:color w:val="000000"/>
                <w:sz w:val="24"/>
                <w:szCs w:val="24"/>
                <w:shd w:val="clear" w:color="auto" w:fill="auto"/>
                <w:lang w:val="en-US" w:eastAsia="zh-CN"/>
              </w:rPr>
              <w:t>8</w:t>
            </w:r>
            <w:r>
              <w:rPr>
                <w:rFonts w:hint="default" w:ascii="Times New Roman" w:hAnsi="Times New Roman" w:eastAsia="宋体" w:cs="Times New Roman"/>
                <w:color w:val="000000"/>
                <w:sz w:val="24"/>
                <w:szCs w:val="24"/>
                <w:shd w:val="clear" w:color="auto" w:fill="auto"/>
              </w:rPr>
              <w:t>0t/a，</w:t>
            </w:r>
            <w:r>
              <w:rPr>
                <w:rFonts w:hint="eastAsia"/>
                <w:color w:val="000000"/>
                <w:spacing w:val="0"/>
                <w:kern w:val="0"/>
                <w:lang w:val="en-US" w:eastAsia="zh-CN"/>
              </w:rPr>
              <w:t>定期收集后外售</w:t>
            </w:r>
            <w:r>
              <w:rPr>
                <w:rFonts w:hint="default" w:ascii="Times New Roman" w:hAnsi="Times New Roman" w:eastAsia="宋体" w:cs="Times New Roman"/>
                <w:color w:val="000000"/>
                <w:sz w:val="24"/>
                <w:szCs w:val="24"/>
                <w:shd w:val="clear" w:color="auto" w:fill="auto"/>
              </w:rPr>
              <w:t>。</w:t>
            </w:r>
          </w:p>
          <w:p w14:paraId="7810E77A">
            <w:pPr>
              <w:keepNext w:val="0"/>
              <w:keepLines w:val="0"/>
              <w:suppressLineNumbers w:val="0"/>
              <w:spacing w:before="0" w:beforeAutospacing="0" w:after="0" w:afterAutospacing="0"/>
              <w:ind w:left="0" w:right="0" w:firstLine="482" w:firstLineChars="200"/>
              <w:rPr>
                <w:rFonts w:hint="default"/>
              </w:rPr>
            </w:pPr>
            <w:r>
              <w:rPr>
                <w:rFonts w:hint="eastAsia"/>
                <w:b/>
                <w:bCs/>
                <w:color w:val="000000"/>
                <w:spacing w:val="0"/>
                <w:kern w:val="0"/>
                <w:lang w:val="en-US" w:eastAsia="zh-CN"/>
              </w:rPr>
              <w:t>4.3</w:t>
            </w:r>
            <w:r>
              <w:rPr>
                <w:rFonts w:hint="default"/>
                <w:b/>
                <w:bCs/>
                <w:color w:val="000000"/>
                <w:spacing w:val="0"/>
                <w:kern w:val="0"/>
              </w:rPr>
              <w:t>危险废物</w:t>
            </w:r>
          </w:p>
          <w:p w14:paraId="3D1ADEB9">
            <w:pPr>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eastAsia="宋体" w:cs="Times New Roman"/>
                <w:color w:val="000000"/>
                <w:spacing w:val="0"/>
                <w:kern w:val="0"/>
                <w:lang w:val="en-US" w:eastAsia="zh-CN"/>
              </w:rPr>
            </w:pPr>
            <w:r>
              <w:rPr>
                <w:rFonts w:hint="default"/>
                <w:color w:val="000000"/>
                <w:spacing w:val="0"/>
                <w:kern w:val="0"/>
              </w:rPr>
              <w:t>（1）</w:t>
            </w:r>
            <w:r>
              <w:rPr>
                <w:rFonts w:hint="eastAsia" w:ascii="Times New Roman" w:hAnsi="Times New Roman" w:eastAsia="宋体" w:cs="Times New Roman"/>
                <w:color w:val="000000"/>
                <w:spacing w:val="0"/>
                <w:kern w:val="0"/>
                <w:lang w:val="en-US" w:eastAsia="zh-CN"/>
              </w:rPr>
              <w:t>氢氧化钠包装袋</w:t>
            </w:r>
          </w:p>
          <w:p w14:paraId="22ADEC4C">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default"/>
              </w:rPr>
            </w:pPr>
            <w:r>
              <w:rPr>
                <w:rFonts w:hint="default"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lang w:val="en-US" w:eastAsia="zh-CN"/>
              </w:rPr>
              <w:t>碱洗塔</w:t>
            </w:r>
            <w:r>
              <w:rPr>
                <w:rFonts w:hint="default" w:ascii="Times New Roman" w:hAnsi="Times New Roman" w:eastAsia="宋体" w:cs="Times New Roman"/>
                <w:sz w:val="24"/>
                <w:szCs w:val="24"/>
                <w:lang w:val="en-US" w:eastAsia="zh-CN"/>
              </w:rPr>
              <w:t>使用</w:t>
            </w:r>
            <w:r>
              <w:rPr>
                <w:rFonts w:hint="eastAsia" w:ascii="Times New Roman" w:hAnsi="Times New Roman" w:eastAsia="宋体" w:cs="Times New Roman"/>
                <w:sz w:val="24"/>
                <w:szCs w:val="24"/>
                <w:lang w:val="en-US" w:eastAsia="zh-CN"/>
              </w:rPr>
              <w:t>氢氧化钠</w:t>
            </w:r>
            <w:r>
              <w:rPr>
                <w:rFonts w:hint="default" w:ascii="Times New Roman" w:hAnsi="Times New Roman" w:eastAsia="宋体" w:cs="Times New Roman"/>
                <w:sz w:val="24"/>
                <w:szCs w:val="24"/>
                <w:lang w:val="en-US" w:eastAsia="zh-CN"/>
              </w:rPr>
              <w:t>将产生氢氧化钠包装袋，根据业主提供资料，本项目氢氧化钠包装袋产生量为0.0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t/a。氢氧化钠包装袋通过对照《国家危险废物名录》（202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年），氢氧化钠包装袋属于危险废物，危废代码</w:t>
            </w:r>
            <w:r>
              <w:rPr>
                <w:rFonts w:hint="eastAsia" w:ascii="Times New Roman" w:hAnsi="Times New Roman" w:eastAsia="宋体" w:cs="Times New Roman"/>
                <w:sz w:val="24"/>
                <w:szCs w:val="24"/>
                <w:lang w:val="en-US" w:eastAsia="zh-CN"/>
              </w:rPr>
              <w:t>为（HW49，</w:t>
            </w:r>
            <w:r>
              <w:rPr>
                <w:rFonts w:hint="default" w:ascii="Times New Roman" w:hAnsi="Times New Roman" w:eastAsia="宋体" w:cs="Times New Roman"/>
                <w:sz w:val="24"/>
                <w:szCs w:val="24"/>
                <w:lang w:val="en-US" w:eastAsia="zh-CN"/>
              </w:rPr>
              <w:t>900-041-49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，本项目生产过程中产生的氢氧化钠包装袋统一收集，暂存在危险废物贮存库，委托有资质的单位统一处理。</w:t>
            </w:r>
          </w:p>
          <w:p w14:paraId="0B35FF5B">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lang w:val="en-US" w:eastAsia="zh-CN"/>
              </w:rPr>
            </w:pPr>
            <w:r>
              <w:rPr>
                <w:rFonts w:hint="eastAsia"/>
                <w:color w:val="000000"/>
                <w:spacing w:val="0"/>
                <w:kern w:val="0"/>
                <w:lang w:val="en-US" w:eastAsia="zh-CN"/>
              </w:rPr>
              <w:t>（2）废</w:t>
            </w:r>
            <w:r>
              <w:rPr>
                <w:rFonts w:hint="eastAsia"/>
                <w:color w:val="000000"/>
                <w:spacing w:val="0"/>
                <w:kern w:val="0"/>
                <w:lang w:eastAsia="zh-CN"/>
              </w:rPr>
              <w:t>润滑</w:t>
            </w:r>
            <w:r>
              <w:rPr>
                <w:rFonts w:hint="default"/>
                <w:color w:val="000000"/>
                <w:spacing w:val="0"/>
                <w:kern w:val="0"/>
              </w:rPr>
              <w:t>油</w:t>
            </w:r>
          </w:p>
          <w:p w14:paraId="0D769476">
            <w:pPr>
              <w:keepNext w:val="0"/>
              <w:keepLines w:val="0"/>
              <w:suppressLineNumbers w:val="0"/>
              <w:adjustRightInd w:val="0"/>
              <w:snapToGrid w:val="0"/>
              <w:spacing w:before="0" w:beforeAutospacing="0" w:after="0" w:afterAutospacing="0"/>
              <w:ind w:left="0" w:right="0" w:firstLine="480" w:firstLineChars="200"/>
              <w:rPr>
                <w:rFonts w:hint="eastAsia"/>
                <w:color w:val="000000"/>
                <w:spacing w:val="0"/>
                <w:kern w:val="0"/>
                <w:lang w:val="en-US" w:eastAsia="zh-CN"/>
              </w:rPr>
            </w:pPr>
            <w:r>
              <w:rPr>
                <w:rFonts w:hint="eastAsia"/>
                <w:color w:val="000000"/>
                <w:spacing w:val="0"/>
                <w:kern w:val="0"/>
                <w:lang w:val="en-US" w:eastAsia="zh-CN"/>
              </w:rPr>
              <w:t>本项目</w:t>
            </w:r>
            <w:r>
              <w:rPr>
                <w:rFonts w:hint="eastAsia"/>
                <w:color w:val="000000"/>
                <w:spacing w:val="0"/>
                <w:kern w:val="0"/>
                <w:lang w:eastAsia="zh-CN"/>
              </w:rPr>
              <w:t>润滑</w:t>
            </w:r>
            <w:r>
              <w:rPr>
                <w:rFonts w:hint="default"/>
                <w:color w:val="000000"/>
                <w:spacing w:val="0"/>
                <w:kern w:val="0"/>
              </w:rPr>
              <w:t>设备维护、更换和拆解过程中产生的废</w:t>
            </w:r>
            <w:r>
              <w:rPr>
                <w:rFonts w:hint="eastAsia"/>
                <w:color w:val="000000"/>
                <w:spacing w:val="0"/>
                <w:kern w:val="0"/>
                <w:lang w:eastAsia="zh-CN"/>
              </w:rPr>
              <w:t>润滑</w:t>
            </w:r>
            <w:r>
              <w:rPr>
                <w:rFonts w:hint="default"/>
                <w:color w:val="000000"/>
                <w:spacing w:val="0"/>
                <w:kern w:val="0"/>
              </w:rPr>
              <w:t>油</w:t>
            </w:r>
            <w:r>
              <w:rPr>
                <w:rFonts w:hint="eastAsia"/>
                <w:color w:val="000000"/>
                <w:spacing w:val="0"/>
                <w:kern w:val="0"/>
                <w:lang w:val="en-US" w:eastAsia="zh-CN"/>
              </w:rPr>
              <w:t>，产生量约为</w:t>
            </w:r>
            <w:r>
              <w:rPr>
                <w:rFonts w:hint="default"/>
                <w:color w:val="000000"/>
                <w:spacing w:val="0"/>
                <w:kern w:val="0"/>
                <w:lang w:val="en-US" w:eastAsia="zh-CN"/>
              </w:rPr>
              <w:t>0.</w:t>
            </w:r>
            <w:r>
              <w:rPr>
                <w:rFonts w:hint="eastAsia"/>
                <w:color w:val="000000"/>
                <w:spacing w:val="0"/>
                <w:kern w:val="0"/>
                <w:lang w:val="en-US" w:eastAsia="zh-CN"/>
              </w:rPr>
              <w:t>5</w:t>
            </w:r>
            <w:r>
              <w:rPr>
                <w:rFonts w:hint="default"/>
                <w:color w:val="000000"/>
                <w:spacing w:val="0"/>
                <w:kern w:val="0"/>
                <w:lang w:val="en-US" w:eastAsia="zh-CN"/>
              </w:rPr>
              <w:t>t/a</w:t>
            </w:r>
            <w:r>
              <w:rPr>
                <w:rFonts w:hint="eastAsia"/>
                <w:color w:val="000000"/>
                <w:spacing w:val="0"/>
                <w:kern w:val="0"/>
                <w:lang w:val="en-US" w:eastAsia="zh-CN"/>
              </w:rPr>
              <w:t>，收集、储存于危废贮存点，交由有资质的机构处理。根据《国家危险废物名录》（</w:t>
            </w:r>
            <w:r>
              <w:rPr>
                <w:rFonts w:hint="default"/>
                <w:color w:val="000000"/>
                <w:spacing w:val="0"/>
                <w:kern w:val="0"/>
                <w:lang w:val="en-US" w:eastAsia="zh-CN"/>
              </w:rPr>
              <w:t>202</w:t>
            </w:r>
            <w:r>
              <w:rPr>
                <w:rFonts w:hint="eastAsia"/>
                <w:color w:val="000000"/>
                <w:spacing w:val="0"/>
                <w:kern w:val="0"/>
                <w:lang w:val="en-US" w:eastAsia="zh-CN"/>
              </w:rPr>
              <w:t>5年），废润滑油属于危险废物，危险废物代码为（</w:t>
            </w:r>
            <w:r>
              <w:rPr>
                <w:rFonts w:hint="default"/>
                <w:color w:val="000000"/>
                <w:spacing w:val="0"/>
                <w:kern w:val="0"/>
                <w:lang w:val="en-US" w:eastAsia="zh-CN"/>
              </w:rPr>
              <w:t>HW08</w:t>
            </w:r>
            <w:r>
              <w:rPr>
                <w:rFonts w:hint="eastAsia"/>
                <w:color w:val="000000"/>
                <w:spacing w:val="0"/>
                <w:kern w:val="0"/>
                <w:lang w:val="en-US" w:eastAsia="zh-CN"/>
              </w:rPr>
              <w:t>，</w:t>
            </w:r>
            <w:r>
              <w:rPr>
                <w:rFonts w:hint="default"/>
                <w:color w:val="000000"/>
                <w:spacing w:val="0"/>
                <w:kern w:val="0"/>
              </w:rPr>
              <w:t>900-21</w:t>
            </w:r>
            <w:r>
              <w:rPr>
                <w:rFonts w:hint="eastAsia"/>
                <w:color w:val="000000"/>
                <w:spacing w:val="0"/>
                <w:kern w:val="0"/>
                <w:lang w:val="en-US" w:eastAsia="zh-CN"/>
              </w:rPr>
              <w:t>7</w:t>
            </w:r>
            <w:r>
              <w:rPr>
                <w:rFonts w:hint="default"/>
                <w:color w:val="000000"/>
                <w:spacing w:val="0"/>
                <w:kern w:val="0"/>
              </w:rPr>
              <w:t>-08</w:t>
            </w:r>
            <w:r>
              <w:rPr>
                <w:rFonts w:hint="eastAsia"/>
                <w:color w:val="000000"/>
                <w:spacing w:val="0"/>
                <w:kern w:val="0"/>
                <w:lang w:val="en-US" w:eastAsia="zh-CN"/>
              </w:rPr>
              <w:t>），暂存在危险废物贮存库，委托有资质的单位统一处理。</w:t>
            </w:r>
          </w:p>
          <w:p w14:paraId="77A42DB8">
            <w:pPr>
              <w:keepNext w:val="0"/>
              <w:keepLines w:val="0"/>
              <w:suppressLineNumbers w:val="0"/>
              <w:adjustRightInd w:val="0"/>
              <w:snapToGrid w:val="0"/>
              <w:spacing w:before="0" w:beforeAutospacing="0" w:after="0" w:afterAutospacing="0"/>
              <w:ind w:left="0" w:right="0" w:firstLine="480" w:firstLineChars="200"/>
              <w:rPr>
                <w:rFonts w:hint="default"/>
                <w:color w:val="000000"/>
                <w:spacing w:val="0"/>
                <w:kern w:val="0"/>
                <w:lang w:val="en-US" w:eastAsia="zh-CN"/>
              </w:rPr>
            </w:pPr>
            <w:r>
              <w:rPr>
                <w:rFonts w:hint="eastAsia"/>
                <w:color w:val="000000"/>
                <w:spacing w:val="0"/>
                <w:kern w:val="0"/>
                <w:lang w:val="en-US" w:eastAsia="zh-CN"/>
              </w:rPr>
              <w:t>（3）废油桶</w:t>
            </w:r>
          </w:p>
          <w:p w14:paraId="54059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color w:val="000000"/>
                <w:spacing w:val="0"/>
                <w:kern w:val="0"/>
                <w:lang w:val="en-US" w:eastAsia="zh-CN"/>
              </w:rPr>
            </w:pPr>
            <w:r>
              <w:rPr>
                <w:rFonts w:hint="eastAsia"/>
                <w:color w:val="000000"/>
                <w:spacing w:val="0"/>
                <w:kern w:val="0"/>
                <w:lang w:val="en-US" w:eastAsia="zh-CN"/>
              </w:rPr>
              <w:t>本项目在使用矿物油时产生的废油桶约为0.1</w:t>
            </w:r>
            <w:r>
              <w:rPr>
                <w:rFonts w:hint="default"/>
                <w:color w:val="000000"/>
                <w:spacing w:val="0"/>
                <w:kern w:val="0"/>
                <w:lang w:val="en-US" w:eastAsia="zh-CN"/>
              </w:rPr>
              <w:t>t/a</w:t>
            </w:r>
            <w:r>
              <w:rPr>
                <w:rFonts w:hint="eastAsia"/>
                <w:color w:val="000000"/>
                <w:spacing w:val="0"/>
                <w:kern w:val="0"/>
                <w:lang w:val="en-US" w:eastAsia="zh-CN"/>
              </w:rPr>
              <w:t>，收集、储存于危废贮存点，交由有资质的机构处理。根据《国家危险废物名录》（</w:t>
            </w:r>
            <w:r>
              <w:rPr>
                <w:rFonts w:hint="default"/>
                <w:color w:val="000000"/>
                <w:spacing w:val="0"/>
                <w:kern w:val="0"/>
                <w:lang w:val="en-US" w:eastAsia="zh-CN"/>
              </w:rPr>
              <w:t>202</w:t>
            </w:r>
            <w:r>
              <w:rPr>
                <w:rFonts w:hint="eastAsia"/>
                <w:color w:val="000000"/>
                <w:spacing w:val="0"/>
                <w:kern w:val="0"/>
                <w:lang w:val="en-US" w:eastAsia="zh-CN"/>
              </w:rPr>
              <w:t>5年），沾染矿物油的废弃包装物属于危险废物，危废代码为（</w:t>
            </w:r>
            <w:r>
              <w:rPr>
                <w:rFonts w:hint="default"/>
                <w:color w:val="000000"/>
                <w:spacing w:val="0"/>
                <w:kern w:val="0"/>
                <w:lang w:val="en-US" w:eastAsia="zh-CN"/>
              </w:rPr>
              <w:t>HW08</w:t>
            </w:r>
            <w:r>
              <w:rPr>
                <w:rFonts w:hint="eastAsia"/>
                <w:color w:val="000000"/>
                <w:spacing w:val="0"/>
                <w:kern w:val="0"/>
                <w:lang w:val="en-US" w:eastAsia="zh-CN"/>
              </w:rPr>
              <w:t>，</w:t>
            </w:r>
            <w:r>
              <w:rPr>
                <w:rFonts w:hint="default"/>
                <w:color w:val="000000"/>
                <w:spacing w:val="0"/>
                <w:kern w:val="0"/>
                <w:lang w:val="en-US" w:eastAsia="zh-CN"/>
              </w:rPr>
              <w:t>900-249-08</w:t>
            </w:r>
            <w:r>
              <w:rPr>
                <w:rFonts w:hint="eastAsia"/>
                <w:color w:val="000000"/>
                <w:spacing w:val="0"/>
                <w:kern w:val="0"/>
                <w:lang w:val="en-US" w:eastAsia="zh-CN"/>
              </w:rPr>
              <w:t>），暂存在危险废物贮存库，委托有资质的单位统一处理。</w:t>
            </w:r>
          </w:p>
          <w:p w14:paraId="39E906CD">
            <w:pPr>
              <w:keepNext w:val="0"/>
              <w:keepLines w:val="0"/>
              <w:suppressLineNumbers w:val="0"/>
              <w:adjustRightInd w:val="0"/>
              <w:snapToGrid w:val="0"/>
              <w:spacing w:before="0" w:beforeAutospacing="0" w:after="0" w:afterAutospacing="0"/>
              <w:ind w:left="0" w:right="0" w:firstLine="480" w:firstLineChars="200"/>
              <w:rPr>
                <w:rFonts w:hint="eastAsia" w:ascii="Times New Roman" w:hAnsi="Times New Roman" w:eastAsia="宋体" w:cs="Times New Roman"/>
                <w:color w:val="000000"/>
                <w:spacing w:val="0"/>
                <w:kern w:val="0"/>
                <w:lang w:val="en-US" w:eastAsia="zh-CN"/>
              </w:rPr>
            </w:pPr>
            <w:r>
              <w:rPr>
                <w:rFonts w:hint="eastAsia" w:ascii="Times New Roman" w:hAnsi="Times New Roman" w:eastAsia="宋体" w:cs="Times New Roman"/>
                <w:color w:val="000000"/>
                <w:spacing w:val="0"/>
                <w:kern w:val="0"/>
                <w:lang w:val="en-US" w:eastAsia="zh-CN"/>
              </w:rPr>
              <w:t>（</w:t>
            </w:r>
            <w:r>
              <w:rPr>
                <w:rFonts w:hint="eastAsia" w:cs="Times New Roman"/>
                <w:color w:val="000000"/>
                <w:spacing w:val="0"/>
                <w:kern w:val="0"/>
                <w:lang w:val="en-US" w:eastAsia="zh-CN"/>
              </w:rPr>
              <w:t>4</w:t>
            </w:r>
            <w:r>
              <w:rPr>
                <w:rFonts w:hint="eastAsia" w:ascii="Times New Roman" w:hAnsi="Times New Roman" w:eastAsia="宋体" w:cs="Times New Roman"/>
                <w:color w:val="000000"/>
                <w:spacing w:val="0"/>
                <w:kern w:val="0"/>
                <w:lang w:val="en-US" w:eastAsia="zh-CN"/>
              </w:rPr>
              <w:t>）沾染含油污泥的废手套、废抹布</w:t>
            </w:r>
          </w:p>
          <w:p w14:paraId="603DB461">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本项目员工日常工作中产生的沾染含油污泥的废手套、废抹布，产生量约0.0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t/a，危废代码</w:t>
            </w:r>
            <w:r>
              <w:rPr>
                <w:rFonts w:hint="eastAsia" w:ascii="Times New Roman" w:hAnsi="Times New Roman" w:eastAsia="宋体" w:cs="Times New Roman"/>
                <w:sz w:val="24"/>
                <w:szCs w:val="24"/>
                <w:lang w:val="en-US" w:eastAsia="zh-CN"/>
              </w:rPr>
              <w:t>为（HW49，</w:t>
            </w:r>
            <w:r>
              <w:rPr>
                <w:rFonts w:hint="default" w:ascii="Times New Roman" w:hAnsi="Times New Roman" w:eastAsia="宋体" w:cs="Times New Roman"/>
                <w:sz w:val="24"/>
                <w:szCs w:val="24"/>
                <w:lang w:val="en-US" w:eastAsia="zh-CN"/>
              </w:rPr>
              <w:t>900-041-49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，沾染含油污泥的废手套、废抹布，收集后按危险废物管理。</w:t>
            </w:r>
          </w:p>
          <w:p w14:paraId="7121B770">
            <w:pPr>
              <w:pStyle w:val="43"/>
              <w:ind w:firstLine="422" w:firstLineChars="200"/>
              <w:rPr>
                <w:rFonts w:hint="default" w:ascii="Times New Roman" w:hAnsi="Times New Roman" w:cs="Times New Roman"/>
                <w:b/>
                <w:bCs w:val="0"/>
                <w:sz w:val="21"/>
                <w:szCs w:val="21"/>
                <w:vertAlign w:val="baseline"/>
                <w:lang w:val="en-US" w:eastAsia="zh-CN"/>
              </w:rPr>
            </w:pPr>
            <w:r>
              <w:rPr>
                <w:rFonts w:hint="default" w:ascii="Times New Roman" w:hAnsi="Times New Roman" w:cs="Times New Roman"/>
                <w:b/>
                <w:bCs w:val="0"/>
                <w:color w:val="000000"/>
                <w:spacing w:val="0"/>
                <w:kern w:val="0"/>
                <w:sz w:val="21"/>
                <w:szCs w:val="21"/>
                <w:lang w:val="en-US" w:eastAsia="zh-CN"/>
              </w:rPr>
              <w:t>表4-</w:t>
            </w:r>
            <w:r>
              <w:rPr>
                <w:rFonts w:hint="eastAsia" w:ascii="Times New Roman" w:cs="Times New Roman"/>
                <w:b/>
                <w:bCs w:val="0"/>
                <w:color w:val="000000"/>
                <w:spacing w:val="0"/>
                <w:kern w:val="0"/>
                <w:sz w:val="21"/>
                <w:szCs w:val="21"/>
                <w:lang w:val="en-US" w:eastAsia="zh-CN"/>
              </w:rPr>
              <w:t>10</w:t>
            </w:r>
            <w:r>
              <w:rPr>
                <w:rFonts w:hint="default" w:ascii="Times New Roman" w:hAnsi="Times New Roman" w:cs="Times New Roman"/>
                <w:b/>
                <w:bCs w:val="0"/>
                <w:color w:val="000000"/>
                <w:spacing w:val="0"/>
                <w:kern w:val="0"/>
                <w:sz w:val="21"/>
                <w:szCs w:val="21"/>
                <w:lang w:val="en-US" w:eastAsia="zh-CN"/>
              </w:rPr>
              <w:t xml:space="preserve">    </w:t>
            </w:r>
            <w:r>
              <w:rPr>
                <w:rFonts w:hint="eastAsia" w:ascii="Times New Roman" w:cs="Times New Roman"/>
                <w:b/>
                <w:bCs w:val="0"/>
                <w:color w:val="000000"/>
                <w:spacing w:val="0"/>
                <w:kern w:val="0"/>
                <w:sz w:val="21"/>
                <w:szCs w:val="21"/>
                <w:lang w:val="en-US" w:eastAsia="zh-CN"/>
              </w:rPr>
              <w:t xml:space="preserve">      </w:t>
            </w:r>
            <w:r>
              <w:rPr>
                <w:rFonts w:hint="default" w:ascii="Times New Roman" w:hAnsi="Times New Roman" w:cs="Times New Roman"/>
                <w:b/>
                <w:bCs w:val="0"/>
                <w:color w:val="000000"/>
                <w:spacing w:val="0"/>
                <w:kern w:val="0"/>
                <w:sz w:val="21"/>
                <w:szCs w:val="21"/>
                <w:lang w:val="en-US" w:eastAsia="zh-CN"/>
              </w:rPr>
              <w:t xml:space="preserve">   工程分析中危险废物汇总表</w:t>
            </w:r>
          </w:p>
          <w:tbl>
            <w:tblPr>
              <w:tblStyle w:val="36"/>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71"/>
              <w:gridCol w:w="658"/>
              <w:gridCol w:w="1254"/>
              <w:gridCol w:w="961"/>
              <w:gridCol w:w="469"/>
              <w:gridCol w:w="427"/>
              <w:gridCol w:w="748"/>
              <w:gridCol w:w="748"/>
              <w:gridCol w:w="444"/>
              <w:gridCol w:w="566"/>
              <w:gridCol w:w="789"/>
            </w:tblGrid>
            <w:tr w14:paraId="19277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noWrap w:val="0"/>
                  <w:vAlign w:val="center"/>
                </w:tcPr>
                <w:p w14:paraId="0130DC96">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序号</w:t>
                  </w:r>
                </w:p>
              </w:tc>
              <w:tc>
                <w:tcPr>
                  <w:tcW w:w="520" w:type="pct"/>
                  <w:tcBorders>
                    <w:tl2br w:val="nil"/>
                    <w:tr2bl w:val="nil"/>
                  </w:tcBorders>
                  <w:noWrap w:val="0"/>
                  <w:vAlign w:val="center"/>
                </w:tcPr>
                <w:p w14:paraId="2E78A68C">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危险废物名称</w:t>
                  </w:r>
                </w:p>
              </w:tc>
              <w:tc>
                <w:tcPr>
                  <w:tcW w:w="393" w:type="pct"/>
                  <w:tcBorders>
                    <w:tl2br w:val="nil"/>
                    <w:tr2bl w:val="nil"/>
                  </w:tcBorders>
                  <w:noWrap w:val="0"/>
                  <w:vAlign w:val="center"/>
                </w:tcPr>
                <w:p w14:paraId="4D23D813">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危险废物类别</w:t>
                  </w:r>
                </w:p>
              </w:tc>
              <w:tc>
                <w:tcPr>
                  <w:tcW w:w="749" w:type="pct"/>
                  <w:tcBorders>
                    <w:tl2br w:val="nil"/>
                    <w:tr2bl w:val="nil"/>
                  </w:tcBorders>
                  <w:noWrap w:val="0"/>
                  <w:vAlign w:val="center"/>
                </w:tcPr>
                <w:p w14:paraId="5E33D4D2">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危险废物代码</w:t>
                  </w:r>
                </w:p>
              </w:tc>
              <w:tc>
                <w:tcPr>
                  <w:tcW w:w="574" w:type="pct"/>
                  <w:tcBorders>
                    <w:tl2br w:val="nil"/>
                    <w:tr2bl w:val="nil"/>
                  </w:tcBorders>
                  <w:noWrap w:val="0"/>
                  <w:vAlign w:val="center"/>
                </w:tcPr>
                <w:p w14:paraId="14762AF8">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产生量（t/a）</w:t>
                  </w:r>
                </w:p>
              </w:tc>
              <w:tc>
                <w:tcPr>
                  <w:tcW w:w="280" w:type="pct"/>
                  <w:tcBorders>
                    <w:tl2br w:val="nil"/>
                    <w:tr2bl w:val="nil"/>
                  </w:tcBorders>
                  <w:noWrap w:val="0"/>
                  <w:vAlign w:val="center"/>
                </w:tcPr>
                <w:p w14:paraId="0724A071">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产生工序及装置</w:t>
                  </w:r>
                </w:p>
              </w:tc>
              <w:tc>
                <w:tcPr>
                  <w:tcW w:w="255" w:type="pct"/>
                  <w:tcBorders>
                    <w:tl2br w:val="nil"/>
                    <w:tr2bl w:val="nil"/>
                  </w:tcBorders>
                  <w:noWrap w:val="0"/>
                  <w:vAlign w:val="center"/>
                </w:tcPr>
                <w:p w14:paraId="7B209096">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形态</w:t>
                  </w:r>
                </w:p>
              </w:tc>
              <w:tc>
                <w:tcPr>
                  <w:tcW w:w="447" w:type="pct"/>
                  <w:tcBorders>
                    <w:tl2br w:val="nil"/>
                    <w:tr2bl w:val="nil"/>
                  </w:tcBorders>
                  <w:noWrap w:val="0"/>
                  <w:vAlign w:val="center"/>
                </w:tcPr>
                <w:p w14:paraId="51FEA886">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主要成分</w:t>
                  </w:r>
                </w:p>
              </w:tc>
              <w:tc>
                <w:tcPr>
                  <w:tcW w:w="447" w:type="pct"/>
                  <w:tcBorders>
                    <w:tl2br w:val="nil"/>
                    <w:tr2bl w:val="nil"/>
                  </w:tcBorders>
                  <w:noWrap w:val="0"/>
                  <w:vAlign w:val="center"/>
                </w:tcPr>
                <w:p w14:paraId="770AF8F7">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有害成分</w:t>
                  </w:r>
                </w:p>
              </w:tc>
              <w:tc>
                <w:tcPr>
                  <w:tcW w:w="265" w:type="pct"/>
                  <w:tcBorders>
                    <w:tl2br w:val="nil"/>
                    <w:tr2bl w:val="nil"/>
                  </w:tcBorders>
                  <w:noWrap w:val="0"/>
                  <w:vAlign w:val="center"/>
                </w:tcPr>
                <w:p w14:paraId="4DD81F81">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产废周期</w:t>
                  </w:r>
                </w:p>
              </w:tc>
              <w:tc>
                <w:tcPr>
                  <w:tcW w:w="338" w:type="pct"/>
                  <w:tcBorders>
                    <w:tl2br w:val="nil"/>
                    <w:tr2bl w:val="nil"/>
                  </w:tcBorders>
                  <w:noWrap w:val="0"/>
                  <w:vAlign w:val="center"/>
                </w:tcPr>
                <w:p w14:paraId="6BB3D851">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危险特性</w:t>
                  </w:r>
                </w:p>
              </w:tc>
              <w:tc>
                <w:tcPr>
                  <w:tcW w:w="471" w:type="pct"/>
                  <w:tcBorders>
                    <w:tl2br w:val="nil"/>
                    <w:tr2bl w:val="nil"/>
                  </w:tcBorders>
                  <w:noWrap w:val="0"/>
                  <w:vAlign w:val="center"/>
                </w:tcPr>
                <w:p w14:paraId="21060EFC">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污染防治措施</w:t>
                  </w:r>
                </w:p>
              </w:tc>
            </w:tr>
            <w:tr w14:paraId="634221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noWrap w:val="0"/>
                  <w:vAlign w:val="center"/>
                </w:tcPr>
                <w:p w14:paraId="4F3E1D82">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520" w:type="pct"/>
                  <w:tcBorders>
                    <w:tl2br w:val="nil"/>
                    <w:tr2bl w:val="nil"/>
                  </w:tcBorders>
                  <w:noWrap w:val="0"/>
                  <w:vAlign w:val="center"/>
                </w:tcPr>
                <w:p w14:paraId="7A81B5FE">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使用工业齿轮油进行机械设备润滑过程中产生的废润滑油</w:t>
                  </w:r>
                </w:p>
              </w:tc>
              <w:tc>
                <w:tcPr>
                  <w:tcW w:w="393" w:type="pct"/>
                  <w:tcBorders>
                    <w:tl2br w:val="nil"/>
                    <w:tr2bl w:val="nil"/>
                  </w:tcBorders>
                  <w:noWrap w:val="0"/>
                  <w:vAlign w:val="center"/>
                </w:tcPr>
                <w:p w14:paraId="738AC0A9">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HW08</w:t>
                  </w:r>
                </w:p>
              </w:tc>
              <w:tc>
                <w:tcPr>
                  <w:tcW w:w="749" w:type="pct"/>
                  <w:tcBorders>
                    <w:tl2br w:val="nil"/>
                    <w:tr2bl w:val="nil"/>
                  </w:tcBorders>
                  <w:noWrap w:val="0"/>
                  <w:vAlign w:val="center"/>
                </w:tcPr>
                <w:p w14:paraId="6C5406B7">
                  <w:pPr>
                    <w:pStyle w:val="43"/>
                    <w:jc w:val="center"/>
                    <w:rPr>
                      <w:rFonts w:hint="default" w:ascii="Times New Roman" w:hAns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9</w:t>
                  </w:r>
                  <w:r>
                    <w:rPr>
                      <w:rFonts w:hint="default" w:ascii="Times New Roman" w:hAnsi="Times New Roman" w:cs="Times New Roman"/>
                      <w:b w:val="0"/>
                      <w:bCs/>
                      <w:sz w:val="21"/>
                      <w:szCs w:val="21"/>
                      <w:vertAlign w:val="baseline"/>
                      <w:lang w:val="en-US" w:eastAsia="zh-CN"/>
                    </w:rPr>
                    <w:t>00-217-08</w:t>
                  </w:r>
                </w:p>
              </w:tc>
              <w:tc>
                <w:tcPr>
                  <w:tcW w:w="574" w:type="pct"/>
                  <w:tcBorders>
                    <w:tl2br w:val="nil"/>
                    <w:tr2bl w:val="nil"/>
                  </w:tcBorders>
                  <w:noWrap w:val="0"/>
                  <w:vAlign w:val="center"/>
                </w:tcPr>
                <w:p w14:paraId="1E7B9156">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0.5</w:t>
                  </w:r>
                </w:p>
              </w:tc>
              <w:tc>
                <w:tcPr>
                  <w:tcW w:w="280" w:type="pct"/>
                  <w:tcBorders>
                    <w:tl2br w:val="nil"/>
                    <w:tr2bl w:val="nil"/>
                  </w:tcBorders>
                  <w:noWrap w:val="0"/>
                  <w:vAlign w:val="center"/>
                </w:tcPr>
                <w:p w14:paraId="2B001E49">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机器维修工序</w:t>
                  </w:r>
                </w:p>
              </w:tc>
              <w:tc>
                <w:tcPr>
                  <w:tcW w:w="255" w:type="pct"/>
                  <w:tcBorders>
                    <w:tl2br w:val="nil"/>
                    <w:tr2bl w:val="nil"/>
                  </w:tcBorders>
                  <w:noWrap w:val="0"/>
                  <w:vAlign w:val="center"/>
                </w:tcPr>
                <w:p w14:paraId="07FA8789">
                  <w:pPr>
                    <w:pStyle w:val="43"/>
                    <w:jc w:val="center"/>
                    <w:rPr>
                      <w:rFonts w:hint="default" w:ascii="Times New Roman" w:hAns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液态</w:t>
                  </w:r>
                </w:p>
              </w:tc>
              <w:tc>
                <w:tcPr>
                  <w:tcW w:w="447" w:type="pct"/>
                  <w:tcBorders>
                    <w:tl2br w:val="nil"/>
                    <w:tr2bl w:val="nil"/>
                  </w:tcBorders>
                  <w:noWrap w:val="0"/>
                  <w:vAlign w:val="center"/>
                </w:tcPr>
                <w:p w14:paraId="0AF17AF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vertAlign w:val="baseline"/>
                      <w:lang w:val="en-US" w:eastAsia="zh-CN"/>
                    </w:rPr>
                  </w:pPr>
                  <w:r>
                    <w:rPr>
                      <w:rFonts w:hint="default" w:ascii="Times New Roman" w:hAnsi="Times New Roman" w:eastAsia="宋体" w:cs="Times New Roman"/>
                      <w:color w:val="000000"/>
                      <w:kern w:val="0"/>
                      <w:sz w:val="21"/>
                      <w:szCs w:val="21"/>
                      <w:highlight w:val="none"/>
                    </w:rPr>
                    <w:t>烷烃、多环芳烃、烯烃、苯系物、酚类</w:t>
                  </w:r>
                </w:p>
              </w:tc>
              <w:tc>
                <w:tcPr>
                  <w:tcW w:w="447" w:type="pct"/>
                  <w:tcBorders>
                    <w:tl2br w:val="nil"/>
                    <w:tr2bl w:val="nil"/>
                  </w:tcBorders>
                  <w:noWrap w:val="0"/>
                  <w:vAlign w:val="center"/>
                </w:tcPr>
                <w:p w14:paraId="6FFA841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vertAlign w:val="baseline"/>
                      <w:lang w:val="en-US" w:eastAsia="zh-CN"/>
                    </w:rPr>
                  </w:pPr>
                  <w:r>
                    <w:rPr>
                      <w:rFonts w:hint="default" w:ascii="Times New Roman" w:hAnsi="Times New Roman" w:eastAsia="宋体" w:cs="Times New Roman"/>
                      <w:color w:val="000000"/>
                      <w:kern w:val="0"/>
                      <w:sz w:val="21"/>
                      <w:szCs w:val="21"/>
                      <w:highlight w:val="none"/>
                    </w:rPr>
                    <w:t>烷烃、多环芳烃、烯烃、苯系物、酚类</w:t>
                  </w:r>
                </w:p>
              </w:tc>
              <w:tc>
                <w:tcPr>
                  <w:tcW w:w="265" w:type="pct"/>
                  <w:tcBorders>
                    <w:tl2br w:val="nil"/>
                    <w:tr2bl w:val="nil"/>
                  </w:tcBorders>
                  <w:noWrap w:val="0"/>
                  <w:vAlign w:val="center"/>
                </w:tcPr>
                <w:p w14:paraId="288D57C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vertAlign w:val="baseline"/>
                      <w:lang w:val="en-US" w:eastAsia="zh-CN"/>
                    </w:rPr>
                  </w:pPr>
                  <w:r>
                    <w:rPr>
                      <w:rFonts w:hint="default" w:ascii="Times New Roman" w:hAnsi="Times New Roman" w:eastAsia="宋体" w:cs="Times New Roman"/>
                      <w:color w:val="000000"/>
                      <w:kern w:val="0"/>
                      <w:sz w:val="21"/>
                      <w:szCs w:val="21"/>
                      <w:highlight w:val="none"/>
                      <w:lang w:eastAsia="zh-CN"/>
                    </w:rPr>
                    <w:t>每年</w:t>
                  </w:r>
                  <w:r>
                    <w:rPr>
                      <w:rFonts w:hint="default" w:ascii="Times New Roman" w:hAnsi="Times New Roman" w:eastAsia="宋体" w:cs="Times New Roman"/>
                      <w:color w:val="000000"/>
                      <w:kern w:val="0"/>
                      <w:sz w:val="21"/>
                      <w:szCs w:val="21"/>
                      <w:highlight w:val="none"/>
                      <w:lang w:val="en-US" w:eastAsia="zh-CN"/>
                    </w:rPr>
                    <w:t>1次</w:t>
                  </w:r>
                </w:p>
              </w:tc>
              <w:tc>
                <w:tcPr>
                  <w:tcW w:w="338" w:type="pct"/>
                  <w:tcBorders>
                    <w:tl2br w:val="nil"/>
                    <w:tr2bl w:val="nil"/>
                  </w:tcBorders>
                  <w:noWrap w:val="0"/>
                  <w:vAlign w:val="center"/>
                </w:tcPr>
                <w:p w14:paraId="6D2F3EF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vertAlign w:val="baseline"/>
                      <w:lang w:val="en-US" w:eastAsia="zh-CN"/>
                    </w:rPr>
                  </w:pPr>
                  <w:r>
                    <w:rPr>
                      <w:rFonts w:hint="default" w:ascii="Times New Roman" w:hAnsi="Times New Roman" w:eastAsia="宋体" w:cs="Times New Roman"/>
                      <w:color w:val="000000"/>
                      <w:kern w:val="0"/>
                      <w:sz w:val="21"/>
                      <w:szCs w:val="21"/>
                      <w:highlight w:val="none"/>
                    </w:rPr>
                    <w:t>T</w:t>
                  </w:r>
                  <w:r>
                    <w:rPr>
                      <w:rFonts w:hint="eastAsia" w:cs="Times New Roman"/>
                      <w:color w:val="000000"/>
                      <w:kern w:val="0"/>
                      <w:sz w:val="21"/>
                      <w:szCs w:val="21"/>
                      <w:highlight w:val="none"/>
                      <w:lang w:val="en-US" w:eastAsia="zh-CN"/>
                    </w:rPr>
                    <w:t>，</w:t>
                  </w:r>
                  <w:r>
                    <w:rPr>
                      <w:rFonts w:hint="default" w:ascii="Times New Roman" w:hAnsi="Times New Roman" w:eastAsia="宋体" w:cs="Times New Roman"/>
                      <w:color w:val="000000"/>
                      <w:kern w:val="0"/>
                      <w:sz w:val="21"/>
                      <w:szCs w:val="21"/>
                      <w:highlight w:val="none"/>
                    </w:rPr>
                    <w:t>I</w:t>
                  </w:r>
                </w:p>
              </w:tc>
              <w:tc>
                <w:tcPr>
                  <w:tcW w:w="471" w:type="pct"/>
                  <w:tcBorders>
                    <w:tl2br w:val="nil"/>
                    <w:tr2bl w:val="nil"/>
                  </w:tcBorders>
                  <w:noWrap w:val="0"/>
                  <w:vAlign w:val="center"/>
                </w:tcPr>
                <w:p w14:paraId="34E97877">
                  <w:pPr>
                    <w:pStyle w:val="43"/>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暂存在</w:t>
                  </w:r>
                  <w:r>
                    <w:rPr>
                      <w:rFonts w:hint="eastAsia" w:ascii="Times New Roman"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r w14:paraId="7AD907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noWrap w:val="0"/>
                  <w:vAlign w:val="center"/>
                </w:tcPr>
                <w:p w14:paraId="7862E78A">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520" w:type="pct"/>
                  <w:tcBorders>
                    <w:tl2br w:val="nil"/>
                    <w:tr2bl w:val="nil"/>
                  </w:tcBorders>
                  <w:noWrap w:val="0"/>
                  <w:vAlign w:val="center"/>
                </w:tcPr>
                <w:p w14:paraId="749FBD42">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废油桶</w:t>
                  </w:r>
                </w:p>
              </w:tc>
              <w:tc>
                <w:tcPr>
                  <w:tcW w:w="393" w:type="pct"/>
                  <w:tcBorders>
                    <w:tl2br w:val="nil"/>
                    <w:tr2bl w:val="nil"/>
                  </w:tcBorders>
                  <w:noWrap w:val="0"/>
                  <w:vAlign w:val="center"/>
                </w:tcPr>
                <w:p w14:paraId="08700206">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HW08</w:t>
                  </w:r>
                </w:p>
              </w:tc>
              <w:tc>
                <w:tcPr>
                  <w:tcW w:w="749" w:type="pct"/>
                  <w:tcBorders>
                    <w:tl2br w:val="nil"/>
                    <w:tr2bl w:val="nil"/>
                  </w:tcBorders>
                  <w:noWrap w:val="0"/>
                  <w:vAlign w:val="center"/>
                </w:tcPr>
                <w:p w14:paraId="310A8972">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900-249-08</w:t>
                  </w:r>
                </w:p>
              </w:tc>
              <w:tc>
                <w:tcPr>
                  <w:tcW w:w="574" w:type="pct"/>
                  <w:tcBorders>
                    <w:tl2br w:val="nil"/>
                    <w:tr2bl w:val="nil"/>
                  </w:tcBorders>
                  <w:noWrap w:val="0"/>
                  <w:vAlign w:val="center"/>
                </w:tcPr>
                <w:p w14:paraId="6ED29FA8">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0.1</w:t>
                  </w:r>
                </w:p>
              </w:tc>
              <w:tc>
                <w:tcPr>
                  <w:tcW w:w="280" w:type="pct"/>
                  <w:tcBorders>
                    <w:tl2br w:val="nil"/>
                    <w:tr2bl w:val="nil"/>
                  </w:tcBorders>
                  <w:noWrap w:val="0"/>
                  <w:vAlign w:val="center"/>
                </w:tcPr>
                <w:p w14:paraId="39BFD7E9">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机器维修工序</w:t>
                  </w:r>
                </w:p>
              </w:tc>
              <w:tc>
                <w:tcPr>
                  <w:tcW w:w="255" w:type="pct"/>
                  <w:tcBorders>
                    <w:tl2br w:val="nil"/>
                    <w:tr2bl w:val="nil"/>
                  </w:tcBorders>
                  <w:noWrap w:val="0"/>
                  <w:vAlign w:val="center"/>
                </w:tcPr>
                <w:p w14:paraId="48FC6EF0">
                  <w:pPr>
                    <w:pStyle w:val="43"/>
                    <w:ind w:left="0" w:leftChars="0" w:right="0" w:rightChars="0" w:firstLine="0" w:firstLineChars="0"/>
                    <w:jc w:val="center"/>
                    <w:rPr>
                      <w:rFonts w:hint="eastAsia" w:asci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固态</w:t>
                  </w:r>
                </w:p>
              </w:tc>
              <w:tc>
                <w:tcPr>
                  <w:tcW w:w="447" w:type="pct"/>
                  <w:tcBorders>
                    <w:tl2br w:val="nil"/>
                    <w:tr2bl w:val="nil"/>
                  </w:tcBorders>
                  <w:noWrap w:val="0"/>
                  <w:vAlign w:val="center"/>
                </w:tcPr>
                <w:p w14:paraId="734CC4C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烷烃、多环芳烃、烯烃、苯系物、酚类</w:t>
                  </w:r>
                </w:p>
              </w:tc>
              <w:tc>
                <w:tcPr>
                  <w:tcW w:w="447" w:type="pct"/>
                  <w:tcBorders>
                    <w:tl2br w:val="nil"/>
                    <w:tr2bl w:val="nil"/>
                  </w:tcBorders>
                  <w:noWrap w:val="0"/>
                  <w:vAlign w:val="center"/>
                </w:tcPr>
                <w:p w14:paraId="37070B9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烷烃、多环芳烃、烯烃、苯系物、酚类</w:t>
                  </w:r>
                </w:p>
              </w:tc>
              <w:tc>
                <w:tcPr>
                  <w:tcW w:w="265" w:type="pct"/>
                  <w:tcBorders>
                    <w:tl2br w:val="nil"/>
                    <w:tr2bl w:val="nil"/>
                  </w:tcBorders>
                  <w:noWrap w:val="0"/>
                  <w:vAlign w:val="center"/>
                </w:tcPr>
                <w:p w14:paraId="1B4728E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每年</w:t>
                  </w:r>
                  <w:r>
                    <w:rPr>
                      <w:rFonts w:hint="default" w:ascii="Times New Roman" w:hAnsi="Times New Roman" w:eastAsia="宋体" w:cs="Times New Roman"/>
                      <w:color w:val="000000"/>
                      <w:kern w:val="0"/>
                      <w:sz w:val="21"/>
                      <w:szCs w:val="21"/>
                      <w:highlight w:val="none"/>
                      <w:lang w:val="en-US" w:eastAsia="zh-CN"/>
                    </w:rPr>
                    <w:t>1次</w:t>
                  </w:r>
                </w:p>
              </w:tc>
              <w:tc>
                <w:tcPr>
                  <w:tcW w:w="338" w:type="pct"/>
                  <w:tcBorders>
                    <w:tl2br w:val="nil"/>
                    <w:tr2bl w:val="nil"/>
                  </w:tcBorders>
                  <w:noWrap w:val="0"/>
                  <w:vAlign w:val="center"/>
                </w:tcPr>
                <w:p w14:paraId="1B4F5A7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T，I</w:t>
                  </w:r>
                </w:p>
              </w:tc>
              <w:tc>
                <w:tcPr>
                  <w:tcW w:w="471" w:type="pct"/>
                  <w:tcBorders>
                    <w:tl2br w:val="nil"/>
                    <w:tr2bl w:val="nil"/>
                  </w:tcBorders>
                  <w:noWrap w:val="0"/>
                  <w:vAlign w:val="center"/>
                </w:tcPr>
                <w:p w14:paraId="6EF17BBF">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暂存在</w:t>
                  </w:r>
                  <w:r>
                    <w:rPr>
                      <w:rFonts w:hint="eastAsia" w:ascii="Times New Roman"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r w14:paraId="381B10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noWrap w:val="0"/>
                  <w:vAlign w:val="center"/>
                </w:tcPr>
                <w:p w14:paraId="65139D07">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3</w:t>
                  </w:r>
                </w:p>
              </w:tc>
              <w:tc>
                <w:tcPr>
                  <w:tcW w:w="520" w:type="pct"/>
                  <w:tcBorders>
                    <w:tl2br w:val="nil"/>
                    <w:tr2bl w:val="nil"/>
                  </w:tcBorders>
                  <w:noWrap w:val="0"/>
                  <w:vAlign w:val="center"/>
                </w:tcPr>
                <w:p w14:paraId="2F31B7C8">
                  <w:pPr>
                    <w:pStyle w:val="43"/>
                    <w:ind w:left="0" w:leftChars="0" w:right="0" w:rightChars="0" w:firstLine="0" w:firstLineChars="0"/>
                    <w:jc w:val="center"/>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沾染含油污泥的废手套、废抹布</w:t>
                  </w:r>
                </w:p>
              </w:tc>
              <w:tc>
                <w:tcPr>
                  <w:tcW w:w="393" w:type="pct"/>
                  <w:tcBorders>
                    <w:tl2br w:val="nil"/>
                    <w:tr2bl w:val="nil"/>
                  </w:tcBorders>
                  <w:noWrap w:val="0"/>
                  <w:vAlign w:val="center"/>
                </w:tcPr>
                <w:p w14:paraId="0760E55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rPr>
                    <w:t>HW49</w:t>
                  </w:r>
                </w:p>
              </w:tc>
              <w:tc>
                <w:tcPr>
                  <w:tcW w:w="749" w:type="pct"/>
                  <w:tcBorders>
                    <w:tl2br w:val="nil"/>
                    <w:tr2bl w:val="nil"/>
                  </w:tcBorders>
                  <w:noWrap w:val="0"/>
                  <w:vAlign w:val="center"/>
                </w:tcPr>
                <w:p w14:paraId="697586E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rPr>
                    <w:t>900-041-49</w:t>
                  </w:r>
                </w:p>
              </w:tc>
              <w:tc>
                <w:tcPr>
                  <w:tcW w:w="574" w:type="pct"/>
                  <w:tcBorders>
                    <w:tl2br w:val="nil"/>
                    <w:tr2bl w:val="nil"/>
                  </w:tcBorders>
                  <w:noWrap w:val="0"/>
                  <w:vAlign w:val="center"/>
                </w:tcPr>
                <w:p w14:paraId="75BD97A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color w:val="000000"/>
                      <w:kern w:val="0"/>
                      <w:sz w:val="21"/>
                      <w:szCs w:val="21"/>
                      <w:highlight w:val="none"/>
                      <w:lang w:val="en-US" w:eastAsia="zh-CN"/>
                    </w:rPr>
                    <w:t>0.0</w:t>
                  </w:r>
                  <w:r>
                    <w:rPr>
                      <w:rFonts w:hint="eastAsia" w:ascii="Times New Roman" w:hAnsi="Times New Roman" w:eastAsia="宋体" w:cs="Times New Roman"/>
                      <w:color w:val="000000"/>
                      <w:kern w:val="0"/>
                      <w:sz w:val="21"/>
                      <w:szCs w:val="21"/>
                      <w:highlight w:val="none"/>
                      <w:lang w:val="en-US" w:eastAsia="zh-CN"/>
                    </w:rPr>
                    <w:t>1</w:t>
                  </w:r>
                </w:p>
              </w:tc>
              <w:tc>
                <w:tcPr>
                  <w:tcW w:w="280" w:type="pct"/>
                  <w:tcBorders>
                    <w:tl2br w:val="nil"/>
                    <w:tr2bl w:val="nil"/>
                  </w:tcBorders>
                  <w:noWrap w:val="0"/>
                  <w:vAlign w:val="center"/>
                </w:tcPr>
                <w:p w14:paraId="7A52D1C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机器维修工序</w:t>
                  </w:r>
                </w:p>
              </w:tc>
              <w:tc>
                <w:tcPr>
                  <w:tcW w:w="255" w:type="pct"/>
                  <w:tcBorders>
                    <w:tl2br w:val="nil"/>
                    <w:tr2bl w:val="nil"/>
                  </w:tcBorders>
                  <w:noWrap w:val="0"/>
                  <w:vAlign w:val="center"/>
                </w:tcPr>
                <w:p w14:paraId="4F3F874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cs="Times New Roman"/>
                      <w:b w:val="0"/>
                      <w:bCs/>
                      <w:sz w:val="21"/>
                      <w:szCs w:val="21"/>
                      <w:vertAlign w:val="baseline"/>
                      <w:lang w:val="en-US" w:eastAsia="zh-CN"/>
                    </w:rPr>
                  </w:pPr>
                  <w:r>
                    <w:rPr>
                      <w:rFonts w:hint="default" w:ascii="Times New Roman" w:hAnsi="Times New Roman" w:eastAsia="宋体" w:cs="Times New Roman"/>
                      <w:color w:val="000000"/>
                      <w:kern w:val="0"/>
                      <w:sz w:val="21"/>
                      <w:szCs w:val="21"/>
                      <w:highlight w:val="none"/>
                      <w:lang w:eastAsia="zh-CN"/>
                    </w:rPr>
                    <w:t>固体</w:t>
                  </w:r>
                </w:p>
              </w:tc>
              <w:tc>
                <w:tcPr>
                  <w:tcW w:w="447" w:type="pct"/>
                  <w:tcBorders>
                    <w:tl2br w:val="nil"/>
                    <w:tr2bl w:val="nil"/>
                  </w:tcBorders>
                  <w:noWrap w:val="0"/>
                  <w:vAlign w:val="center"/>
                </w:tcPr>
                <w:p w14:paraId="4D38E2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auto"/>
                      <w:sz w:val="21"/>
                      <w:szCs w:val="21"/>
                      <w:lang w:eastAsia="zh-CN"/>
                    </w:rPr>
                    <w:t>苯系物、非甲烷总烃</w:t>
                  </w:r>
                </w:p>
              </w:tc>
              <w:tc>
                <w:tcPr>
                  <w:tcW w:w="447" w:type="pct"/>
                  <w:tcBorders>
                    <w:tl2br w:val="nil"/>
                    <w:tr2bl w:val="nil"/>
                  </w:tcBorders>
                  <w:noWrap w:val="0"/>
                  <w:vAlign w:val="center"/>
                </w:tcPr>
                <w:p w14:paraId="3F2D2D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auto"/>
                      <w:sz w:val="21"/>
                      <w:szCs w:val="21"/>
                      <w:lang w:eastAsia="zh-CN"/>
                    </w:rPr>
                    <w:t>苯系物、非甲烷总烃</w:t>
                  </w:r>
                </w:p>
              </w:tc>
              <w:tc>
                <w:tcPr>
                  <w:tcW w:w="265" w:type="pct"/>
                  <w:tcBorders>
                    <w:tl2br w:val="nil"/>
                    <w:tr2bl w:val="nil"/>
                  </w:tcBorders>
                  <w:noWrap w:val="0"/>
                  <w:vAlign w:val="center"/>
                </w:tcPr>
                <w:p w14:paraId="0CA048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sz w:val="21"/>
                      <w:szCs w:val="21"/>
                      <w:lang w:eastAsia="zh-CN"/>
                    </w:rPr>
                    <w:t>不定期</w:t>
                  </w:r>
                </w:p>
              </w:tc>
              <w:tc>
                <w:tcPr>
                  <w:tcW w:w="338" w:type="pct"/>
                  <w:tcBorders>
                    <w:tl2br w:val="nil"/>
                    <w:tr2bl w:val="nil"/>
                  </w:tcBorders>
                  <w:noWrap w:val="0"/>
                  <w:vAlign w:val="center"/>
                </w:tcPr>
                <w:p w14:paraId="2A7EFC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sz w:val="21"/>
                      <w:szCs w:val="21"/>
                      <w:lang w:val="en-US" w:eastAsia="zh-CN"/>
                    </w:rPr>
                    <w:t>T/In</w:t>
                  </w:r>
                </w:p>
              </w:tc>
              <w:tc>
                <w:tcPr>
                  <w:tcW w:w="471" w:type="pct"/>
                  <w:tcBorders>
                    <w:tl2br w:val="nil"/>
                    <w:tr2bl w:val="nil"/>
                  </w:tcBorders>
                  <w:noWrap w:val="0"/>
                  <w:vAlign w:val="center"/>
                </w:tcPr>
                <w:p w14:paraId="0561CF9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收集后按危险废物管理</w:t>
                  </w:r>
                </w:p>
              </w:tc>
            </w:tr>
            <w:tr w14:paraId="654FA3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tcBorders>
                    <w:tl2br w:val="nil"/>
                    <w:tr2bl w:val="nil"/>
                  </w:tcBorders>
                  <w:noWrap w:val="0"/>
                  <w:vAlign w:val="center"/>
                </w:tcPr>
                <w:p w14:paraId="623D1D53">
                  <w:pPr>
                    <w:pStyle w:val="43"/>
                    <w:ind w:left="0" w:leftChars="0" w:right="0" w:rightChars="0" w:firstLine="0" w:firstLineChars="0"/>
                    <w:jc w:val="center"/>
                    <w:rPr>
                      <w:rFonts w:hint="default" w:ascii="Times New Roman" w:cs="Times New Roman"/>
                      <w:b w:val="0"/>
                      <w:bCs/>
                      <w:sz w:val="21"/>
                      <w:szCs w:val="21"/>
                      <w:vertAlign w:val="baseline"/>
                      <w:lang w:val="en-US" w:eastAsia="zh-CN"/>
                    </w:rPr>
                  </w:pPr>
                  <w:r>
                    <w:rPr>
                      <w:rFonts w:hint="eastAsia" w:ascii="Times New Roman" w:cs="Times New Roman"/>
                      <w:b w:val="0"/>
                      <w:bCs/>
                      <w:sz w:val="21"/>
                      <w:szCs w:val="21"/>
                      <w:vertAlign w:val="baseline"/>
                      <w:lang w:val="en-US" w:eastAsia="zh-CN"/>
                    </w:rPr>
                    <w:t>4</w:t>
                  </w:r>
                </w:p>
              </w:tc>
              <w:tc>
                <w:tcPr>
                  <w:tcW w:w="520" w:type="pct"/>
                  <w:tcBorders>
                    <w:tl2br w:val="nil"/>
                    <w:tr2bl w:val="nil"/>
                  </w:tcBorders>
                  <w:noWrap w:val="0"/>
                  <w:vAlign w:val="center"/>
                </w:tcPr>
                <w:p w14:paraId="231A69FA">
                  <w:pPr>
                    <w:pStyle w:val="43"/>
                    <w:ind w:left="0" w:leftChars="0" w:right="0" w:rightChars="0" w:firstLine="0" w:firstLineChars="0"/>
                    <w:jc w:val="center"/>
                    <w:rPr>
                      <w:rFonts w:hint="default" w:ascii="Times New Roman" w:hAnsi="Times New Roman" w:eastAsia="宋体" w:cs="Times New Roman"/>
                      <w:b w:val="0"/>
                      <w:bCs/>
                      <w:color w:val="000000"/>
                      <w:spacing w:val="0"/>
                      <w:kern w:val="0"/>
                      <w:sz w:val="21"/>
                      <w:szCs w:val="21"/>
                      <w:lang w:val="en-US" w:eastAsia="zh-CN" w:bidi="ar-SA"/>
                    </w:rPr>
                  </w:pPr>
                  <w:r>
                    <w:rPr>
                      <w:rFonts w:hint="eastAsia" w:ascii="Times New Roman" w:cs="Times New Roman"/>
                      <w:b w:val="0"/>
                      <w:bCs/>
                      <w:color w:val="000000"/>
                      <w:spacing w:val="0"/>
                      <w:kern w:val="0"/>
                      <w:sz w:val="21"/>
                      <w:szCs w:val="21"/>
                      <w:lang w:val="en-US" w:eastAsia="zh-CN" w:bidi="ar-SA"/>
                    </w:rPr>
                    <w:t>氢氧化钠包装袋</w:t>
                  </w:r>
                </w:p>
              </w:tc>
              <w:tc>
                <w:tcPr>
                  <w:tcW w:w="393" w:type="pct"/>
                  <w:tcBorders>
                    <w:tl2br w:val="nil"/>
                    <w:tr2bl w:val="nil"/>
                  </w:tcBorders>
                  <w:shd w:val="clear" w:color="auto" w:fill="auto"/>
                  <w:noWrap w:val="0"/>
                  <w:vAlign w:val="center"/>
                </w:tcPr>
                <w:p w14:paraId="6D54413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HW49</w:t>
                  </w:r>
                </w:p>
              </w:tc>
              <w:tc>
                <w:tcPr>
                  <w:tcW w:w="749" w:type="pct"/>
                  <w:tcBorders>
                    <w:tl2br w:val="nil"/>
                    <w:tr2bl w:val="nil"/>
                  </w:tcBorders>
                  <w:shd w:val="clear" w:color="auto" w:fill="auto"/>
                  <w:noWrap w:val="0"/>
                  <w:vAlign w:val="center"/>
                </w:tcPr>
                <w:p w14:paraId="6F2467B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900-041-49</w:t>
                  </w:r>
                </w:p>
              </w:tc>
              <w:tc>
                <w:tcPr>
                  <w:tcW w:w="574" w:type="pct"/>
                  <w:tcBorders>
                    <w:tl2br w:val="nil"/>
                    <w:tr2bl w:val="nil"/>
                  </w:tcBorders>
                  <w:noWrap w:val="0"/>
                  <w:vAlign w:val="center"/>
                </w:tcPr>
                <w:p w14:paraId="36F2F54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pacing w:val="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0.0</w:t>
                  </w:r>
                  <w:r>
                    <w:rPr>
                      <w:rFonts w:hint="eastAsia" w:ascii="Times New Roman" w:hAnsi="Times New Roman" w:eastAsia="宋体" w:cs="Times New Roman"/>
                      <w:color w:val="000000"/>
                      <w:kern w:val="0"/>
                      <w:sz w:val="21"/>
                      <w:szCs w:val="21"/>
                      <w:highlight w:val="none"/>
                      <w:lang w:val="en-US" w:eastAsia="zh-CN"/>
                    </w:rPr>
                    <w:t>1</w:t>
                  </w:r>
                </w:p>
              </w:tc>
              <w:tc>
                <w:tcPr>
                  <w:tcW w:w="280" w:type="pct"/>
                  <w:tcBorders>
                    <w:tl2br w:val="nil"/>
                    <w:tr2bl w:val="nil"/>
                  </w:tcBorders>
                  <w:noWrap w:val="0"/>
                  <w:vAlign w:val="center"/>
                </w:tcPr>
                <w:p w14:paraId="287FDED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废气治理</w:t>
                  </w:r>
                </w:p>
              </w:tc>
              <w:tc>
                <w:tcPr>
                  <w:tcW w:w="255" w:type="pct"/>
                  <w:tcBorders>
                    <w:tl2br w:val="nil"/>
                    <w:tr2bl w:val="nil"/>
                  </w:tcBorders>
                  <w:noWrap w:val="0"/>
                  <w:vAlign w:val="center"/>
                </w:tcPr>
                <w:p w14:paraId="7A6CB6B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eastAsia="zh-CN"/>
                    </w:rPr>
                    <w:t>固体</w:t>
                  </w:r>
                </w:p>
              </w:tc>
              <w:tc>
                <w:tcPr>
                  <w:tcW w:w="447" w:type="pct"/>
                  <w:tcBorders>
                    <w:tl2br w:val="nil"/>
                    <w:tr2bl w:val="nil"/>
                  </w:tcBorders>
                  <w:noWrap w:val="0"/>
                  <w:vAlign w:val="center"/>
                </w:tcPr>
                <w:p w14:paraId="12FB99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氢氧化钠</w:t>
                  </w:r>
                </w:p>
              </w:tc>
              <w:tc>
                <w:tcPr>
                  <w:tcW w:w="447" w:type="pct"/>
                  <w:tcBorders>
                    <w:tl2br w:val="nil"/>
                    <w:tr2bl w:val="nil"/>
                  </w:tcBorders>
                  <w:noWrap w:val="0"/>
                  <w:vAlign w:val="center"/>
                </w:tcPr>
                <w:p w14:paraId="57754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氢氧化钠</w:t>
                  </w:r>
                </w:p>
              </w:tc>
              <w:tc>
                <w:tcPr>
                  <w:tcW w:w="265" w:type="pct"/>
                  <w:tcBorders>
                    <w:tl2br w:val="nil"/>
                    <w:tr2bl w:val="nil"/>
                  </w:tcBorders>
                  <w:noWrap w:val="0"/>
                  <w:vAlign w:val="center"/>
                </w:tcPr>
                <w:p w14:paraId="510786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不定期</w:t>
                  </w:r>
                </w:p>
              </w:tc>
              <w:tc>
                <w:tcPr>
                  <w:tcW w:w="338" w:type="pct"/>
                  <w:tcBorders>
                    <w:tl2br w:val="nil"/>
                    <w:tr2bl w:val="nil"/>
                  </w:tcBorders>
                  <w:noWrap w:val="0"/>
                  <w:vAlign w:val="center"/>
                </w:tcPr>
                <w:p w14:paraId="5B6F8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T/In</w:t>
                  </w:r>
                </w:p>
              </w:tc>
              <w:tc>
                <w:tcPr>
                  <w:tcW w:w="471" w:type="pct"/>
                  <w:tcBorders>
                    <w:tl2br w:val="nil"/>
                    <w:tr2bl w:val="nil"/>
                  </w:tcBorders>
                  <w:noWrap w:val="0"/>
                  <w:vAlign w:val="center"/>
                </w:tcPr>
                <w:p w14:paraId="36C2078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暂存在</w:t>
                  </w:r>
                  <w:r>
                    <w:rPr>
                      <w:rFonts w:hint="eastAsia" w:ascii="Times New Roman"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bl>
          <w:p w14:paraId="55159FAB">
            <w:pPr>
              <w:keepNext w:val="0"/>
              <w:keepLines w:val="0"/>
              <w:suppressLineNumbers w:val="0"/>
              <w:spacing w:before="0" w:beforeAutospacing="0" w:after="0" w:afterAutospacing="0"/>
              <w:ind w:left="0" w:right="0" w:firstLine="482" w:firstLineChars="200"/>
              <w:rPr>
                <w:rFonts w:hint="default"/>
                <w:b/>
                <w:bCs/>
                <w:color w:val="000000"/>
                <w:spacing w:val="0"/>
                <w:kern w:val="0"/>
              </w:rPr>
            </w:pPr>
            <w:r>
              <w:rPr>
                <w:rFonts w:hint="default"/>
                <w:b/>
                <w:bCs/>
                <w:color w:val="000000"/>
                <w:spacing w:val="0"/>
                <w:kern w:val="0"/>
              </w:rPr>
              <w:t>4.</w:t>
            </w:r>
            <w:r>
              <w:rPr>
                <w:rFonts w:hint="eastAsia"/>
                <w:b/>
                <w:bCs/>
                <w:color w:val="000000"/>
                <w:spacing w:val="0"/>
                <w:kern w:val="0"/>
                <w:lang w:val="en-US" w:eastAsia="zh-CN"/>
              </w:rPr>
              <w:t>4</w:t>
            </w:r>
            <w:r>
              <w:rPr>
                <w:rFonts w:hint="eastAsia"/>
                <w:b/>
                <w:bCs/>
                <w:color w:val="000000"/>
                <w:spacing w:val="0"/>
                <w:kern w:val="0"/>
              </w:rPr>
              <w:t>固体废物汇总</w:t>
            </w:r>
          </w:p>
          <w:p w14:paraId="4818AE18">
            <w:pPr>
              <w:keepNext w:val="0"/>
              <w:keepLines w:val="0"/>
              <w:suppressLineNumbers w:val="0"/>
              <w:spacing w:before="0" w:beforeAutospacing="0" w:after="0" w:afterAutospacing="0"/>
              <w:ind w:left="0" w:right="0" w:firstLine="480" w:firstLineChars="200"/>
              <w:rPr>
                <w:rFonts w:hint="default" w:eastAsia="宋体"/>
                <w:color w:val="000000"/>
                <w:spacing w:val="0"/>
                <w:kern w:val="0"/>
                <w:lang w:val="en-US" w:eastAsia="zh-CN"/>
              </w:rPr>
            </w:pPr>
            <w:r>
              <w:rPr>
                <w:rFonts w:hint="eastAsia"/>
                <w:color w:val="000000"/>
                <w:spacing w:val="0"/>
                <w:kern w:val="0"/>
                <w:lang w:val="en-US" w:eastAsia="zh-CN"/>
              </w:rPr>
              <w:t>本项目固体废物汇总表见表4-11。</w:t>
            </w:r>
          </w:p>
          <w:p w14:paraId="0935F3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b/>
                <w:bCs/>
                <w:color w:val="000000"/>
                <w:spacing w:val="0"/>
                <w:kern w:val="0"/>
                <w:sz w:val="21"/>
                <w:szCs w:val="21"/>
              </w:rPr>
            </w:pPr>
            <w:r>
              <w:rPr>
                <w:rFonts w:hint="default"/>
                <w:b/>
                <w:bCs/>
                <w:color w:val="000000"/>
                <w:spacing w:val="0"/>
                <w:kern w:val="0"/>
                <w:sz w:val="21"/>
                <w:szCs w:val="21"/>
              </w:rPr>
              <w:t>表</w:t>
            </w:r>
            <w:r>
              <w:rPr>
                <w:rFonts w:hint="eastAsia"/>
                <w:b/>
                <w:bCs/>
                <w:color w:val="000000"/>
                <w:spacing w:val="0"/>
                <w:kern w:val="0"/>
                <w:sz w:val="21"/>
                <w:szCs w:val="21"/>
                <w:lang w:val="en-US" w:eastAsia="zh-CN"/>
              </w:rPr>
              <w:t>4-11</w:t>
            </w:r>
            <w:r>
              <w:rPr>
                <w:rFonts w:hint="default"/>
                <w:b/>
                <w:bCs/>
                <w:color w:val="000000"/>
                <w:spacing w:val="0"/>
                <w:kern w:val="0"/>
                <w:sz w:val="21"/>
                <w:szCs w:val="21"/>
              </w:rPr>
              <w:t xml:space="preserve">             危险废物产生及处置情况一览表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99"/>
              <w:gridCol w:w="780"/>
              <w:gridCol w:w="643"/>
              <w:gridCol w:w="1314"/>
              <w:gridCol w:w="763"/>
              <w:gridCol w:w="899"/>
              <w:gridCol w:w="829"/>
              <w:gridCol w:w="972"/>
              <w:gridCol w:w="902"/>
            </w:tblGrid>
            <w:tr w14:paraId="123CF8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restart"/>
                  <w:tcBorders>
                    <w:tl2br w:val="nil"/>
                    <w:tr2bl w:val="nil"/>
                  </w:tcBorders>
                  <w:noWrap w:val="0"/>
                  <w:vAlign w:val="center"/>
                </w:tcPr>
                <w:p w14:paraId="72559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工序/生产线</w:t>
                  </w:r>
                </w:p>
              </w:tc>
              <w:tc>
                <w:tcPr>
                  <w:tcW w:w="358" w:type="pct"/>
                  <w:vMerge w:val="restart"/>
                  <w:tcBorders>
                    <w:tl2br w:val="nil"/>
                    <w:tr2bl w:val="nil"/>
                  </w:tcBorders>
                  <w:noWrap w:val="0"/>
                  <w:vAlign w:val="center"/>
                </w:tcPr>
                <w:p w14:paraId="0F7E45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装置</w:t>
                  </w:r>
                </w:p>
              </w:tc>
              <w:tc>
                <w:tcPr>
                  <w:tcW w:w="466" w:type="pct"/>
                  <w:vMerge w:val="restart"/>
                  <w:tcBorders>
                    <w:tl2br w:val="nil"/>
                    <w:tr2bl w:val="nil"/>
                  </w:tcBorders>
                  <w:noWrap w:val="0"/>
                  <w:vAlign w:val="center"/>
                </w:tcPr>
                <w:p w14:paraId="7C6F4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固体废物名称</w:t>
                  </w:r>
                </w:p>
              </w:tc>
              <w:tc>
                <w:tcPr>
                  <w:tcW w:w="384" w:type="pct"/>
                  <w:vMerge w:val="restart"/>
                  <w:tcBorders>
                    <w:tl2br w:val="nil"/>
                    <w:tr2bl w:val="nil"/>
                  </w:tcBorders>
                  <w:noWrap w:val="0"/>
                  <w:vAlign w:val="center"/>
                </w:tcPr>
                <w:p w14:paraId="284D2D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固废属性</w:t>
                  </w:r>
                </w:p>
              </w:tc>
              <w:tc>
                <w:tcPr>
                  <w:tcW w:w="785" w:type="pct"/>
                  <w:vMerge w:val="restart"/>
                  <w:tcBorders>
                    <w:tl2br w:val="nil"/>
                    <w:tr2bl w:val="nil"/>
                  </w:tcBorders>
                  <w:noWrap w:val="0"/>
                  <w:vAlign w:val="center"/>
                </w:tcPr>
                <w:p w14:paraId="11A8CA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固废代码</w:t>
                  </w:r>
                </w:p>
              </w:tc>
              <w:tc>
                <w:tcPr>
                  <w:tcW w:w="993" w:type="pct"/>
                  <w:gridSpan w:val="2"/>
                  <w:tcBorders>
                    <w:tl2br w:val="nil"/>
                    <w:tr2bl w:val="nil"/>
                  </w:tcBorders>
                  <w:noWrap w:val="0"/>
                  <w:vAlign w:val="center"/>
                </w:tcPr>
                <w:p w14:paraId="3F2F78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产生情况</w:t>
                  </w:r>
                </w:p>
              </w:tc>
              <w:tc>
                <w:tcPr>
                  <w:tcW w:w="1076" w:type="pct"/>
                  <w:gridSpan w:val="2"/>
                  <w:tcBorders>
                    <w:tl2br w:val="nil"/>
                    <w:tr2bl w:val="nil"/>
                  </w:tcBorders>
                  <w:noWrap w:val="0"/>
                  <w:vAlign w:val="center"/>
                </w:tcPr>
                <w:p w14:paraId="54281D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处置措施</w:t>
                  </w:r>
                </w:p>
              </w:tc>
              <w:tc>
                <w:tcPr>
                  <w:tcW w:w="539" w:type="pct"/>
                  <w:vMerge w:val="restart"/>
                  <w:tcBorders>
                    <w:tl2br w:val="nil"/>
                    <w:tr2bl w:val="nil"/>
                  </w:tcBorders>
                  <w:noWrap w:val="0"/>
                  <w:vAlign w:val="center"/>
                </w:tcPr>
                <w:p w14:paraId="2997BA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最终去向</w:t>
                  </w:r>
                </w:p>
              </w:tc>
            </w:tr>
            <w:tr w14:paraId="685827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1FCC0D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58" w:type="pct"/>
                  <w:vMerge w:val="continue"/>
                  <w:tcBorders>
                    <w:tl2br w:val="nil"/>
                    <w:tr2bl w:val="nil"/>
                  </w:tcBorders>
                  <w:noWrap w:val="0"/>
                  <w:vAlign w:val="center"/>
                </w:tcPr>
                <w:p w14:paraId="726169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466" w:type="pct"/>
                  <w:vMerge w:val="continue"/>
                  <w:tcBorders>
                    <w:tl2br w:val="nil"/>
                    <w:tr2bl w:val="nil"/>
                  </w:tcBorders>
                  <w:noWrap w:val="0"/>
                  <w:vAlign w:val="center"/>
                </w:tcPr>
                <w:p w14:paraId="3A8363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4" w:type="pct"/>
                  <w:vMerge w:val="continue"/>
                  <w:tcBorders>
                    <w:tl2br w:val="nil"/>
                    <w:tr2bl w:val="nil"/>
                  </w:tcBorders>
                  <w:noWrap w:val="0"/>
                  <w:vAlign w:val="center"/>
                </w:tcPr>
                <w:p w14:paraId="69AB2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785" w:type="pct"/>
                  <w:vMerge w:val="continue"/>
                  <w:tcBorders>
                    <w:tl2br w:val="nil"/>
                    <w:tr2bl w:val="nil"/>
                  </w:tcBorders>
                  <w:noWrap w:val="0"/>
                  <w:vAlign w:val="center"/>
                </w:tcPr>
                <w:p w14:paraId="09D552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456" w:type="pct"/>
                  <w:tcBorders>
                    <w:tl2br w:val="nil"/>
                    <w:tr2bl w:val="nil"/>
                  </w:tcBorders>
                  <w:noWrap w:val="0"/>
                  <w:vAlign w:val="center"/>
                </w:tcPr>
                <w:p w14:paraId="3B90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核算方法</w:t>
                  </w:r>
                </w:p>
              </w:tc>
              <w:tc>
                <w:tcPr>
                  <w:tcW w:w="537" w:type="pct"/>
                  <w:tcBorders>
                    <w:tl2br w:val="nil"/>
                    <w:tr2bl w:val="nil"/>
                  </w:tcBorders>
                  <w:noWrap w:val="0"/>
                  <w:vAlign w:val="center"/>
                </w:tcPr>
                <w:p w14:paraId="15DE55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产生量（t/a）</w:t>
                  </w:r>
                </w:p>
              </w:tc>
              <w:tc>
                <w:tcPr>
                  <w:tcW w:w="495" w:type="pct"/>
                  <w:tcBorders>
                    <w:tl2br w:val="nil"/>
                    <w:tr2bl w:val="nil"/>
                  </w:tcBorders>
                  <w:noWrap w:val="0"/>
                  <w:vAlign w:val="center"/>
                </w:tcPr>
                <w:p w14:paraId="37231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工艺</w:t>
                  </w:r>
                </w:p>
              </w:tc>
              <w:tc>
                <w:tcPr>
                  <w:tcW w:w="581" w:type="pct"/>
                  <w:tcBorders>
                    <w:tl2br w:val="nil"/>
                    <w:tr2bl w:val="nil"/>
                  </w:tcBorders>
                  <w:noWrap w:val="0"/>
                  <w:vAlign w:val="center"/>
                </w:tcPr>
                <w:p w14:paraId="00D8BF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处置量（t/a）</w:t>
                  </w:r>
                </w:p>
              </w:tc>
              <w:tc>
                <w:tcPr>
                  <w:tcW w:w="539" w:type="pct"/>
                  <w:vMerge w:val="continue"/>
                  <w:tcBorders>
                    <w:tl2br w:val="nil"/>
                    <w:tr2bl w:val="nil"/>
                  </w:tcBorders>
                  <w:noWrap w:val="0"/>
                  <w:vAlign w:val="center"/>
                </w:tcPr>
                <w:p w14:paraId="56FBD0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14:paraId="4CE638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restart"/>
                  <w:tcBorders>
                    <w:tl2br w:val="nil"/>
                    <w:tr2bl w:val="nil"/>
                  </w:tcBorders>
                  <w:noWrap w:val="0"/>
                  <w:vAlign w:val="center"/>
                </w:tcPr>
                <w:p w14:paraId="7A391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厂房</w:t>
                  </w:r>
                </w:p>
              </w:tc>
              <w:tc>
                <w:tcPr>
                  <w:tcW w:w="358" w:type="pct"/>
                  <w:tcBorders>
                    <w:tl2br w:val="nil"/>
                    <w:tr2bl w:val="nil"/>
                  </w:tcBorders>
                  <w:shd w:val="clear" w:color="auto" w:fill="auto"/>
                  <w:noWrap w:val="0"/>
                  <w:vAlign w:val="center"/>
                </w:tcPr>
                <w:p w14:paraId="2751C7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rPr>
                    <w:t>生产线</w:t>
                  </w:r>
                </w:p>
              </w:tc>
              <w:tc>
                <w:tcPr>
                  <w:tcW w:w="466" w:type="pct"/>
                  <w:tcBorders>
                    <w:tl2br w:val="nil"/>
                    <w:tr2bl w:val="nil"/>
                  </w:tcBorders>
                  <w:shd w:val="clear" w:color="auto" w:fill="auto"/>
                  <w:noWrap w:val="0"/>
                  <w:vAlign w:val="center"/>
                </w:tcPr>
                <w:p w14:paraId="6456D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bidi="ar-SA"/>
                    </w:rPr>
                    <w:t>废棉尘</w:t>
                  </w:r>
                </w:p>
              </w:tc>
              <w:tc>
                <w:tcPr>
                  <w:tcW w:w="384" w:type="pct"/>
                  <w:tcBorders>
                    <w:tl2br w:val="nil"/>
                    <w:tr2bl w:val="nil"/>
                  </w:tcBorders>
                  <w:shd w:val="clear" w:color="auto" w:fill="auto"/>
                  <w:noWrap w:val="0"/>
                  <w:vAlign w:val="center"/>
                </w:tcPr>
                <w:p w14:paraId="6C639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一般固废</w:t>
                  </w:r>
                </w:p>
              </w:tc>
              <w:tc>
                <w:tcPr>
                  <w:tcW w:w="785" w:type="pct"/>
                  <w:tcBorders>
                    <w:tl2br w:val="nil"/>
                    <w:tr2bl w:val="nil"/>
                  </w:tcBorders>
                  <w:shd w:val="clear" w:color="auto" w:fill="auto"/>
                  <w:noWrap w:val="0"/>
                  <w:vAlign w:val="center"/>
                </w:tcPr>
                <w:p w14:paraId="239D14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900-099-S59</w:t>
                  </w:r>
                </w:p>
              </w:tc>
              <w:tc>
                <w:tcPr>
                  <w:tcW w:w="456" w:type="pct"/>
                  <w:tcBorders>
                    <w:tl2br w:val="nil"/>
                    <w:tr2bl w:val="nil"/>
                  </w:tcBorders>
                  <w:shd w:val="clear" w:color="auto" w:fill="auto"/>
                  <w:noWrap w:val="0"/>
                  <w:vAlign w:val="center"/>
                </w:tcPr>
                <w:p w14:paraId="696F32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shd w:val="clear" w:color="auto" w:fill="auto"/>
                  <w:noWrap w:val="0"/>
                  <w:vAlign w:val="center"/>
                </w:tcPr>
                <w:p w14:paraId="2FD94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rPr>
                    <w:t>7.96</w:t>
                  </w:r>
                </w:p>
              </w:tc>
              <w:tc>
                <w:tcPr>
                  <w:tcW w:w="495" w:type="pct"/>
                  <w:tcBorders>
                    <w:tl2br w:val="nil"/>
                    <w:tr2bl w:val="nil"/>
                  </w:tcBorders>
                  <w:shd w:val="clear" w:color="auto" w:fill="auto"/>
                  <w:noWrap w:val="0"/>
                  <w:vAlign w:val="center"/>
                </w:tcPr>
                <w:p w14:paraId="0A6638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lang w:val="en-US" w:eastAsia="zh-CN"/>
                    </w:rPr>
                    <w:t>定期收集后外售</w:t>
                  </w:r>
                </w:p>
              </w:tc>
              <w:tc>
                <w:tcPr>
                  <w:tcW w:w="581" w:type="pct"/>
                  <w:tcBorders>
                    <w:tl2br w:val="nil"/>
                    <w:tr2bl w:val="nil"/>
                  </w:tcBorders>
                  <w:shd w:val="clear" w:color="auto" w:fill="auto"/>
                  <w:noWrap w:val="0"/>
                  <w:vAlign w:val="center"/>
                </w:tcPr>
                <w:p w14:paraId="114D7E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highlight w:val="none"/>
                      <w:lang w:val="en-US" w:eastAsia="zh-CN" w:bidi="ar-SA"/>
                    </w:rPr>
                  </w:pPr>
                  <w:r>
                    <w:rPr>
                      <w:rFonts w:hint="eastAsia" w:cs="Times New Roman"/>
                      <w:color w:val="000000"/>
                      <w:spacing w:val="0"/>
                      <w:kern w:val="0"/>
                      <w:sz w:val="21"/>
                      <w:szCs w:val="21"/>
                      <w:highlight w:val="none"/>
                      <w:lang w:val="en-US" w:eastAsia="zh-CN"/>
                    </w:rPr>
                    <w:t>7.96</w:t>
                  </w:r>
                </w:p>
              </w:tc>
              <w:tc>
                <w:tcPr>
                  <w:tcW w:w="539" w:type="pct"/>
                  <w:tcBorders>
                    <w:tl2br w:val="nil"/>
                    <w:tr2bl w:val="nil"/>
                  </w:tcBorders>
                  <w:noWrap w:val="0"/>
                  <w:vAlign w:val="center"/>
                </w:tcPr>
                <w:p w14:paraId="207F22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定期收集后外售</w:t>
                  </w:r>
                </w:p>
              </w:tc>
            </w:tr>
            <w:tr w14:paraId="5191CF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1705E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p>
              </w:tc>
              <w:tc>
                <w:tcPr>
                  <w:tcW w:w="358" w:type="pct"/>
                  <w:tcBorders>
                    <w:tl2br w:val="nil"/>
                    <w:tr2bl w:val="nil"/>
                  </w:tcBorders>
                  <w:shd w:val="clear" w:color="auto" w:fill="auto"/>
                  <w:noWrap w:val="0"/>
                  <w:vAlign w:val="center"/>
                </w:tcPr>
                <w:p w14:paraId="3E4624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分选</w:t>
                  </w:r>
                </w:p>
              </w:tc>
              <w:tc>
                <w:tcPr>
                  <w:tcW w:w="466" w:type="pct"/>
                  <w:tcBorders>
                    <w:tl2br w:val="nil"/>
                    <w:tr2bl w:val="nil"/>
                  </w:tcBorders>
                  <w:shd w:val="clear" w:color="auto" w:fill="auto"/>
                  <w:noWrap w:val="0"/>
                  <w:vAlign w:val="center"/>
                </w:tcPr>
                <w:p w14:paraId="64D88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bidi="ar-SA"/>
                    </w:rPr>
                    <w:t>异常籽、瘪籽及轻杂物</w:t>
                  </w:r>
                </w:p>
              </w:tc>
              <w:tc>
                <w:tcPr>
                  <w:tcW w:w="384" w:type="pct"/>
                  <w:tcBorders>
                    <w:tl2br w:val="nil"/>
                    <w:tr2bl w:val="nil"/>
                  </w:tcBorders>
                  <w:shd w:val="clear" w:color="auto" w:fill="auto"/>
                  <w:noWrap w:val="0"/>
                  <w:vAlign w:val="center"/>
                </w:tcPr>
                <w:p w14:paraId="7DE523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5" w:type="pct"/>
                  <w:tcBorders>
                    <w:tl2br w:val="nil"/>
                    <w:tr2bl w:val="nil"/>
                  </w:tcBorders>
                  <w:shd w:val="clear" w:color="auto" w:fill="auto"/>
                  <w:noWrap w:val="0"/>
                  <w:vAlign w:val="center"/>
                </w:tcPr>
                <w:p w14:paraId="5BA926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900-099-S59</w:t>
                  </w:r>
                </w:p>
              </w:tc>
              <w:tc>
                <w:tcPr>
                  <w:tcW w:w="456" w:type="pct"/>
                  <w:tcBorders>
                    <w:tl2br w:val="nil"/>
                    <w:tr2bl w:val="nil"/>
                  </w:tcBorders>
                  <w:shd w:val="clear" w:color="auto" w:fill="auto"/>
                  <w:noWrap w:val="0"/>
                  <w:vAlign w:val="center"/>
                </w:tcPr>
                <w:p w14:paraId="5D861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shd w:val="clear" w:color="auto" w:fill="auto"/>
                  <w:noWrap w:val="0"/>
                  <w:vAlign w:val="center"/>
                </w:tcPr>
                <w:p w14:paraId="7E0DFD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spacing w:val="0"/>
                      <w:kern w:val="0"/>
                      <w:sz w:val="21"/>
                      <w:szCs w:val="21"/>
                      <w:highlight w:val="none"/>
                      <w:lang w:val="en-US" w:eastAsia="zh-CN"/>
                    </w:rPr>
                  </w:pPr>
                  <w:r>
                    <w:rPr>
                      <w:rFonts w:hint="eastAsia" w:cs="Times New Roman"/>
                      <w:color w:val="000000"/>
                      <w:spacing w:val="0"/>
                      <w:kern w:val="0"/>
                      <w:sz w:val="21"/>
                      <w:szCs w:val="21"/>
                      <w:highlight w:val="none"/>
                      <w:lang w:val="en-US" w:eastAsia="zh-CN"/>
                    </w:rPr>
                    <w:t>800</w:t>
                  </w:r>
                </w:p>
              </w:tc>
              <w:tc>
                <w:tcPr>
                  <w:tcW w:w="495" w:type="pct"/>
                  <w:tcBorders>
                    <w:tl2br w:val="nil"/>
                    <w:tr2bl w:val="nil"/>
                  </w:tcBorders>
                  <w:shd w:val="clear" w:color="auto" w:fill="auto"/>
                  <w:noWrap w:val="0"/>
                  <w:vAlign w:val="center"/>
                </w:tcPr>
                <w:p w14:paraId="1D572D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定期收集后外售</w:t>
                  </w:r>
                </w:p>
              </w:tc>
              <w:tc>
                <w:tcPr>
                  <w:tcW w:w="581" w:type="pct"/>
                  <w:tcBorders>
                    <w:tl2br w:val="nil"/>
                    <w:tr2bl w:val="nil"/>
                  </w:tcBorders>
                  <w:shd w:val="clear" w:color="auto" w:fill="auto"/>
                  <w:noWrap w:val="0"/>
                  <w:vAlign w:val="center"/>
                </w:tcPr>
                <w:p w14:paraId="0DDA25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spacing w:val="0"/>
                      <w:kern w:val="0"/>
                      <w:sz w:val="21"/>
                      <w:szCs w:val="21"/>
                      <w:highlight w:val="none"/>
                      <w:lang w:val="en-US" w:eastAsia="zh-CN"/>
                    </w:rPr>
                  </w:pPr>
                  <w:r>
                    <w:rPr>
                      <w:rFonts w:hint="eastAsia" w:cs="Times New Roman"/>
                      <w:color w:val="000000"/>
                      <w:spacing w:val="0"/>
                      <w:kern w:val="0"/>
                      <w:sz w:val="21"/>
                      <w:szCs w:val="21"/>
                      <w:highlight w:val="none"/>
                      <w:lang w:val="en-US" w:eastAsia="zh-CN"/>
                    </w:rPr>
                    <w:t>800</w:t>
                  </w:r>
                </w:p>
              </w:tc>
              <w:tc>
                <w:tcPr>
                  <w:tcW w:w="539" w:type="pct"/>
                  <w:tcBorders>
                    <w:tl2br w:val="nil"/>
                    <w:tr2bl w:val="nil"/>
                  </w:tcBorders>
                  <w:noWrap w:val="0"/>
                  <w:vAlign w:val="center"/>
                </w:tcPr>
                <w:p w14:paraId="1AEBAC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定期收集后外售</w:t>
                  </w:r>
                </w:p>
              </w:tc>
            </w:tr>
            <w:tr w14:paraId="45387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19185E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p>
              </w:tc>
              <w:tc>
                <w:tcPr>
                  <w:tcW w:w="358" w:type="pct"/>
                  <w:tcBorders>
                    <w:tl2br w:val="nil"/>
                    <w:tr2bl w:val="nil"/>
                  </w:tcBorders>
                  <w:shd w:val="clear" w:color="auto" w:fill="auto"/>
                  <w:noWrap w:val="0"/>
                  <w:vAlign w:val="center"/>
                </w:tcPr>
                <w:p w14:paraId="718158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分选</w:t>
                  </w:r>
                </w:p>
              </w:tc>
              <w:tc>
                <w:tcPr>
                  <w:tcW w:w="466" w:type="pct"/>
                  <w:tcBorders>
                    <w:tl2br w:val="nil"/>
                    <w:tr2bl w:val="nil"/>
                  </w:tcBorders>
                  <w:shd w:val="clear" w:color="auto" w:fill="auto"/>
                  <w:noWrap w:val="0"/>
                  <w:vAlign w:val="center"/>
                </w:tcPr>
                <w:p w14:paraId="429C7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bidi="ar-SA"/>
                    </w:rPr>
                    <w:t>铁磁性杂质</w:t>
                  </w:r>
                </w:p>
              </w:tc>
              <w:tc>
                <w:tcPr>
                  <w:tcW w:w="643" w:type="dxa"/>
                  <w:tcBorders>
                    <w:tl2br w:val="nil"/>
                    <w:tr2bl w:val="nil"/>
                  </w:tcBorders>
                  <w:shd w:val="clear" w:color="auto" w:fill="auto"/>
                  <w:noWrap w:val="0"/>
                  <w:vAlign w:val="center"/>
                </w:tcPr>
                <w:p w14:paraId="3BEEF3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1314" w:type="dxa"/>
                  <w:tcBorders>
                    <w:tl2br w:val="nil"/>
                    <w:tr2bl w:val="nil"/>
                  </w:tcBorders>
                  <w:shd w:val="clear" w:color="auto" w:fill="auto"/>
                  <w:noWrap w:val="0"/>
                  <w:vAlign w:val="center"/>
                </w:tcPr>
                <w:p w14:paraId="663E7B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900-099-S59</w:t>
                  </w:r>
                </w:p>
              </w:tc>
              <w:tc>
                <w:tcPr>
                  <w:tcW w:w="763" w:type="dxa"/>
                  <w:tcBorders>
                    <w:tl2br w:val="nil"/>
                    <w:tr2bl w:val="nil"/>
                  </w:tcBorders>
                  <w:shd w:val="clear" w:color="auto" w:fill="auto"/>
                  <w:noWrap w:val="0"/>
                  <w:vAlign w:val="center"/>
                </w:tcPr>
                <w:p w14:paraId="36ADA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899" w:type="dxa"/>
                  <w:tcBorders>
                    <w:tl2br w:val="nil"/>
                    <w:tr2bl w:val="nil"/>
                  </w:tcBorders>
                  <w:shd w:val="clear" w:color="auto" w:fill="auto"/>
                  <w:noWrap w:val="0"/>
                  <w:vAlign w:val="center"/>
                </w:tcPr>
                <w:p w14:paraId="3E539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pacing w:val="0"/>
                      <w:kern w:val="0"/>
                      <w:sz w:val="21"/>
                      <w:szCs w:val="21"/>
                      <w:highlight w:val="none"/>
                      <w:lang w:val="en-US" w:eastAsia="zh-CN"/>
                    </w:rPr>
                  </w:pPr>
                  <w:r>
                    <w:rPr>
                      <w:rFonts w:hint="eastAsia" w:cs="Times New Roman"/>
                      <w:color w:val="000000"/>
                      <w:spacing w:val="0"/>
                      <w:kern w:val="0"/>
                      <w:sz w:val="21"/>
                      <w:szCs w:val="21"/>
                      <w:highlight w:val="none"/>
                      <w:lang w:val="en-US" w:eastAsia="zh-CN"/>
                    </w:rPr>
                    <w:t>80</w:t>
                  </w:r>
                </w:p>
              </w:tc>
              <w:tc>
                <w:tcPr>
                  <w:tcW w:w="829" w:type="dxa"/>
                  <w:tcBorders>
                    <w:tl2br w:val="nil"/>
                    <w:tr2bl w:val="nil"/>
                  </w:tcBorders>
                  <w:shd w:val="clear" w:color="auto" w:fill="auto"/>
                  <w:noWrap w:val="0"/>
                  <w:vAlign w:val="center"/>
                </w:tcPr>
                <w:p w14:paraId="0AE9C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定期收集后外售</w:t>
                  </w:r>
                </w:p>
              </w:tc>
              <w:tc>
                <w:tcPr>
                  <w:tcW w:w="972" w:type="dxa"/>
                  <w:tcBorders>
                    <w:tl2br w:val="nil"/>
                    <w:tr2bl w:val="nil"/>
                  </w:tcBorders>
                  <w:shd w:val="clear" w:color="auto" w:fill="auto"/>
                  <w:noWrap w:val="0"/>
                  <w:vAlign w:val="center"/>
                </w:tcPr>
                <w:p w14:paraId="3FADF1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pacing w:val="0"/>
                      <w:kern w:val="0"/>
                      <w:sz w:val="21"/>
                      <w:szCs w:val="21"/>
                      <w:highlight w:val="none"/>
                      <w:lang w:val="en-US" w:eastAsia="zh-CN"/>
                    </w:rPr>
                  </w:pPr>
                  <w:r>
                    <w:rPr>
                      <w:rFonts w:hint="eastAsia" w:cs="Times New Roman"/>
                      <w:color w:val="000000"/>
                      <w:spacing w:val="0"/>
                      <w:kern w:val="0"/>
                      <w:sz w:val="21"/>
                      <w:szCs w:val="21"/>
                      <w:highlight w:val="none"/>
                      <w:lang w:val="en-US" w:eastAsia="zh-CN"/>
                    </w:rPr>
                    <w:t>80</w:t>
                  </w:r>
                </w:p>
              </w:tc>
              <w:tc>
                <w:tcPr>
                  <w:tcW w:w="902" w:type="dxa"/>
                  <w:tcBorders>
                    <w:tl2br w:val="nil"/>
                    <w:tr2bl w:val="nil"/>
                  </w:tcBorders>
                  <w:noWrap w:val="0"/>
                  <w:vAlign w:val="center"/>
                </w:tcPr>
                <w:p w14:paraId="2214E3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定期收集后外售</w:t>
                  </w:r>
                </w:p>
              </w:tc>
            </w:tr>
            <w:tr w14:paraId="5561A4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2B387A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p>
              </w:tc>
              <w:tc>
                <w:tcPr>
                  <w:tcW w:w="358" w:type="pct"/>
                  <w:tcBorders>
                    <w:tl2br w:val="nil"/>
                    <w:tr2bl w:val="nil"/>
                  </w:tcBorders>
                  <w:shd w:val="clear" w:color="auto" w:fill="auto"/>
                  <w:noWrap w:val="0"/>
                  <w:vAlign w:val="center"/>
                </w:tcPr>
                <w:p w14:paraId="585D0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sz w:val="21"/>
                      <w:szCs w:val="21"/>
                      <w:lang w:val="en-US" w:eastAsia="zh-CN"/>
                    </w:rPr>
                    <w:t>碱洗喷淋塔</w:t>
                  </w:r>
                </w:p>
              </w:tc>
              <w:tc>
                <w:tcPr>
                  <w:tcW w:w="466" w:type="pct"/>
                  <w:tcBorders>
                    <w:tl2br w:val="nil"/>
                    <w:tr2bl w:val="nil"/>
                  </w:tcBorders>
                  <w:shd w:val="clear" w:color="auto" w:fill="auto"/>
                  <w:noWrap w:val="0"/>
                  <w:vAlign w:val="center"/>
                </w:tcPr>
                <w:p w14:paraId="20C88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cs="Times New Roman"/>
                      <w:b w:val="0"/>
                      <w:bCs/>
                      <w:color w:val="000000"/>
                      <w:spacing w:val="0"/>
                      <w:kern w:val="0"/>
                      <w:sz w:val="21"/>
                      <w:szCs w:val="21"/>
                      <w:lang w:val="en-US" w:eastAsia="zh-CN" w:bidi="ar-SA"/>
                    </w:rPr>
                    <w:t>氢氧化钠包装袋</w:t>
                  </w:r>
                </w:p>
              </w:tc>
              <w:tc>
                <w:tcPr>
                  <w:tcW w:w="384" w:type="pct"/>
                  <w:tcBorders>
                    <w:tl2br w:val="nil"/>
                    <w:tr2bl w:val="nil"/>
                  </w:tcBorders>
                  <w:shd w:val="clear" w:color="auto" w:fill="auto"/>
                  <w:noWrap w:val="0"/>
                  <w:vAlign w:val="center"/>
                </w:tcPr>
                <w:p w14:paraId="5E4E5F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危险废物</w:t>
                  </w:r>
                </w:p>
              </w:tc>
              <w:tc>
                <w:tcPr>
                  <w:tcW w:w="785" w:type="pct"/>
                  <w:tcBorders>
                    <w:tl2br w:val="nil"/>
                    <w:tr2bl w:val="nil"/>
                  </w:tcBorders>
                  <w:shd w:val="clear" w:color="auto" w:fill="auto"/>
                  <w:noWrap w:val="0"/>
                  <w:vAlign w:val="center"/>
                </w:tcPr>
                <w:p w14:paraId="273C3E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sz w:val="21"/>
                      <w:szCs w:val="21"/>
                    </w:rPr>
                    <w:t>900-041-49</w:t>
                  </w:r>
                </w:p>
              </w:tc>
              <w:tc>
                <w:tcPr>
                  <w:tcW w:w="456" w:type="pct"/>
                  <w:tcBorders>
                    <w:tl2br w:val="nil"/>
                    <w:tr2bl w:val="nil"/>
                  </w:tcBorders>
                  <w:shd w:val="clear" w:color="auto" w:fill="auto"/>
                  <w:noWrap w:val="0"/>
                  <w:vAlign w:val="center"/>
                </w:tcPr>
                <w:p w14:paraId="14299B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shd w:val="clear" w:color="auto" w:fill="auto"/>
                  <w:noWrap w:val="0"/>
                  <w:vAlign w:val="center"/>
                </w:tcPr>
                <w:p w14:paraId="5F5B4A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highlight w:val="none"/>
                      <w:lang w:val="en-US" w:eastAsia="zh-CN"/>
                    </w:rPr>
                  </w:pPr>
                  <w:r>
                    <w:rPr>
                      <w:rFonts w:hint="eastAsia" w:cs="Times New Roman"/>
                      <w:color w:val="000000"/>
                      <w:spacing w:val="0"/>
                      <w:kern w:val="0"/>
                      <w:sz w:val="21"/>
                      <w:szCs w:val="21"/>
                      <w:lang w:val="en-US" w:eastAsia="zh-CN"/>
                    </w:rPr>
                    <w:t>0.01</w:t>
                  </w:r>
                </w:p>
              </w:tc>
              <w:tc>
                <w:tcPr>
                  <w:tcW w:w="495" w:type="pct"/>
                  <w:tcBorders>
                    <w:tl2br w:val="nil"/>
                    <w:tr2bl w:val="nil"/>
                  </w:tcBorders>
                  <w:shd w:val="clear" w:color="auto" w:fill="auto"/>
                  <w:noWrap w:val="0"/>
                  <w:vAlign w:val="center"/>
                </w:tcPr>
                <w:p w14:paraId="324E94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highlight w:val="none"/>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81" w:type="pct"/>
                  <w:tcBorders>
                    <w:tl2br w:val="nil"/>
                    <w:tr2bl w:val="nil"/>
                  </w:tcBorders>
                  <w:shd w:val="clear" w:color="auto" w:fill="auto"/>
                  <w:noWrap w:val="0"/>
                  <w:vAlign w:val="center"/>
                </w:tcPr>
                <w:p w14:paraId="7D85C7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color w:val="000000"/>
                      <w:spacing w:val="0"/>
                      <w:kern w:val="0"/>
                      <w:sz w:val="21"/>
                      <w:szCs w:val="21"/>
                      <w:highlight w:val="none"/>
                      <w:lang w:val="en-US" w:eastAsia="zh-CN"/>
                    </w:rPr>
                  </w:pPr>
                  <w:r>
                    <w:rPr>
                      <w:rFonts w:hint="eastAsia" w:cs="Times New Roman"/>
                      <w:color w:val="000000"/>
                      <w:spacing w:val="0"/>
                      <w:kern w:val="0"/>
                      <w:sz w:val="21"/>
                      <w:szCs w:val="21"/>
                      <w:lang w:val="en-US" w:eastAsia="zh-CN"/>
                    </w:rPr>
                    <w:t>0.01</w:t>
                  </w:r>
                </w:p>
              </w:tc>
              <w:tc>
                <w:tcPr>
                  <w:tcW w:w="539" w:type="pct"/>
                  <w:tcBorders>
                    <w:tl2br w:val="nil"/>
                    <w:tr2bl w:val="nil"/>
                  </w:tcBorders>
                  <w:noWrap w:val="0"/>
                  <w:vAlign w:val="center"/>
                </w:tcPr>
                <w:p w14:paraId="71CE0B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default" w:ascii="Times New Roman" w:hAnsi="Times New Roman" w:cs="Times New Roman"/>
                      <w:b w:val="0"/>
                      <w:bCs/>
                      <w:sz w:val="21"/>
                      <w:szCs w:val="21"/>
                      <w:vertAlign w:val="baseline"/>
                      <w:lang w:val="en-US" w:eastAsia="zh-CN"/>
                    </w:rPr>
                    <w:t>暂存在</w:t>
                  </w:r>
                  <w:r>
                    <w:rPr>
                      <w:rFonts w:hint="eastAsia"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r w14:paraId="6D7D5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6E430F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58" w:type="pct"/>
                  <w:tcBorders>
                    <w:tl2br w:val="nil"/>
                    <w:tr2bl w:val="nil"/>
                  </w:tcBorders>
                  <w:noWrap w:val="0"/>
                  <w:vAlign w:val="center"/>
                </w:tcPr>
                <w:p w14:paraId="569CB5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机械设备</w:t>
                  </w:r>
                </w:p>
              </w:tc>
              <w:tc>
                <w:tcPr>
                  <w:tcW w:w="466" w:type="pct"/>
                  <w:tcBorders>
                    <w:tl2br w:val="nil"/>
                    <w:tr2bl w:val="nil"/>
                  </w:tcBorders>
                  <w:noWrap w:val="0"/>
                  <w:vAlign w:val="center"/>
                </w:tcPr>
                <w:p w14:paraId="7E61FB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废</w:t>
                  </w:r>
                  <w:r>
                    <w:rPr>
                      <w:rFonts w:hint="eastAsia" w:cs="Times New Roman"/>
                      <w:color w:val="000000"/>
                      <w:spacing w:val="0"/>
                      <w:kern w:val="0"/>
                      <w:sz w:val="21"/>
                      <w:szCs w:val="21"/>
                      <w:lang w:val="en-US" w:eastAsia="zh-CN"/>
                    </w:rPr>
                    <w:t>润滑油</w:t>
                  </w:r>
                </w:p>
              </w:tc>
              <w:tc>
                <w:tcPr>
                  <w:tcW w:w="384" w:type="pct"/>
                  <w:tcBorders>
                    <w:tl2br w:val="nil"/>
                    <w:tr2bl w:val="nil"/>
                  </w:tcBorders>
                  <w:noWrap w:val="0"/>
                  <w:vAlign w:val="center"/>
                </w:tcPr>
                <w:p w14:paraId="6C0BB9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危险废物</w:t>
                  </w:r>
                </w:p>
              </w:tc>
              <w:tc>
                <w:tcPr>
                  <w:tcW w:w="785" w:type="pct"/>
                  <w:tcBorders>
                    <w:tl2br w:val="nil"/>
                    <w:tr2bl w:val="nil"/>
                  </w:tcBorders>
                  <w:noWrap w:val="0"/>
                  <w:vAlign w:val="center"/>
                </w:tcPr>
                <w:p w14:paraId="335E2D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900-21</w:t>
                  </w:r>
                  <w:r>
                    <w:rPr>
                      <w:rFonts w:hint="eastAsia" w:ascii="Times New Roman" w:hAnsi="Times New Roman" w:eastAsia="宋体" w:cs="Times New Roman"/>
                      <w:color w:val="000000"/>
                      <w:spacing w:val="0"/>
                      <w:kern w:val="0"/>
                      <w:sz w:val="21"/>
                      <w:szCs w:val="21"/>
                      <w:lang w:val="en-US" w:eastAsia="zh-CN"/>
                    </w:rPr>
                    <w:t>7</w:t>
                  </w:r>
                  <w:r>
                    <w:rPr>
                      <w:rFonts w:hint="default" w:ascii="Times New Roman" w:hAnsi="Times New Roman" w:eastAsia="宋体" w:cs="Times New Roman"/>
                      <w:color w:val="000000"/>
                      <w:spacing w:val="0"/>
                      <w:kern w:val="0"/>
                      <w:sz w:val="21"/>
                      <w:szCs w:val="21"/>
                      <w:lang w:val="en-US" w:eastAsia="zh-CN"/>
                    </w:rPr>
                    <w:t>-08</w:t>
                  </w:r>
                </w:p>
              </w:tc>
              <w:tc>
                <w:tcPr>
                  <w:tcW w:w="456" w:type="pct"/>
                  <w:tcBorders>
                    <w:tl2br w:val="nil"/>
                    <w:tr2bl w:val="nil"/>
                  </w:tcBorders>
                  <w:noWrap w:val="0"/>
                  <w:vAlign w:val="center"/>
                </w:tcPr>
                <w:p w14:paraId="01DB16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noWrap w:val="0"/>
                  <w:vAlign w:val="center"/>
                </w:tcPr>
                <w:p w14:paraId="03E343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0.</w:t>
                  </w:r>
                  <w:r>
                    <w:rPr>
                      <w:rFonts w:hint="eastAsia" w:ascii="Times New Roman" w:hAnsi="Times New Roman" w:eastAsia="宋体" w:cs="Times New Roman"/>
                      <w:color w:val="000000"/>
                      <w:spacing w:val="0"/>
                      <w:kern w:val="0"/>
                      <w:sz w:val="21"/>
                      <w:szCs w:val="21"/>
                      <w:lang w:val="en-US" w:eastAsia="zh-CN"/>
                    </w:rPr>
                    <w:t>5</w:t>
                  </w:r>
                </w:p>
              </w:tc>
              <w:tc>
                <w:tcPr>
                  <w:tcW w:w="495" w:type="pct"/>
                  <w:tcBorders>
                    <w:tl2br w:val="nil"/>
                    <w:tr2bl w:val="nil"/>
                  </w:tcBorders>
                  <w:noWrap w:val="0"/>
                  <w:vAlign w:val="center"/>
                </w:tcPr>
                <w:p w14:paraId="133A4B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81" w:type="pct"/>
                  <w:tcBorders>
                    <w:tl2br w:val="nil"/>
                    <w:tr2bl w:val="nil"/>
                  </w:tcBorders>
                  <w:noWrap w:val="0"/>
                  <w:vAlign w:val="center"/>
                </w:tcPr>
                <w:p w14:paraId="5D31C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0.</w:t>
                  </w:r>
                  <w:r>
                    <w:rPr>
                      <w:rFonts w:hint="eastAsia" w:ascii="Times New Roman" w:hAnsi="Times New Roman" w:eastAsia="宋体" w:cs="Times New Roman"/>
                      <w:color w:val="000000"/>
                      <w:spacing w:val="0"/>
                      <w:kern w:val="0"/>
                      <w:sz w:val="21"/>
                      <w:szCs w:val="21"/>
                      <w:lang w:val="en-US" w:eastAsia="zh-CN"/>
                    </w:rPr>
                    <w:t>5</w:t>
                  </w:r>
                </w:p>
              </w:tc>
              <w:tc>
                <w:tcPr>
                  <w:tcW w:w="539" w:type="pct"/>
                  <w:tcBorders>
                    <w:tl2br w:val="nil"/>
                    <w:tr2bl w:val="nil"/>
                  </w:tcBorders>
                  <w:noWrap w:val="0"/>
                  <w:vAlign w:val="center"/>
                </w:tcPr>
                <w:p w14:paraId="56FDF2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cs="Times New Roman"/>
                      <w:b w:val="0"/>
                      <w:bCs/>
                      <w:sz w:val="21"/>
                      <w:szCs w:val="21"/>
                      <w:vertAlign w:val="baseline"/>
                      <w:lang w:val="en-US" w:eastAsia="zh-CN"/>
                    </w:rPr>
                    <w:t>暂存在</w:t>
                  </w:r>
                  <w:r>
                    <w:rPr>
                      <w:rFonts w:hint="eastAsia"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r w14:paraId="2228CB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60D7D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58" w:type="pct"/>
                  <w:tcBorders>
                    <w:tl2br w:val="nil"/>
                    <w:tr2bl w:val="nil"/>
                  </w:tcBorders>
                  <w:noWrap w:val="0"/>
                  <w:vAlign w:val="center"/>
                </w:tcPr>
                <w:p w14:paraId="719DCB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机械设备</w:t>
                  </w:r>
                </w:p>
              </w:tc>
              <w:tc>
                <w:tcPr>
                  <w:tcW w:w="466" w:type="pct"/>
                  <w:tcBorders>
                    <w:tl2br w:val="nil"/>
                    <w:tr2bl w:val="nil"/>
                  </w:tcBorders>
                  <w:noWrap w:val="0"/>
                  <w:vAlign w:val="center"/>
                </w:tcPr>
                <w:p w14:paraId="779CD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废油桶</w:t>
                  </w:r>
                </w:p>
              </w:tc>
              <w:tc>
                <w:tcPr>
                  <w:tcW w:w="384" w:type="pct"/>
                  <w:tcBorders>
                    <w:tl2br w:val="nil"/>
                    <w:tr2bl w:val="nil"/>
                  </w:tcBorders>
                  <w:noWrap w:val="0"/>
                  <w:vAlign w:val="center"/>
                </w:tcPr>
                <w:p w14:paraId="2FEC8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危险废物</w:t>
                  </w:r>
                </w:p>
              </w:tc>
              <w:tc>
                <w:tcPr>
                  <w:tcW w:w="785" w:type="pct"/>
                  <w:tcBorders>
                    <w:tl2br w:val="nil"/>
                    <w:tr2bl w:val="nil"/>
                  </w:tcBorders>
                  <w:noWrap w:val="0"/>
                  <w:vAlign w:val="center"/>
                </w:tcPr>
                <w:p w14:paraId="696CD3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cs="Times New Roman"/>
                      <w:b w:val="0"/>
                      <w:bCs/>
                      <w:sz w:val="21"/>
                      <w:szCs w:val="21"/>
                      <w:vertAlign w:val="baseline"/>
                      <w:lang w:val="en-US" w:eastAsia="zh-CN"/>
                    </w:rPr>
                    <w:t>900-249-08</w:t>
                  </w:r>
                </w:p>
              </w:tc>
              <w:tc>
                <w:tcPr>
                  <w:tcW w:w="456" w:type="pct"/>
                  <w:tcBorders>
                    <w:tl2br w:val="nil"/>
                    <w:tr2bl w:val="nil"/>
                  </w:tcBorders>
                  <w:noWrap w:val="0"/>
                  <w:vAlign w:val="center"/>
                </w:tcPr>
                <w:p w14:paraId="0930CC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noWrap w:val="0"/>
                  <w:vAlign w:val="center"/>
                </w:tcPr>
                <w:p w14:paraId="7EBF4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0.1</w:t>
                  </w:r>
                </w:p>
              </w:tc>
              <w:tc>
                <w:tcPr>
                  <w:tcW w:w="495" w:type="pct"/>
                  <w:tcBorders>
                    <w:tl2br w:val="nil"/>
                    <w:tr2bl w:val="nil"/>
                  </w:tcBorders>
                  <w:noWrap w:val="0"/>
                  <w:vAlign w:val="center"/>
                </w:tcPr>
                <w:p w14:paraId="0361A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81" w:type="pct"/>
                  <w:tcBorders>
                    <w:tl2br w:val="nil"/>
                    <w:tr2bl w:val="nil"/>
                  </w:tcBorders>
                  <w:noWrap w:val="0"/>
                  <w:vAlign w:val="center"/>
                </w:tcPr>
                <w:p w14:paraId="693AE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0.1</w:t>
                  </w:r>
                </w:p>
              </w:tc>
              <w:tc>
                <w:tcPr>
                  <w:tcW w:w="539" w:type="pct"/>
                  <w:tcBorders>
                    <w:tl2br w:val="nil"/>
                    <w:tr2bl w:val="nil"/>
                  </w:tcBorders>
                  <w:noWrap w:val="0"/>
                  <w:vAlign w:val="center"/>
                </w:tcPr>
                <w:p w14:paraId="72B334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cs="Times New Roman"/>
                      <w:b w:val="0"/>
                      <w:bCs/>
                      <w:sz w:val="21"/>
                      <w:szCs w:val="21"/>
                      <w:vertAlign w:val="baseline"/>
                      <w:lang w:val="en-US" w:eastAsia="zh-CN"/>
                    </w:rPr>
                    <w:t>暂存在</w:t>
                  </w:r>
                  <w:r>
                    <w:rPr>
                      <w:rFonts w:hint="eastAsia"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r w14:paraId="72D02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5" w:type="pct"/>
                  <w:vMerge w:val="continue"/>
                  <w:tcBorders>
                    <w:tl2br w:val="nil"/>
                    <w:tr2bl w:val="nil"/>
                  </w:tcBorders>
                  <w:noWrap w:val="0"/>
                  <w:vAlign w:val="center"/>
                </w:tcPr>
                <w:p w14:paraId="1D7C99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58" w:type="pct"/>
                  <w:tcBorders>
                    <w:tl2br w:val="nil"/>
                    <w:tr2bl w:val="nil"/>
                  </w:tcBorders>
                  <w:noWrap w:val="0"/>
                  <w:vAlign w:val="center"/>
                </w:tcPr>
                <w:p w14:paraId="1B9E74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机械设备</w:t>
                  </w:r>
                </w:p>
              </w:tc>
              <w:tc>
                <w:tcPr>
                  <w:tcW w:w="466" w:type="pct"/>
                  <w:tcBorders>
                    <w:tl2br w:val="nil"/>
                    <w:tr2bl w:val="nil"/>
                  </w:tcBorders>
                  <w:noWrap w:val="0"/>
                  <w:vAlign w:val="center"/>
                </w:tcPr>
                <w:p w14:paraId="28EE8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cs="Times New Roman"/>
                      <w:b w:val="0"/>
                      <w:bCs/>
                      <w:sz w:val="21"/>
                      <w:szCs w:val="21"/>
                      <w:vertAlign w:val="baseline"/>
                      <w:lang w:val="en-US" w:eastAsia="zh-CN"/>
                    </w:rPr>
                    <w:t>沾染含油污泥的废手套、废抹布</w:t>
                  </w:r>
                </w:p>
              </w:tc>
              <w:tc>
                <w:tcPr>
                  <w:tcW w:w="384" w:type="pct"/>
                  <w:tcBorders>
                    <w:tl2br w:val="nil"/>
                    <w:tr2bl w:val="nil"/>
                  </w:tcBorders>
                  <w:noWrap w:val="0"/>
                  <w:vAlign w:val="center"/>
                </w:tcPr>
                <w:p w14:paraId="58A829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危险废物</w:t>
                  </w:r>
                </w:p>
              </w:tc>
              <w:tc>
                <w:tcPr>
                  <w:tcW w:w="785" w:type="pct"/>
                  <w:tcBorders>
                    <w:tl2br w:val="nil"/>
                    <w:tr2bl w:val="nil"/>
                  </w:tcBorders>
                  <w:noWrap w:val="0"/>
                  <w:vAlign w:val="center"/>
                </w:tcPr>
                <w:p w14:paraId="2FB29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eastAsia="宋体" w:cs="Times New Roman"/>
                      <w:sz w:val="21"/>
                      <w:szCs w:val="21"/>
                    </w:rPr>
                    <w:t>900-041-49</w:t>
                  </w:r>
                </w:p>
              </w:tc>
              <w:tc>
                <w:tcPr>
                  <w:tcW w:w="456" w:type="pct"/>
                  <w:tcBorders>
                    <w:tl2br w:val="nil"/>
                    <w:tr2bl w:val="nil"/>
                  </w:tcBorders>
                  <w:noWrap w:val="0"/>
                  <w:vAlign w:val="center"/>
                </w:tcPr>
                <w:p w14:paraId="2D9496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37" w:type="pct"/>
                  <w:tcBorders>
                    <w:tl2br w:val="nil"/>
                    <w:tr2bl w:val="nil"/>
                  </w:tcBorders>
                  <w:noWrap w:val="0"/>
                  <w:vAlign w:val="center"/>
                </w:tcPr>
                <w:p w14:paraId="05CF0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0.01</w:t>
                  </w:r>
                </w:p>
              </w:tc>
              <w:tc>
                <w:tcPr>
                  <w:tcW w:w="495" w:type="pct"/>
                  <w:tcBorders>
                    <w:tl2br w:val="nil"/>
                    <w:tr2bl w:val="nil"/>
                  </w:tcBorders>
                  <w:noWrap w:val="0"/>
                  <w:vAlign w:val="center"/>
                </w:tcPr>
                <w:p w14:paraId="250200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81" w:type="pct"/>
                  <w:tcBorders>
                    <w:tl2br w:val="nil"/>
                    <w:tr2bl w:val="nil"/>
                  </w:tcBorders>
                  <w:noWrap w:val="0"/>
                  <w:vAlign w:val="center"/>
                </w:tcPr>
                <w:p w14:paraId="3615FA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0.01</w:t>
                  </w:r>
                </w:p>
              </w:tc>
              <w:tc>
                <w:tcPr>
                  <w:tcW w:w="539" w:type="pct"/>
                  <w:tcBorders>
                    <w:tl2br w:val="nil"/>
                    <w:tr2bl w:val="nil"/>
                  </w:tcBorders>
                  <w:noWrap w:val="0"/>
                  <w:vAlign w:val="center"/>
                </w:tcPr>
                <w:p w14:paraId="71DC89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暂存在</w:t>
                  </w:r>
                  <w:r>
                    <w:rPr>
                      <w:rFonts w:hint="eastAsia" w:cs="Times New Roman"/>
                      <w:b w:val="0"/>
                      <w:bCs/>
                      <w:sz w:val="21"/>
                      <w:szCs w:val="21"/>
                      <w:vertAlign w:val="baseline"/>
                      <w:lang w:val="en-US" w:eastAsia="zh-CN"/>
                    </w:rPr>
                    <w:t>危险废物贮存库</w:t>
                  </w:r>
                  <w:r>
                    <w:rPr>
                      <w:rFonts w:hint="default" w:ascii="Times New Roman" w:hAnsi="Times New Roman" w:cs="Times New Roman"/>
                      <w:b w:val="0"/>
                      <w:bCs/>
                      <w:sz w:val="21"/>
                      <w:szCs w:val="21"/>
                      <w:vertAlign w:val="baseline"/>
                      <w:lang w:val="en-US" w:eastAsia="zh-CN"/>
                    </w:rPr>
                    <w:t>，委托有资质的单位统一处理</w:t>
                  </w:r>
                </w:p>
              </w:tc>
            </w:tr>
          </w:tbl>
          <w:p w14:paraId="448A52CB">
            <w:pPr>
              <w:keepNext w:val="0"/>
              <w:keepLines w:val="0"/>
              <w:suppressLineNumbers w:val="0"/>
              <w:spacing w:before="0" w:beforeAutospacing="0" w:after="0" w:afterAutospacing="0"/>
              <w:ind w:left="0" w:right="0" w:firstLine="480" w:firstLineChars="200"/>
              <w:rPr>
                <w:rFonts w:hint="default"/>
                <w:color w:val="000000"/>
              </w:rPr>
            </w:pPr>
            <w:r>
              <w:rPr>
                <w:rFonts w:hint="default"/>
                <w:color w:val="000000"/>
              </w:rPr>
              <w:t>本项目危险废物临时贮存场所设置应遵照以下规定：</w:t>
            </w:r>
          </w:p>
          <w:p w14:paraId="6AD041C2">
            <w:pPr>
              <w:keepNext w:val="0"/>
              <w:keepLines w:val="0"/>
              <w:suppressLineNumbers w:val="0"/>
              <w:spacing w:before="0" w:beforeAutospacing="0" w:after="0" w:afterAutospacing="0"/>
              <w:ind w:left="0" w:right="0" w:firstLine="482" w:firstLineChars="200"/>
              <w:rPr>
                <w:rFonts w:hint="default"/>
                <w:color w:val="000000"/>
                <w:kern w:val="0"/>
              </w:rPr>
            </w:pPr>
            <w:r>
              <w:rPr>
                <w:rFonts w:hint="eastAsia"/>
                <w:b/>
                <w:bCs/>
                <w:color w:val="000000"/>
                <w:kern w:val="0"/>
                <w:lang w:eastAsia="zh-CN"/>
              </w:rPr>
              <w:t>危险废物贮存库</w:t>
            </w:r>
            <w:r>
              <w:rPr>
                <w:rFonts w:hint="default"/>
                <w:b/>
                <w:bCs/>
                <w:color w:val="000000"/>
                <w:kern w:val="0"/>
              </w:rPr>
              <w:t>建设要求：</w:t>
            </w:r>
          </w:p>
          <w:p w14:paraId="0D214C7F">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①</w:t>
            </w:r>
            <w:r>
              <w:rPr>
                <w:rFonts w:hint="eastAsia"/>
                <w:color w:val="000000"/>
                <w:kern w:val="0"/>
              </w:rPr>
              <w:t>贮存设施应根据危险废物的形态、物理化学性质、包装形式和污染物迁移途径，采取必要的防风、防晒、防雨、防漏、防渗、防腐以及其他环境污染防治措施，不应露天堆放危险废物。</w:t>
            </w:r>
          </w:p>
          <w:p w14:paraId="0AF67704">
            <w:pPr>
              <w:keepNext w:val="0"/>
              <w:keepLines w:val="0"/>
              <w:suppressLineNumbers w:val="0"/>
              <w:spacing w:before="0" w:beforeAutospacing="0" w:after="0" w:afterAutospacing="0"/>
              <w:ind w:left="0" w:right="0" w:firstLine="480" w:firstLineChars="200"/>
              <w:rPr>
                <w:rFonts w:hint="eastAsia"/>
                <w:color w:val="000000"/>
                <w:kern w:val="0"/>
              </w:rPr>
            </w:pPr>
            <w:r>
              <w:rPr>
                <w:rFonts w:hint="default"/>
                <w:color w:val="000000"/>
                <w:kern w:val="0"/>
              </w:rPr>
              <w:t>②</w:t>
            </w:r>
            <w:r>
              <w:rPr>
                <w:rFonts w:hint="eastAsia"/>
                <w:color w:val="000000"/>
                <w:kern w:val="0"/>
              </w:rPr>
              <w:t>贮存设施应根据危险废物的类别、数量、形态、物理化学性质和污染防治等要求设置必要的贮存分区，避免不相容的危险废物接触、混合。</w:t>
            </w:r>
          </w:p>
          <w:p w14:paraId="42827366">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③</w:t>
            </w:r>
            <w:r>
              <w:rPr>
                <w:rFonts w:hint="eastAsia"/>
                <w:color w:val="000000"/>
                <w:kern w:val="0"/>
              </w:rPr>
              <w:t>贮存设施或贮存分区内地面、墙面裙脚、堵截泄漏的围堰、接触危险废物的隔板和墙体等应采用坚固的材料建造，表面无裂缝。</w:t>
            </w:r>
          </w:p>
          <w:p w14:paraId="33BABDB1">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④</w:t>
            </w:r>
            <w:r>
              <w:rPr>
                <w:rFonts w:hint="eastAsia"/>
                <w:color w:val="000000"/>
                <w:kern w:val="0"/>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default"/>
                <w:color w:val="000000"/>
                <w:kern w:val="0"/>
              </w:rPr>
              <w:t>1m</w:t>
            </w:r>
            <w:r>
              <w:rPr>
                <w:rFonts w:hint="eastAsia"/>
                <w:color w:val="000000"/>
                <w:kern w:val="0"/>
              </w:rPr>
              <w:t>厚黏土层（渗透系数不大于</w:t>
            </w:r>
            <w:r>
              <w:rPr>
                <w:rFonts w:hint="default"/>
                <w:color w:val="000000"/>
                <w:kern w:val="0"/>
              </w:rPr>
              <w:t>10</w:t>
            </w:r>
            <w:r>
              <w:rPr>
                <w:rFonts w:hint="default"/>
                <w:color w:val="000000"/>
                <w:kern w:val="0"/>
                <w:vertAlign w:val="superscript"/>
              </w:rPr>
              <w:t>-7</w:t>
            </w:r>
            <w:r>
              <w:rPr>
                <w:rFonts w:hint="default"/>
                <w:color w:val="000000"/>
                <w:kern w:val="0"/>
              </w:rPr>
              <w:t>cm/s</w:t>
            </w:r>
            <w:r>
              <w:rPr>
                <w:rFonts w:hint="eastAsia"/>
                <w:color w:val="000000"/>
                <w:kern w:val="0"/>
              </w:rPr>
              <w:t>），或至少</w:t>
            </w:r>
            <w:r>
              <w:rPr>
                <w:rFonts w:hint="default"/>
                <w:color w:val="000000"/>
                <w:kern w:val="0"/>
              </w:rPr>
              <w:t>2mm</w:t>
            </w:r>
            <w:r>
              <w:rPr>
                <w:rFonts w:hint="eastAsia"/>
                <w:color w:val="000000"/>
                <w:kern w:val="0"/>
              </w:rPr>
              <w:t>厚高密度聚乙烯膜等人工防渗材料（渗透系数不大于</w:t>
            </w:r>
            <w:r>
              <w:rPr>
                <w:rFonts w:hint="default"/>
                <w:color w:val="000000"/>
                <w:kern w:val="0"/>
              </w:rPr>
              <w:t>10</w:t>
            </w:r>
            <w:r>
              <w:rPr>
                <w:rFonts w:hint="default"/>
                <w:color w:val="000000"/>
                <w:kern w:val="0"/>
                <w:vertAlign w:val="superscript"/>
              </w:rPr>
              <w:t>-10</w:t>
            </w:r>
            <w:r>
              <w:rPr>
                <w:rFonts w:hint="default"/>
                <w:color w:val="000000"/>
                <w:kern w:val="0"/>
              </w:rPr>
              <w:t>cm/s</w:t>
            </w:r>
            <w:r>
              <w:rPr>
                <w:rFonts w:hint="eastAsia"/>
                <w:color w:val="000000"/>
                <w:kern w:val="0"/>
              </w:rPr>
              <w:t>），或其他防渗性能等效的材料。</w:t>
            </w:r>
          </w:p>
          <w:p w14:paraId="0B1175AB">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⑤</w:t>
            </w:r>
            <w:r>
              <w:rPr>
                <w:rFonts w:hint="eastAsia"/>
                <w:color w:val="000000"/>
                <w:kern w:val="0"/>
              </w:rPr>
              <w:t>同一贮存设施宜采用相同的防渗、防腐工艺（包括防渗、防腐结构或材料），防渗、防腐材料应覆盖所有可能与废物及其渗滤液、渗漏液等接触的构筑物表面；采用不同防渗、防腐工艺应分别建设贮存分区</w:t>
            </w:r>
            <w:r>
              <w:rPr>
                <w:rFonts w:hint="default"/>
                <w:color w:val="000000"/>
                <w:kern w:val="0"/>
              </w:rPr>
              <w:t>。</w:t>
            </w:r>
          </w:p>
          <w:p w14:paraId="74D305B9">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⑥</w:t>
            </w:r>
            <w:r>
              <w:rPr>
                <w:rFonts w:hint="eastAsia"/>
                <w:color w:val="000000"/>
                <w:kern w:val="0"/>
              </w:rPr>
              <w:t>贮存设施应采取技术和管理措施防止无关人员进入</w:t>
            </w:r>
            <w:r>
              <w:rPr>
                <w:rFonts w:hint="default"/>
                <w:color w:val="000000"/>
                <w:kern w:val="0"/>
              </w:rPr>
              <w:t>。</w:t>
            </w:r>
          </w:p>
          <w:p w14:paraId="59F7C3B5">
            <w:pPr>
              <w:keepNext w:val="0"/>
              <w:keepLines w:val="0"/>
              <w:suppressLineNumbers w:val="0"/>
              <w:spacing w:before="0" w:beforeAutospacing="0" w:after="0" w:afterAutospacing="0"/>
              <w:ind w:left="0" w:right="0" w:firstLine="482" w:firstLineChars="200"/>
              <w:rPr>
                <w:rFonts w:hint="eastAsia"/>
                <w:b/>
                <w:bCs/>
                <w:color w:val="000000"/>
                <w:kern w:val="0"/>
                <w:lang w:bidi="ar"/>
              </w:rPr>
            </w:pPr>
            <w:r>
              <w:rPr>
                <w:rFonts w:hint="eastAsia"/>
                <w:b/>
                <w:bCs/>
                <w:color w:val="000000"/>
                <w:kern w:val="0"/>
                <w:lang w:bidi="ar"/>
              </w:rPr>
              <w:t>容器和包装物污染控制要求：</w:t>
            </w:r>
          </w:p>
          <w:p w14:paraId="6167DE65">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①</w:t>
            </w:r>
            <w:r>
              <w:rPr>
                <w:rFonts w:hint="eastAsia"/>
                <w:color w:val="000000"/>
                <w:kern w:val="0"/>
              </w:rPr>
              <w:t>容器和包装物材质、内衬应与盛装的危险废物相容。</w:t>
            </w:r>
          </w:p>
          <w:p w14:paraId="29E90997">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②</w:t>
            </w:r>
            <w:r>
              <w:rPr>
                <w:rFonts w:hint="eastAsia"/>
                <w:color w:val="000000"/>
                <w:kern w:val="0"/>
              </w:rPr>
              <w:t>针对不同类别、形态、物理化学性质的危险废物，其容器和包装物应满足相应的防渗、防漏、防腐和强度等要求。</w:t>
            </w:r>
          </w:p>
          <w:p w14:paraId="036A91DB">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③</w:t>
            </w:r>
            <w:r>
              <w:rPr>
                <w:rFonts w:hint="eastAsia"/>
                <w:color w:val="000000"/>
                <w:kern w:val="0"/>
              </w:rPr>
              <w:t>硬质容器和包装物及其支护结构堆叠码放时不应有明显变形，无破损泄漏。</w:t>
            </w:r>
          </w:p>
          <w:p w14:paraId="2DEF09AF">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④</w:t>
            </w:r>
            <w:r>
              <w:rPr>
                <w:rFonts w:hint="eastAsia"/>
                <w:color w:val="000000"/>
                <w:kern w:val="0"/>
              </w:rPr>
              <w:t>柔性容器和包装物堆叠码放时应封口严密，无破损泄漏。</w:t>
            </w:r>
          </w:p>
          <w:p w14:paraId="5E3AD3A4">
            <w:pPr>
              <w:keepNext w:val="0"/>
              <w:keepLines w:val="0"/>
              <w:suppressLineNumbers w:val="0"/>
              <w:spacing w:before="0" w:beforeAutospacing="0" w:after="0" w:afterAutospacing="0"/>
              <w:ind w:left="0" w:right="0" w:firstLine="480" w:firstLineChars="200"/>
              <w:rPr>
                <w:rFonts w:hint="eastAsia"/>
                <w:color w:val="000000"/>
                <w:kern w:val="0"/>
              </w:rPr>
            </w:pPr>
            <w:r>
              <w:rPr>
                <w:rFonts w:hint="eastAsia"/>
                <w:color w:val="000000"/>
                <w:kern w:val="0"/>
              </w:rPr>
              <w:t>⑤使用容器盛装液态、半固态危险废物时，容器内部应留有适当的空间，以适应因温度变化等可能引发的收缩和膨胀，防止其导致容器渗漏或永久变形。</w:t>
            </w:r>
          </w:p>
          <w:p w14:paraId="13D18D59">
            <w:pPr>
              <w:keepNext w:val="0"/>
              <w:keepLines w:val="0"/>
              <w:suppressLineNumbers w:val="0"/>
              <w:spacing w:before="0" w:beforeAutospacing="0" w:after="0" w:afterAutospacing="0"/>
              <w:ind w:left="0" w:right="0" w:firstLine="480" w:firstLineChars="200"/>
              <w:rPr>
                <w:rFonts w:hint="eastAsia"/>
                <w:color w:val="000000"/>
                <w:kern w:val="0"/>
              </w:rPr>
            </w:pPr>
            <w:r>
              <w:rPr>
                <w:rFonts w:hint="eastAsia"/>
                <w:color w:val="000000"/>
                <w:kern w:val="0"/>
              </w:rPr>
              <w:t>⑥容器和包装物外表面应保持清洁。</w:t>
            </w:r>
          </w:p>
          <w:p w14:paraId="50E5E27B">
            <w:pPr>
              <w:keepNext w:val="0"/>
              <w:keepLines w:val="0"/>
              <w:suppressLineNumbers w:val="0"/>
              <w:spacing w:before="0" w:beforeAutospacing="0" w:after="0" w:afterAutospacing="0"/>
              <w:ind w:left="0" w:right="0" w:firstLine="482" w:firstLineChars="200"/>
              <w:rPr>
                <w:rFonts w:hint="eastAsia"/>
                <w:b/>
                <w:bCs/>
                <w:color w:val="000000"/>
                <w:kern w:val="0"/>
                <w:lang w:bidi="ar"/>
              </w:rPr>
            </w:pPr>
            <w:r>
              <w:rPr>
                <w:rFonts w:hint="default"/>
                <w:b/>
                <w:bCs/>
                <w:color w:val="000000"/>
                <w:kern w:val="0"/>
                <w:lang w:bidi="ar"/>
              </w:rPr>
              <w:t>危险废物贮存设施的运行与管理要求</w:t>
            </w:r>
            <w:r>
              <w:rPr>
                <w:rFonts w:hint="eastAsia"/>
                <w:b/>
                <w:bCs/>
                <w:color w:val="000000"/>
                <w:kern w:val="0"/>
                <w:lang w:bidi="ar"/>
              </w:rPr>
              <w:t>：</w:t>
            </w:r>
          </w:p>
          <w:p w14:paraId="547DF013">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①危险废物存入贮存设施前应对危险废物类别和特性与危险废物标签等危险废物识别标志的一致性进行核验，不一致的或类别、特性不明的不应存入。</w:t>
            </w:r>
          </w:p>
          <w:p w14:paraId="7DF343A1">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②应定期检查危险废物的贮存状况，及时清理贮存设施地面，更换破损泄漏的危险废物贮存容器和包装物，保证堆存危险废物的防雨、防风、防扬尘等设施功能完好。</w:t>
            </w:r>
          </w:p>
          <w:p w14:paraId="2B2C832D">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③作业设备及车辆等结束作业离开贮存设施时，应对其残留的危险废物进行清理，清理的废物或清洗废水应收集处理。</w:t>
            </w:r>
          </w:p>
          <w:p w14:paraId="21507956">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④贮存设施运行期间，应按国家有关标准和规定建立危险废物管理台账并保存。</w:t>
            </w:r>
          </w:p>
          <w:p w14:paraId="50781B1F">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⑤贮存设施所有者或运营者应建立贮存设施环境管理制度、管理人员岗位职责制度、设施运行操作制度、人员岗位培训制度等。</w:t>
            </w:r>
          </w:p>
          <w:p w14:paraId="23189A0F">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⑥贮存设施所有者或运营者应依据国家土壤和地下水污染防治的有关规定，结合贮存设施特点建立土壤和地下水污染隐患排查制度，并定期开展隐患排查；发现隐患应及时采取措施消除隐患，并建立档案。</w:t>
            </w:r>
          </w:p>
          <w:p w14:paraId="6D807F0A">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⑦贮存设施所有者或运营者应建立贮存设施全部档案，包括设计、施工、验收、运行、监测和环境应急等，应按国家有关档案管理的法律法规进行整理和归档。</w:t>
            </w:r>
          </w:p>
          <w:p w14:paraId="715A3BF1">
            <w:pPr>
              <w:keepNext w:val="0"/>
              <w:keepLines w:val="0"/>
              <w:suppressLineNumbers w:val="0"/>
              <w:spacing w:before="0" w:beforeAutospacing="0" w:after="0" w:afterAutospacing="0"/>
              <w:ind w:left="0" w:right="0" w:firstLine="482" w:firstLineChars="200"/>
              <w:rPr>
                <w:rFonts w:hint="eastAsia"/>
                <w:b/>
                <w:bCs/>
                <w:color w:val="000000"/>
                <w:kern w:val="0"/>
                <w:lang w:bidi="ar"/>
              </w:rPr>
            </w:pPr>
            <w:r>
              <w:rPr>
                <w:rFonts w:hint="default"/>
                <w:b/>
                <w:bCs/>
                <w:color w:val="000000"/>
                <w:kern w:val="0"/>
                <w:lang w:bidi="ar"/>
              </w:rPr>
              <w:t>危险废物贮存设施的安全防护要求</w:t>
            </w:r>
            <w:r>
              <w:rPr>
                <w:rFonts w:hint="eastAsia"/>
                <w:b/>
                <w:bCs/>
                <w:color w:val="000000"/>
                <w:kern w:val="0"/>
                <w:lang w:bidi="ar"/>
              </w:rPr>
              <w:t>：</w:t>
            </w:r>
          </w:p>
          <w:p w14:paraId="17294179">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①危险废物贮存设施都必须按GB15562.2</w:t>
            </w:r>
            <w:r>
              <w:rPr>
                <w:rFonts w:hint="eastAsia"/>
                <w:color w:val="000000"/>
                <w:kern w:val="0"/>
                <w:lang w:val="en-US" w:eastAsia="zh-CN" w:bidi="ar"/>
              </w:rPr>
              <w:t>及修改单</w:t>
            </w:r>
            <w:r>
              <w:rPr>
                <w:rFonts w:hint="default"/>
                <w:color w:val="000000"/>
                <w:kern w:val="0"/>
                <w:lang w:bidi="ar"/>
              </w:rPr>
              <w:t>的规定设置警示标志。</w:t>
            </w:r>
          </w:p>
          <w:p w14:paraId="4FEC1CAF">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②危险废物贮存设施周围应设置围墙或其</w:t>
            </w:r>
            <w:r>
              <w:rPr>
                <w:rFonts w:hint="eastAsia"/>
                <w:color w:val="000000"/>
                <w:kern w:val="0"/>
                <w:lang w:val="en-US" w:eastAsia="zh-CN" w:bidi="ar"/>
              </w:rPr>
              <w:t>他</w:t>
            </w:r>
            <w:r>
              <w:rPr>
                <w:rFonts w:hint="default"/>
                <w:color w:val="000000"/>
                <w:kern w:val="0"/>
                <w:lang w:bidi="ar"/>
              </w:rPr>
              <w:t>防护栅栏。</w:t>
            </w:r>
          </w:p>
          <w:p w14:paraId="43CA9871">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③危险废物贮存设施应配备通讯设备、照明设施、安全防护服装及工具，并设有应急防护设施。</w:t>
            </w:r>
          </w:p>
          <w:p w14:paraId="496763FF">
            <w:pPr>
              <w:keepNext w:val="0"/>
              <w:keepLines w:val="0"/>
              <w:suppressLineNumbers w:val="0"/>
              <w:spacing w:before="0" w:beforeAutospacing="0" w:after="0" w:afterAutospacing="0"/>
              <w:ind w:left="0" w:right="0" w:firstLine="480" w:firstLineChars="200"/>
              <w:rPr>
                <w:rFonts w:hint="default"/>
                <w:color w:val="000000"/>
                <w:kern w:val="0"/>
                <w:lang w:bidi="ar"/>
              </w:rPr>
            </w:pPr>
            <w:r>
              <w:rPr>
                <w:rFonts w:hint="default"/>
                <w:color w:val="000000"/>
                <w:kern w:val="0"/>
                <w:lang w:bidi="ar"/>
              </w:rPr>
              <w:t>④危险废物贮存设施内清理出来的泄漏物，一律按危险废物处理。</w:t>
            </w:r>
          </w:p>
          <w:p w14:paraId="0160EED9">
            <w:pPr>
              <w:keepNext w:val="0"/>
              <w:keepLines w:val="0"/>
              <w:suppressLineNumbers w:val="0"/>
              <w:spacing w:before="0" w:beforeAutospacing="0" w:after="0" w:afterAutospacing="0"/>
              <w:ind w:left="0" w:right="0" w:firstLine="482" w:firstLineChars="200"/>
              <w:rPr>
                <w:rFonts w:hint="default"/>
                <w:b/>
                <w:bCs/>
                <w:color w:val="000000"/>
                <w:kern w:val="0"/>
              </w:rPr>
            </w:pPr>
            <w:r>
              <w:rPr>
                <w:rFonts w:hint="default"/>
                <w:b/>
                <w:bCs/>
                <w:color w:val="000000"/>
                <w:kern w:val="0"/>
              </w:rPr>
              <w:t>危险废物的转运要求：</w:t>
            </w:r>
          </w:p>
          <w:p w14:paraId="5DB67854">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危险废物应按照国家有关规定向当地环境保护行政主管部门申报登记，接受当地环境保护行政主管部门监督管理。在危险废物外运至处置单位时必须严格遵守以下要求：</w:t>
            </w:r>
          </w:p>
          <w:p w14:paraId="3FAAA8EA">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①做好每次外运处置废弃物的运输登记，</w:t>
            </w:r>
            <w:r>
              <w:rPr>
                <w:rFonts w:hint="eastAsia"/>
                <w:color w:val="000000"/>
                <w:kern w:val="0"/>
              </w:rPr>
              <w:t>做好危险废物电子转移联单工作</w:t>
            </w:r>
            <w:r>
              <w:rPr>
                <w:rFonts w:hint="default"/>
                <w:color w:val="000000"/>
                <w:kern w:val="0"/>
              </w:rPr>
              <w:t>。</w:t>
            </w:r>
          </w:p>
          <w:p w14:paraId="5466E07B">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②废弃物处置单位的运输人员必须掌握危险化学品运输的安全知识，化学品的性质、危害特性、包装容器的使用特性和发生意外时的应急措施了解所运载的危险。运输车辆必须具有车辆危险货物运输许可证。</w:t>
            </w:r>
          </w:p>
          <w:p w14:paraId="1444AD53">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③处置单位在运输危险废物时必须配备押运人员，并随时处于押运人员的监管之下，不得超装、超载，严格按照所在城市规定的行车时间和行车路线行驶，不得进入危险化学品运输车辆禁止通行的区域。</w:t>
            </w:r>
          </w:p>
          <w:p w14:paraId="27E27812">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④危险废物在运输途中若发生被盗、丢失、流散、泄漏等情况时，公司及押运人员必须立即向当地公安部门报告，并采取一切可能的警示措施。</w:t>
            </w:r>
          </w:p>
          <w:p w14:paraId="182C881B">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⑤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14:paraId="78FD197D">
            <w:pPr>
              <w:pStyle w:val="2"/>
              <w:keepNext w:val="0"/>
              <w:keepLines w:val="0"/>
              <w:suppressLineNumbers w:val="0"/>
              <w:spacing w:before="0" w:beforeAutospacing="0" w:after="0" w:afterAutospacing="0"/>
              <w:ind w:left="0" w:right="0"/>
              <w:rPr>
                <w:rFonts w:hint="eastAsia" w:cs="Times New Roman"/>
                <w:b w:val="0"/>
                <w:bCs w:val="0"/>
                <w:sz w:val="24"/>
                <w:szCs w:val="24"/>
                <w:lang w:val="en-US" w:eastAsia="zh-CN"/>
              </w:rPr>
            </w:pPr>
            <w:r>
              <w:rPr>
                <w:rFonts w:hint="default" w:ascii="Times New Roman" w:hAnsi="Times New Roman" w:eastAsia="宋体" w:cs="Times New Roman"/>
                <w:b/>
                <w:bCs/>
                <w:sz w:val="24"/>
                <w:szCs w:val="24"/>
                <w:lang w:val="en-US" w:eastAsia="zh-CN"/>
              </w:rPr>
              <w:t>危险废物转移管理</w:t>
            </w:r>
            <w:r>
              <w:rPr>
                <w:rFonts w:hint="eastAsia" w:ascii="Times New Roman" w:hAnsi="Times New Roman" w:eastAsia="宋体" w:cs="Times New Roman"/>
                <w:b/>
                <w:bCs/>
                <w:sz w:val="24"/>
                <w:szCs w:val="24"/>
                <w:lang w:val="en-US" w:eastAsia="zh-CN"/>
              </w:rPr>
              <w:t>要求</w:t>
            </w:r>
            <w:r>
              <w:rPr>
                <w:rFonts w:hint="eastAsia" w:cs="Times New Roman"/>
                <w:b/>
                <w:bCs/>
                <w:sz w:val="24"/>
                <w:szCs w:val="24"/>
                <w:lang w:val="en-US" w:eastAsia="zh-CN"/>
              </w:rPr>
              <w:t>：</w:t>
            </w:r>
          </w:p>
          <w:p w14:paraId="0A4D91D3">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①危险废物转移联单应当根据危险废物管理计划中填报的危险废物转移等备案信息填写、运行。</w:t>
            </w:r>
          </w:p>
          <w:p w14:paraId="63223D32">
            <w:pPr>
              <w:keepNext w:val="0"/>
              <w:keepLines w:val="0"/>
              <w:suppressLineNumbers w:val="0"/>
              <w:spacing w:before="0" w:beforeAutospacing="0" w:after="0" w:afterAutospacing="0"/>
              <w:ind w:left="0" w:right="0" w:firstLine="480" w:firstLineChars="200"/>
              <w:rPr>
                <w:rFonts w:hint="eastAsia" w:eastAsia="宋体"/>
                <w:color w:val="000000"/>
                <w:kern w:val="0"/>
                <w:lang w:eastAsia="zh-CN"/>
              </w:rPr>
            </w:pPr>
            <w:r>
              <w:rPr>
                <w:rFonts w:hint="default"/>
                <w:color w:val="000000"/>
                <w:kern w:val="0"/>
              </w:rPr>
              <w:t>②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r>
              <w:rPr>
                <w:rFonts w:hint="eastAsia"/>
                <w:color w:val="000000"/>
                <w:kern w:val="0"/>
                <w:lang w:eastAsia="zh-CN"/>
              </w:rPr>
              <w:t>。使用同一车（船或者其他运输工具）一次为多个移出人转移危险废物的，每个移出人应当分别填写、运行危险废物转移联单。</w:t>
            </w:r>
          </w:p>
          <w:p w14:paraId="78A51323">
            <w:pPr>
              <w:keepNext w:val="0"/>
              <w:keepLines w:val="0"/>
              <w:suppressLineNumbers w:val="0"/>
              <w:spacing w:before="0" w:beforeAutospacing="0" w:after="0" w:afterAutospacing="0"/>
              <w:ind w:left="0" w:right="0" w:firstLine="480" w:firstLineChars="200"/>
              <w:rPr>
                <w:rFonts w:hint="default"/>
                <w:color w:val="000000"/>
                <w:kern w:val="0"/>
              </w:rPr>
            </w:pPr>
            <w:r>
              <w:rPr>
                <w:rFonts w:hint="default"/>
                <w:color w:val="000000"/>
                <w:kern w:val="0"/>
              </w:rPr>
              <w:t>③抵的危险废物的名称、数量、特性、形态、包装方式与危险废物转移联单填写内容不符的，接受人应当及时告知移出人，视情况决定是否接受，同时向接受地生态环境主管部门报告。</w:t>
            </w:r>
          </w:p>
          <w:p w14:paraId="33887F33">
            <w:pPr>
              <w:pStyle w:val="3"/>
              <w:keepNext w:val="0"/>
              <w:keepLines w:val="0"/>
              <w:suppressLineNumbers w:val="0"/>
              <w:spacing w:before="0" w:beforeAutospacing="0" w:after="0" w:afterAutospacing="0"/>
              <w:ind w:left="0" w:right="0"/>
              <w:rPr>
                <w:rFonts w:hint="default"/>
                <w:color w:val="000000"/>
                <w:kern w:val="0"/>
              </w:rPr>
            </w:pPr>
            <w:r>
              <w:rPr>
                <w:rFonts w:hint="default"/>
                <w:color w:val="000000"/>
                <w:kern w:val="0"/>
              </w:rPr>
              <w:t>④对不通过车（船或者其他运输工具），且无法按次对危险废物计量的其他方式转移危险废物的，移出人和</w:t>
            </w:r>
            <w:r>
              <w:rPr>
                <w:rFonts w:hint="eastAsia"/>
                <w:color w:val="000000"/>
                <w:kern w:val="0"/>
                <w:lang w:eastAsia="zh-CN"/>
              </w:rPr>
              <w:t>接收</w:t>
            </w:r>
            <w:r>
              <w:rPr>
                <w:rFonts w:hint="default"/>
                <w:color w:val="000000"/>
                <w:kern w:val="0"/>
              </w:rPr>
              <w:t>人应当分别配备计量记录设备，将每天危险废物转移的种类、重量（数量）、形态和危险特性等信息纳入相关台账记录，并根据所在地设区的市级以上地方生态环境主管部门的要求填写、运行危险废物转移联单。</w:t>
            </w:r>
          </w:p>
          <w:p w14:paraId="1089BD77">
            <w:pPr>
              <w:pStyle w:val="3"/>
              <w:keepNext w:val="0"/>
              <w:keepLines w:val="0"/>
              <w:suppressLineNumbers w:val="0"/>
              <w:spacing w:before="0" w:beforeAutospacing="0" w:after="0" w:afterAutospacing="0"/>
              <w:ind w:left="0" w:right="0"/>
              <w:rPr>
                <w:rFonts w:hint="default"/>
              </w:rPr>
            </w:pPr>
            <w:r>
              <w:rPr>
                <w:rFonts w:hint="default"/>
                <w:color w:val="000000"/>
                <w:kern w:val="0"/>
              </w:rPr>
              <w:t>⑤危险废物电子转移联单数据应当在信息系统中至少保存十年。</w:t>
            </w:r>
          </w:p>
          <w:p w14:paraId="298D8E95">
            <w:pPr>
              <w:keepNext w:val="0"/>
              <w:keepLines w:val="0"/>
              <w:suppressLineNumbers w:val="0"/>
              <w:spacing w:before="0" w:beforeAutospacing="0" w:after="0" w:afterAutospacing="0"/>
              <w:ind w:left="0" w:right="0"/>
              <w:rPr>
                <w:rFonts w:hint="default" w:eastAsia="宋体"/>
                <w:b/>
                <w:bCs/>
                <w:color w:val="000000"/>
                <w:spacing w:val="0"/>
                <w:kern w:val="0"/>
                <w:lang w:val="en-US" w:eastAsia="zh-CN"/>
              </w:rPr>
            </w:pPr>
            <w:r>
              <w:rPr>
                <w:rFonts w:hint="default"/>
                <w:b/>
                <w:bCs/>
                <w:color w:val="000000"/>
                <w:spacing w:val="0"/>
                <w:kern w:val="0"/>
              </w:rPr>
              <w:t>5</w:t>
            </w:r>
            <w:r>
              <w:rPr>
                <w:rFonts w:hint="eastAsia"/>
                <w:b/>
                <w:bCs/>
                <w:color w:val="000000"/>
                <w:spacing w:val="0"/>
                <w:kern w:val="0"/>
                <w:lang w:eastAsia="zh-CN"/>
              </w:rPr>
              <w:t>、</w:t>
            </w:r>
            <w:r>
              <w:rPr>
                <w:rFonts w:hint="default"/>
                <w:b/>
                <w:bCs/>
                <w:color w:val="000000"/>
                <w:spacing w:val="0"/>
                <w:kern w:val="0"/>
              </w:rPr>
              <w:t>地下水</w:t>
            </w:r>
            <w:r>
              <w:rPr>
                <w:rFonts w:hint="eastAsia"/>
                <w:b/>
                <w:bCs/>
                <w:color w:val="000000"/>
                <w:spacing w:val="0"/>
                <w:kern w:val="0"/>
                <w:lang w:eastAsia="zh-CN"/>
              </w:rPr>
              <w:t>、</w:t>
            </w:r>
            <w:r>
              <w:rPr>
                <w:rFonts w:hint="eastAsia"/>
                <w:b/>
                <w:bCs/>
                <w:color w:val="000000"/>
                <w:spacing w:val="0"/>
                <w:kern w:val="0"/>
                <w:lang w:val="en-US" w:eastAsia="zh-CN"/>
              </w:rPr>
              <w:t>土壤</w:t>
            </w:r>
          </w:p>
          <w:p w14:paraId="64334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olor w:val="000000"/>
                <w:spacing w:val="0"/>
                <w:kern w:val="0"/>
                <w:lang w:eastAsia="zh-CN"/>
              </w:rPr>
            </w:pPr>
            <w:r>
              <w:rPr>
                <w:rFonts w:hint="default"/>
                <w:color w:val="000000"/>
                <w:spacing w:val="0"/>
                <w:kern w:val="0"/>
              </w:rPr>
              <w:t>本项目</w:t>
            </w:r>
            <w:r>
              <w:rPr>
                <w:rFonts w:hint="eastAsia"/>
                <w:color w:val="000000"/>
                <w:spacing w:val="0"/>
                <w:kern w:val="0"/>
              </w:rPr>
              <w:t>正常工况下不存在污染途径</w:t>
            </w:r>
            <w:r>
              <w:rPr>
                <w:rFonts w:hint="eastAsia"/>
                <w:color w:val="000000"/>
                <w:spacing w:val="0"/>
                <w:kern w:val="0"/>
                <w:lang w:eastAsia="zh-CN"/>
              </w:rPr>
              <w:t>，</w:t>
            </w:r>
            <w:r>
              <w:rPr>
                <w:rFonts w:hint="eastAsia"/>
                <w:color w:val="000000"/>
                <w:spacing w:val="0"/>
                <w:kern w:val="0"/>
              </w:rPr>
              <w:t>按照《环境影响评价技术导则 地下水环境》（HJ 610-2016）</w:t>
            </w:r>
            <w:r>
              <w:rPr>
                <w:rFonts w:hint="default"/>
                <w:color w:val="000000"/>
                <w:spacing w:val="0"/>
                <w:kern w:val="0"/>
              </w:rPr>
              <w:t>要求制定防渗措施</w:t>
            </w:r>
            <w:r>
              <w:rPr>
                <w:rFonts w:hint="eastAsia"/>
                <w:color w:val="000000"/>
                <w:spacing w:val="0"/>
                <w:kern w:val="0"/>
                <w:lang w:eastAsia="zh-CN"/>
              </w:rPr>
              <w:t>，</w:t>
            </w:r>
            <w:r>
              <w:rPr>
                <w:rFonts w:hint="default" w:ascii="Times New Roman" w:hAnsi="Times New Roman" w:eastAsia="宋体" w:cs="Times New Roman"/>
                <w:lang w:val="en-US" w:eastAsia="zh-CN"/>
              </w:rPr>
              <w:t>危险废物贮存库为重点防渗，对危险废物贮存库采取防风、防雨、防晒和防治危险废物流失等措施，危险废物贮存库地面采取防腐防渗措施并按《危险废物贮存污染控制标准》（GB18597-2023）进行设计；硫酸储罐区为重点防渗区，严格按照《环境影响评价技术导则 地下水环境》（HJ 610-2016）及《石油化工工程防渗技术规范》（GB/T 50934-2013）的要求制定防渗措施；厂房作为一般防渗区，严格按照《环境影响评价技术导则 地下水环境》（HJ 610-2016）要求制定防渗措施；简单防渗区包括其他生活设施，仅做一般地面硬化。</w:t>
            </w:r>
          </w:p>
          <w:p w14:paraId="0EBB5877">
            <w:pPr>
              <w:keepNext w:val="0"/>
              <w:keepLines w:val="0"/>
              <w:suppressLineNumbers w:val="0"/>
              <w:spacing w:before="0" w:beforeAutospacing="0" w:after="0" w:afterAutospacing="0" w:line="240" w:lineRule="auto"/>
              <w:ind w:left="0" w:right="0" w:firstLine="422" w:firstLineChars="200"/>
              <w:rPr>
                <w:rFonts w:hint="default"/>
                <w:color w:val="000000"/>
                <w:spacing w:val="0"/>
                <w:kern w:val="0"/>
                <w:sz w:val="21"/>
                <w:szCs w:val="21"/>
              </w:rPr>
            </w:pPr>
            <w:r>
              <w:rPr>
                <w:rFonts w:hint="default"/>
                <w:b/>
                <w:bCs/>
                <w:color w:val="000000"/>
                <w:spacing w:val="0"/>
                <w:kern w:val="0"/>
                <w:sz w:val="21"/>
                <w:szCs w:val="21"/>
              </w:rPr>
              <w:t>表</w:t>
            </w:r>
            <w:r>
              <w:rPr>
                <w:rFonts w:hint="eastAsia"/>
                <w:b/>
                <w:bCs/>
                <w:color w:val="000000"/>
                <w:spacing w:val="0"/>
                <w:kern w:val="0"/>
                <w:sz w:val="21"/>
                <w:szCs w:val="21"/>
                <w:lang w:val="en-US" w:eastAsia="zh-CN"/>
              </w:rPr>
              <w:t>4-12</w:t>
            </w:r>
            <w:r>
              <w:rPr>
                <w:rFonts w:hint="default"/>
                <w:b/>
                <w:bCs/>
                <w:color w:val="000000"/>
                <w:spacing w:val="0"/>
                <w:kern w:val="0"/>
                <w:sz w:val="21"/>
                <w:szCs w:val="21"/>
              </w:rPr>
              <w:t xml:space="preserve">              地下水分区防渗情况一览表</w:t>
            </w:r>
          </w:p>
          <w:tbl>
            <w:tblPr>
              <w:tblStyle w:val="35"/>
              <w:tblW w:w="472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26"/>
              <w:gridCol w:w="1462"/>
              <w:gridCol w:w="3970"/>
            </w:tblGrid>
            <w:tr w14:paraId="0E426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1B0367FA">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color w:val="000000"/>
                      <w:spacing w:val="0"/>
                      <w:kern w:val="0"/>
                      <w:sz w:val="21"/>
                      <w:szCs w:val="21"/>
                    </w:rPr>
                    <w:t>序号</w:t>
                  </w:r>
                </w:p>
              </w:tc>
              <w:tc>
                <w:tcPr>
                  <w:tcW w:w="1155" w:type="pct"/>
                  <w:noWrap w:val="0"/>
                  <w:vAlign w:val="center"/>
                </w:tcPr>
                <w:p w14:paraId="6FE5B9B9">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color w:val="000000"/>
                      <w:spacing w:val="0"/>
                      <w:kern w:val="0"/>
                      <w:sz w:val="21"/>
                      <w:szCs w:val="21"/>
                    </w:rPr>
                    <w:t>区域名称</w:t>
                  </w:r>
                </w:p>
              </w:tc>
              <w:tc>
                <w:tcPr>
                  <w:tcW w:w="925" w:type="pct"/>
                  <w:noWrap w:val="0"/>
                  <w:vAlign w:val="center"/>
                </w:tcPr>
                <w:p w14:paraId="51344656">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color w:val="000000"/>
                      <w:spacing w:val="0"/>
                      <w:kern w:val="0"/>
                      <w:sz w:val="21"/>
                      <w:szCs w:val="21"/>
                    </w:rPr>
                    <w:t>分区类别</w:t>
                  </w:r>
                </w:p>
              </w:tc>
              <w:tc>
                <w:tcPr>
                  <w:tcW w:w="2511" w:type="pct"/>
                  <w:noWrap w:val="0"/>
                  <w:vAlign w:val="center"/>
                </w:tcPr>
                <w:p w14:paraId="4F3283F5">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color w:val="000000"/>
                      <w:spacing w:val="0"/>
                      <w:kern w:val="0"/>
                      <w:sz w:val="21"/>
                      <w:szCs w:val="21"/>
                    </w:rPr>
                    <w:t>防渗措施</w:t>
                  </w:r>
                </w:p>
              </w:tc>
            </w:tr>
            <w:tr w14:paraId="20B160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14:paraId="103385EA">
                  <w:pPr>
                    <w:keepNext w:val="0"/>
                    <w:keepLines w:val="0"/>
                    <w:suppressLineNumbers w:val="0"/>
                    <w:adjustRightInd w:val="0"/>
                    <w:snapToGrid w:val="0"/>
                    <w:spacing w:before="0" w:beforeAutospacing="0" w:after="0" w:afterAutospacing="0" w:line="240" w:lineRule="auto"/>
                    <w:ind w:left="0" w:right="0"/>
                    <w:jc w:val="center"/>
                    <w:rPr>
                      <w:rFonts w:hint="eastAsia"/>
                      <w:color w:val="000000"/>
                      <w:spacing w:val="0"/>
                      <w:kern w:val="0"/>
                      <w:sz w:val="21"/>
                      <w:szCs w:val="21"/>
                      <w:lang w:val="en-US" w:eastAsia="zh-CN"/>
                    </w:rPr>
                  </w:pPr>
                  <w:r>
                    <w:rPr>
                      <w:rFonts w:hint="eastAsia"/>
                      <w:color w:val="000000"/>
                      <w:spacing w:val="0"/>
                      <w:kern w:val="0"/>
                      <w:sz w:val="21"/>
                      <w:szCs w:val="21"/>
                      <w:lang w:val="en-US" w:eastAsia="zh-CN"/>
                    </w:rPr>
                    <w:t>1</w:t>
                  </w:r>
                </w:p>
              </w:tc>
              <w:tc>
                <w:tcPr>
                  <w:tcW w:w="1155" w:type="pct"/>
                  <w:noWrap w:val="0"/>
                  <w:vAlign w:val="center"/>
                </w:tcPr>
                <w:p w14:paraId="763967B8">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lang w:val="en-US" w:eastAsia="zh-CN"/>
                    </w:rPr>
                  </w:pPr>
                  <w:r>
                    <w:rPr>
                      <w:rFonts w:hint="eastAsia"/>
                      <w:color w:val="000000"/>
                      <w:spacing w:val="0"/>
                      <w:kern w:val="0"/>
                      <w:sz w:val="21"/>
                      <w:szCs w:val="21"/>
                      <w:lang w:val="en-US" w:eastAsia="zh-CN"/>
                    </w:rPr>
                    <w:t>危险废物贮存库</w:t>
                  </w:r>
                </w:p>
              </w:tc>
              <w:tc>
                <w:tcPr>
                  <w:tcW w:w="925" w:type="pct"/>
                  <w:noWrap w:val="0"/>
                  <w:vAlign w:val="center"/>
                </w:tcPr>
                <w:p w14:paraId="7B31AE18">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000000"/>
                      <w:spacing w:val="0"/>
                      <w:kern w:val="0"/>
                      <w:sz w:val="21"/>
                      <w:szCs w:val="21"/>
                      <w:lang w:val="en-US" w:eastAsia="zh-CN"/>
                    </w:rPr>
                  </w:pPr>
                  <w:r>
                    <w:rPr>
                      <w:rFonts w:hint="eastAsia"/>
                      <w:color w:val="000000"/>
                      <w:spacing w:val="0"/>
                      <w:kern w:val="0"/>
                      <w:sz w:val="21"/>
                      <w:szCs w:val="21"/>
                      <w:lang w:val="en-US" w:eastAsia="zh-CN"/>
                    </w:rPr>
                    <w:t>重点防渗区</w:t>
                  </w:r>
                </w:p>
              </w:tc>
              <w:tc>
                <w:tcPr>
                  <w:tcW w:w="2511" w:type="pct"/>
                  <w:noWrap w:val="0"/>
                  <w:vAlign w:val="center"/>
                </w:tcPr>
                <w:p w14:paraId="7F5C0F44">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ascii="Times New Roman" w:hAnsi="Times New Roman" w:eastAsia="宋体" w:cs="Times New Roman"/>
                      <w:color w:val="000000"/>
                      <w:kern w:val="0"/>
                      <w:sz w:val="21"/>
                      <w:szCs w:val="21"/>
                      <w:highlight w:val="none"/>
                      <w:lang w:val="en-US" w:eastAsia="zh-CN" w:bidi="ar-SA"/>
                    </w:rPr>
                    <w:t>确保防渗性能达到《危险废物贮存污染控制标准》（GB18597-2023）防渗系数要求：（防渗层为至少1m厚黏土层（渗透系数不大于10</w:t>
                  </w:r>
                  <w:r>
                    <w:rPr>
                      <w:rFonts w:hint="default" w:ascii="Times New Roman" w:hAnsi="Times New Roman" w:eastAsia="宋体" w:cs="Times New Roman"/>
                      <w:color w:val="000000"/>
                      <w:kern w:val="0"/>
                      <w:sz w:val="21"/>
                      <w:szCs w:val="21"/>
                      <w:highlight w:val="none"/>
                      <w:vertAlign w:val="superscript"/>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cm/s），或至少2mm厚高密度聚乙烯膜等人工防渗材料（渗透系数不大于10</w:t>
                  </w:r>
                  <w:r>
                    <w:rPr>
                      <w:rFonts w:hint="default" w:ascii="Times New Roman" w:hAnsi="Times New Roman" w:eastAsia="宋体" w:cs="Times New Roman"/>
                      <w:color w:val="000000"/>
                      <w:kern w:val="0"/>
                      <w:sz w:val="21"/>
                      <w:szCs w:val="21"/>
                      <w:highlight w:val="none"/>
                      <w:vertAlign w:val="superscript"/>
                      <w:lang w:val="en-US" w:eastAsia="zh-CN" w:bidi="ar-SA"/>
                    </w:rPr>
                    <w:t>-10</w:t>
                  </w:r>
                  <w:r>
                    <w:rPr>
                      <w:rFonts w:hint="default" w:ascii="Times New Roman" w:hAnsi="Times New Roman" w:eastAsia="宋体" w:cs="Times New Roman"/>
                      <w:color w:val="000000"/>
                      <w:kern w:val="0"/>
                      <w:sz w:val="21"/>
                      <w:szCs w:val="21"/>
                      <w:highlight w:val="none"/>
                      <w:lang w:val="en-US" w:eastAsia="zh-CN" w:bidi="ar-SA"/>
                    </w:rPr>
                    <w:t>cm/s），或其他防渗性能等效的材料）</w:t>
                  </w:r>
                </w:p>
              </w:tc>
            </w:tr>
            <w:tr w14:paraId="15F985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noWrap w:val="0"/>
                  <w:vAlign w:val="center"/>
                </w:tcPr>
                <w:p w14:paraId="16F48CC5">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spacing w:val="0"/>
                      <w:kern w:val="0"/>
                      <w:sz w:val="21"/>
                      <w:szCs w:val="21"/>
                      <w:lang w:val="en-US" w:eastAsia="zh-CN" w:bidi="ar-SA"/>
                    </w:rPr>
                  </w:pPr>
                  <w:r>
                    <w:rPr>
                      <w:rFonts w:hint="eastAsia"/>
                      <w:color w:val="000000"/>
                      <w:spacing w:val="0"/>
                      <w:kern w:val="0"/>
                      <w:sz w:val="21"/>
                      <w:szCs w:val="21"/>
                      <w:lang w:val="en-US" w:eastAsia="zh-CN"/>
                    </w:rPr>
                    <w:t>2</w:t>
                  </w:r>
                </w:p>
              </w:tc>
              <w:tc>
                <w:tcPr>
                  <w:tcW w:w="1155" w:type="pct"/>
                  <w:noWrap w:val="0"/>
                  <w:vAlign w:val="center"/>
                </w:tcPr>
                <w:p w14:paraId="088D7C9E">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lang w:val="en-US" w:eastAsia="zh-CN"/>
                    </w:rPr>
                  </w:pPr>
                  <w:r>
                    <w:rPr>
                      <w:rFonts w:hint="eastAsia"/>
                      <w:color w:val="000000"/>
                      <w:spacing w:val="0"/>
                      <w:kern w:val="0"/>
                      <w:sz w:val="21"/>
                      <w:szCs w:val="21"/>
                      <w:lang w:val="en-US" w:eastAsia="zh-CN"/>
                    </w:rPr>
                    <w:t>硫酸储罐区</w:t>
                  </w:r>
                </w:p>
              </w:tc>
              <w:tc>
                <w:tcPr>
                  <w:tcW w:w="925" w:type="pct"/>
                  <w:noWrap w:val="0"/>
                  <w:vAlign w:val="center"/>
                </w:tcPr>
                <w:p w14:paraId="4DA2BB50">
                  <w:pPr>
                    <w:keepNext w:val="0"/>
                    <w:keepLines w:val="0"/>
                    <w:suppressLineNumbers w:val="0"/>
                    <w:adjustRightInd w:val="0"/>
                    <w:snapToGrid w:val="0"/>
                    <w:spacing w:before="0" w:beforeAutospacing="0" w:after="0" w:afterAutospacing="0" w:line="240" w:lineRule="auto"/>
                    <w:ind w:left="0" w:right="0"/>
                    <w:jc w:val="center"/>
                    <w:rPr>
                      <w:rFonts w:hint="eastAsia"/>
                      <w:color w:val="000000"/>
                      <w:spacing w:val="0"/>
                      <w:kern w:val="0"/>
                      <w:sz w:val="21"/>
                      <w:szCs w:val="21"/>
                      <w:lang w:val="en-US" w:eastAsia="zh-CN"/>
                    </w:rPr>
                  </w:pPr>
                  <w:r>
                    <w:rPr>
                      <w:rFonts w:hint="eastAsia"/>
                      <w:color w:val="000000"/>
                      <w:spacing w:val="0"/>
                      <w:kern w:val="0"/>
                      <w:sz w:val="21"/>
                      <w:szCs w:val="21"/>
                      <w:lang w:val="en-US" w:eastAsia="zh-CN"/>
                    </w:rPr>
                    <w:t>重点防渗区</w:t>
                  </w:r>
                </w:p>
              </w:tc>
              <w:tc>
                <w:tcPr>
                  <w:tcW w:w="2511" w:type="pct"/>
                  <w:noWrap w:val="0"/>
                  <w:vAlign w:val="center"/>
                </w:tcPr>
                <w:p w14:paraId="1B37F1B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确保防渗性能达到《环境影响评价技术导则地下水环境》（HJ 610-2016）防渗系数要求：等效黏土防渗层Mb≥6.0m，K≤1×10</w:t>
                  </w:r>
                  <w:r>
                    <w:rPr>
                      <w:rFonts w:hint="default" w:ascii="Times New Roman" w:hAnsi="Times New Roman" w:eastAsia="宋体" w:cs="Times New Roman"/>
                      <w:color w:val="000000"/>
                      <w:kern w:val="0"/>
                      <w:sz w:val="21"/>
                      <w:szCs w:val="21"/>
                      <w:highlight w:val="none"/>
                      <w:vertAlign w:val="superscript"/>
                      <w:lang w:val="en-US" w:eastAsia="zh-CN" w:bidi="ar-SA"/>
                    </w:rPr>
                    <w:t>-7</w:t>
                  </w:r>
                  <w:r>
                    <w:rPr>
                      <w:rFonts w:hint="default" w:ascii="Times New Roman" w:hAnsi="Times New Roman" w:eastAsia="宋体" w:cs="Times New Roman"/>
                      <w:color w:val="000000"/>
                      <w:kern w:val="0"/>
                      <w:sz w:val="21"/>
                      <w:szCs w:val="21"/>
                      <w:highlight w:val="none"/>
                      <w:lang w:val="en-US" w:eastAsia="zh-CN" w:bidi="ar-SA"/>
                    </w:rPr>
                    <w:t>cm/s</w:t>
                  </w:r>
                </w:p>
              </w:tc>
            </w:tr>
            <w:tr w14:paraId="379ED7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noWrap w:val="0"/>
                  <w:vAlign w:val="center"/>
                </w:tcPr>
                <w:p w14:paraId="4BD62B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3</w:t>
                  </w:r>
                </w:p>
              </w:tc>
              <w:tc>
                <w:tcPr>
                  <w:tcW w:w="1155" w:type="pct"/>
                  <w:noWrap w:val="0"/>
                  <w:vAlign w:val="center"/>
                </w:tcPr>
                <w:p w14:paraId="4F48BA35">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000000"/>
                      <w:spacing w:val="0"/>
                      <w:kern w:val="0"/>
                      <w:sz w:val="21"/>
                      <w:szCs w:val="21"/>
                      <w:lang w:val="en-US" w:eastAsia="zh-CN"/>
                    </w:rPr>
                  </w:pPr>
                  <w:r>
                    <w:rPr>
                      <w:rFonts w:hint="eastAsia"/>
                      <w:color w:val="000000"/>
                      <w:spacing w:val="0"/>
                      <w:kern w:val="0"/>
                      <w:sz w:val="21"/>
                      <w:szCs w:val="21"/>
                      <w:lang w:val="en-US" w:eastAsia="zh-CN"/>
                    </w:rPr>
                    <w:t>厂房</w:t>
                  </w:r>
                </w:p>
              </w:tc>
              <w:tc>
                <w:tcPr>
                  <w:tcW w:w="925" w:type="pct"/>
                  <w:noWrap w:val="0"/>
                  <w:vAlign w:val="center"/>
                </w:tcPr>
                <w:p w14:paraId="42E1A3BA">
                  <w:pPr>
                    <w:keepNext w:val="0"/>
                    <w:keepLines w:val="0"/>
                    <w:suppressLineNumbers w:val="0"/>
                    <w:adjustRightInd w:val="0"/>
                    <w:snapToGrid w:val="0"/>
                    <w:spacing w:before="0" w:beforeAutospacing="0" w:after="0" w:afterAutospacing="0" w:line="240" w:lineRule="auto"/>
                    <w:ind w:left="0" w:right="0"/>
                    <w:jc w:val="center"/>
                    <w:rPr>
                      <w:rFonts w:hint="default"/>
                      <w:color w:val="000000"/>
                      <w:spacing w:val="0"/>
                      <w:kern w:val="0"/>
                      <w:sz w:val="21"/>
                      <w:szCs w:val="21"/>
                    </w:rPr>
                  </w:pPr>
                  <w:r>
                    <w:rPr>
                      <w:rFonts w:hint="default"/>
                      <w:color w:val="000000"/>
                      <w:spacing w:val="0"/>
                      <w:kern w:val="0"/>
                      <w:sz w:val="21"/>
                      <w:szCs w:val="21"/>
                    </w:rPr>
                    <w:t>一般防渗区</w:t>
                  </w:r>
                </w:p>
              </w:tc>
              <w:tc>
                <w:tcPr>
                  <w:tcW w:w="2511" w:type="pct"/>
                  <w:noWrap w:val="0"/>
                  <w:vAlign w:val="center"/>
                </w:tcPr>
                <w:p w14:paraId="633352B8">
                  <w:pPr>
                    <w:keepNext w:val="0"/>
                    <w:keepLines w:val="0"/>
                    <w:suppressLineNumbers w:val="0"/>
                    <w:adjustRightInd w:val="0"/>
                    <w:snapToGrid w:val="0"/>
                    <w:spacing w:before="0" w:beforeAutospacing="0" w:after="0" w:afterAutospacing="0" w:line="240" w:lineRule="auto"/>
                    <w:ind w:left="0" w:right="0"/>
                    <w:jc w:val="center"/>
                    <w:rPr>
                      <w:rFonts w:hint="eastAsia"/>
                      <w:color w:val="000000"/>
                      <w:spacing w:val="0"/>
                      <w:kern w:val="0"/>
                      <w:sz w:val="21"/>
                      <w:szCs w:val="21"/>
                    </w:rPr>
                  </w:pPr>
                  <w:r>
                    <w:rPr>
                      <w:rFonts w:hint="default"/>
                      <w:color w:val="000000"/>
                      <w:spacing w:val="0"/>
                      <w:kern w:val="0"/>
                      <w:sz w:val="21"/>
                      <w:szCs w:val="21"/>
                    </w:rPr>
                    <w:t>防渗</w:t>
                  </w:r>
                  <w:r>
                    <w:rPr>
                      <w:rFonts w:hint="eastAsia"/>
                      <w:color w:val="000000"/>
                      <w:spacing w:val="0"/>
                      <w:kern w:val="0"/>
                      <w:sz w:val="21"/>
                      <w:szCs w:val="21"/>
                      <w:lang w:eastAsia="zh-CN"/>
                    </w:rPr>
                    <w:t>混凝土</w:t>
                  </w:r>
                  <w:r>
                    <w:rPr>
                      <w:rFonts w:hint="default"/>
                      <w:color w:val="000000"/>
                      <w:spacing w:val="0"/>
                      <w:kern w:val="0"/>
                      <w:sz w:val="21"/>
                      <w:szCs w:val="21"/>
                    </w:rPr>
                    <w:t>表层防渗</w:t>
                  </w:r>
                  <w:r>
                    <w:rPr>
                      <w:rFonts w:hint="eastAsia"/>
                      <w:color w:val="000000"/>
                      <w:spacing w:val="0"/>
                      <w:kern w:val="0"/>
                      <w:sz w:val="21"/>
                      <w:szCs w:val="21"/>
                    </w:rPr>
                    <w:t>，一般防渗区域的等效黏土防渗层Mb≥1.5m，渗透系数K≤1×10</w:t>
                  </w:r>
                  <w:r>
                    <w:rPr>
                      <w:rFonts w:hint="eastAsia"/>
                      <w:color w:val="000000"/>
                      <w:spacing w:val="0"/>
                      <w:kern w:val="0"/>
                      <w:sz w:val="21"/>
                      <w:szCs w:val="21"/>
                      <w:vertAlign w:val="superscript"/>
                    </w:rPr>
                    <w:t>-7</w:t>
                  </w:r>
                  <w:r>
                    <w:rPr>
                      <w:rFonts w:hint="eastAsia"/>
                      <w:color w:val="000000"/>
                      <w:spacing w:val="0"/>
                      <w:kern w:val="0"/>
                      <w:sz w:val="21"/>
                      <w:szCs w:val="21"/>
                    </w:rPr>
                    <w:t>cm/s</w:t>
                  </w:r>
                </w:p>
              </w:tc>
            </w:tr>
            <w:tr w14:paraId="537E7A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shd w:val="clear" w:color="auto" w:fill="auto"/>
                  <w:noWrap w:val="0"/>
                  <w:vAlign w:val="center"/>
                </w:tcPr>
                <w:p w14:paraId="47DC5F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4</w:t>
                  </w:r>
                </w:p>
              </w:tc>
              <w:tc>
                <w:tcPr>
                  <w:tcW w:w="1155" w:type="pct"/>
                  <w:shd w:val="clear" w:color="auto" w:fill="auto"/>
                  <w:noWrap w:val="0"/>
                  <w:vAlign w:val="center"/>
                </w:tcPr>
                <w:p w14:paraId="65D5B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其他区域</w:t>
                  </w:r>
                </w:p>
              </w:tc>
              <w:tc>
                <w:tcPr>
                  <w:tcW w:w="925" w:type="pct"/>
                  <w:shd w:val="clear" w:color="auto" w:fill="auto"/>
                  <w:noWrap w:val="0"/>
                  <w:vAlign w:val="center"/>
                </w:tcPr>
                <w:p w14:paraId="774592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简单防渗区</w:t>
                  </w:r>
                </w:p>
              </w:tc>
              <w:tc>
                <w:tcPr>
                  <w:tcW w:w="2511" w:type="pct"/>
                  <w:shd w:val="clear" w:color="auto" w:fill="auto"/>
                  <w:noWrap w:val="0"/>
                  <w:vAlign w:val="center"/>
                </w:tcPr>
                <w:p w14:paraId="6F91ED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地面硬化</w:t>
                  </w:r>
                </w:p>
              </w:tc>
            </w:tr>
          </w:tbl>
          <w:p w14:paraId="2B414935">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bCs/>
                <w:color w:val="000000"/>
                <w:spacing w:val="0"/>
                <w:kern w:val="0"/>
              </w:rPr>
            </w:pPr>
            <w:r>
              <w:rPr>
                <w:rFonts w:hint="default"/>
                <w:b/>
                <w:bCs/>
                <w:color w:val="000000"/>
                <w:spacing w:val="0"/>
                <w:kern w:val="0"/>
              </w:rPr>
              <w:t>环境风险</w:t>
            </w:r>
          </w:p>
          <w:p w14:paraId="223710D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firstLine="480" w:firstLineChars="200"/>
              <w:textAlignment w:val="auto"/>
              <w:rPr>
                <w:rFonts w:hint="default"/>
                <w:b/>
                <w:bCs/>
                <w:color w:val="000000"/>
                <w:spacing w:val="0"/>
                <w:kern w:val="0"/>
              </w:rPr>
            </w:pPr>
            <w:r>
              <w:rPr>
                <w:rFonts w:hint="default"/>
                <w:kern w:val="0"/>
                <w:lang w:eastAsia="zh-CN"/>
              </w:rPr>
              <w:t>《</w:t>
            </w:r>
            <w:r>
              <w:rPr>
                <w:rFonts w:hint="default"/>
                <w:kern w:val="0"/>
              </w:rPr>
              <w:t>建设项目环境影响报告表编制技术指南（污染影响类）（试行）》表1中提到，有毒有害和易燃易爆危险物质存储量超过临界量的建设项目，应设置专项评价。</w:t>
            </w:r>
            <w:r>
              <w:rPr>
                <w:rFonts w:hint="default"/>
                <w:kern w:val="0"/>
                <w:lang w:val="en-US" w:eastAsia="zh-CN"/>
              </w:rPr>
              <w:t>硫酸临界量为10t，</w:t>
            </w:r>
            <w:r>
              <w:rPr>
                <w:rFonts w:hint="default"/>
                <w:kern w:val="0"/>
              </w:rPr>
              <w:t>本项目</w:t>
            </w:r>
            <w:r>
              <w:rPr>
                <w:rFonts w:hint="default"/>
                <w:kern w:val="0"/>
                <w:lang w:val="en-US" w:eastAsia="zh-CN"/>
              </w:rPr>
              <w:t>硫酸</w:t>
            </w:r>
            <w:r>
              <w:rPr>
                <w:rFonts w:hint="default"/>
                <w:kern w:val="0"/>
              </w:rPr>
              <w:t>的</w:t>
            </w:r>
            <w:r>
              <w:rPr>
                <w:rFonts w:hint="default"/>
                <w:kern w:val="0"/>
                <w:lang w:val="en-US" w:eastAsia="zh-CN"/>
              </w:rPr>
              <w:t>最大</w:t>
            </w:r>
            <w:r>
              <w:rPr>
                <w:rFonts w:hint="default"/>
                <w:kern w:val="0"/>
              </w:rPr>
              <w:t>储量</w:t>
            </w:r>
            <w:r>
              <w:rPr>
                <w:rFonts w:hint="default"/>
                <w:kern w:val="0"/>
                <w:lang w:val="en-US" w:eastAsia="zh-CN"/>
              </w:rPr>
              <w:t>为</w:t>
            </w:r>
            <w:r>
              <w:rPr>
                <w:rFonts w:hint="eastAsia"/>
                <w:kern w:val="0"/>
                <w:lang w:val="en-US" w:eastAsia="zh-CN"/>
              </w:rPr>
              <w:t>4</w:t>
            </w:r>
            <w:r>
              <w:rPr>
                <w:rFonts w:hint="default"/>
                <w:kern w:val="0"/>
                <w:lang w:val="en-US" w:eastAsia="zh-CN"/>
              </w:rPr>
              <w:t>0t，</w:t>
            </w:r>
            <w:r>
              <w:rPr>
                <w:rFonts w:hint="default"/>
                <w:kern w:val="0"/>
              </w:rPr>
              <w:t>根据《建设项目环境风险评价技术导则》（HJ169-2018）中附录C中Q值公式</w:t>
            </w:r>
            <w:r>
              <w:rPr>
                <w:rFonts w:hint="default"/>
                <w:kern w:val="0"/>
                <w:lang w:eastAsia="zh-CN"/>
              </w:rPr>
              <w:t>，</w:t>
            </w:r>
            <w:r>
              <w:rPr>
                <w:rFonts w:hint="default"/>
                <w:kern w:val="0"/>
                <w:lang w:val="en-US" w:eastAsia="zh-CN"/>
              </w:rPr>
              <w:t>本项目Q值经计算为</w:t>
            </w:r>
            <w:r>
              <w:rPr>
                <w:rFonts w:hint="eastAsia"/>
                <w:kern w:val="0"/>
                <w:lang w:val="en-US" w:eastAsia="zh-CN"/>
              </w:rPr>
              <w:t>4</w:t>
            </w:r>
            <w:r>
              <w:rPr>
                <w:rFonts w:hint="default"/>
                <w:kern w:val="0"/>
                <w:lang w:val="en-US" w:eastAsia="zh-CN"/>
              </w:rPr>
              <w:t>，硫酸</w:t>
            </w:r>
            <w:r>
              <w:rPr>
                <w:rFonts w:hint="default"/>
                <w:kern w:val="0"/>
              </w:rPr>
              <w:t>的</w:t>
            </w:r>
            <w:r>
              <w:rPr>
                <w:rFonts w:hint="default"/>
                <w:kern w:val="0"/>
                <w:lang w:val="en-US" w:eastAsia="zh-CN"/>
              </w:rPr>
              <w:t>最大</w:t>
            </w:r>
            <w:r>
              <w:rPr>
                <w:rFonts w:hint="default"/>
                <w:kern w:val="0"/>
              </w:rPr>
              <w:t>储量</w:t>
            </w:r>
            <w:r>
              <w:rPr>
                <w:rFonts w:hint="default"/>
                <w:kern w:val="0"/>
                <w:lang w:val="en-US" w:eastAsia="zh-CN"/>
              </w:rPr>
              <w:t>超过硫酸临界量，故</w:t>
            </w:r>
            <w:r>
              <w:rPr>
                <w:rFonts w:hint="default"/>
                <w:kern w:val="0"/>
              </w:rPr>
              <w:t>项目设置环境风险专项评价</w:t>
            </w:r>
            <w:r>
              <w:rPr>
                <w:rFonts w:hint="default"/>
                <w:kern w:val="0"/>
                <w:lang w:eastAsia="zh-CN"/>
              </w:rPr>
              <w:t>。</w:t>
            </w:r>
          </w:p>
          <w:p w14:paraId="563F89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7</w:t>
            </w:r>
            <w:r>
              <w:rPr>
                <w:rFonts w:hint="default"/>
                <w:b/>
                <w:bCs w:val="0"/>
                <w:color w:val="000000"/>
                <w:spacing w:val="0"/>
                <w:kern w:val="0"/>
                <w:sz w:val="24"/>
                <w:szCs w:val="24"/>
                <w:lang w:val="en-US" w:eastAsia="zh-CN"/>
              </w:rPr>
              <w:t>、环境管理</w:t>
            </w:r>
          </w:p>
          <w:p w14:paraId="41492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建议建设单位尽快成立环保专职管理机构并设管理机构负责人，对项目运营期实行监测管理。该机构由建设单位直接领导，并接受生态环境部门的指导和监督。</w:t>
            </w:r>
          </w:p>
          <w:p w14:paraId="55240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环境管理机构职责如下：</w:t>
            </w:r>
          </w:p>
          <w:p w14:paraId="18341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（1）宣传并贯彻国家和地方的有关环保法规、条例、标准，提高施工、维护、管理及使用人员的环保意识，并贯彻于本职岗位中；</w:t>
            </w:r>
          </w:p>
          <w:p w14:paraId="36C06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（2）组织制定环保工作计划，并制定年度实施计划，</w:t>
            </w:r>
            <w:r>
              <w:rPr>
                <w:rFonts w:hint="eastAsia"/>
                <w:bCs/>
                <w:color w:val="000000"/>
                <w:spacing w:val="0"/>
                <w:kern w:val="0"/>
                <w:sz w:val="24"/>
                <w:szCs w:val="24"/>
                <w:lang w:val="en-US" w:eastAsia="zh-CN"/>
              </w:rPr>
              <w:t>纳入</w:t>
            </w:r>
            <w:r>
              <w:rPr>
                <w:rFonts w:hint="default"/>
                <w:bCs/>
                <w:color w:val="000000"/>
                <w:spacing w:val="0"/>
                <w:kern w:val="0"/>
                <w:sz w:val="24"/>
                <w:szCs w:val="24"/>
                <w:lang w:val="en-US" w:eastAsia="zh-CN"/>
              </w:rPr>
              <w:t>施工、运营过程，并责成有关部门落实；</w:t>
            </w:r>
          </w:p>
          <w:p w14:paraId="423D3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（3）制定本工程运营期监测计划，并组织监测计划的实施；</w:t>
            </w:r>
          </w:p>
          <w:p w14:paraId="5B5F4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（4）负责污染事故的防范及应急处理和报告工作。</w:t>
            </w:r>
          </w:p>
          <w:p w14:paraId="4463F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负责人应领导环境管理机构人员履行其职责；掌握本建设项目环保工作的全面动态情况；负责审批项目环保岗位制度、工作和年度计划；指挥项目环保工作的实施；协调各有关部门的关系；保障环境保护</w:t>
            </w:r>
            <w:r>
              <w:rPr>
                <w:rFonts w:hint="eastAsia"/>
                <w:bCs/>
                <w:color w:val="000000"/>
                <w:spacing w:val="0"/>
                <w:kern w:val="0"/>
                <w:sz w:val="24"/>
                <w:szCs w:val="24"/>
                <w:lang w:val="en-US" w:eastAsia="zh-CN"/>
              </w:rPr>
              <w:t>工作所必需的</w:t>
            </w:r>
            <w:r>
              <w:rPr>
                <w:rFonts w:hint="default"/>
                <w:bCs/>
                <w:color w:val="000000"/>
                <w:spacing w:val="0"/>
                <w:kern w:val="0"/>
                <w:sz w:val="24"/>
                <w:szCs w:val="24"/>
                <w:lang w:val="en-US" w:eastAsia="zh-CN"/>
              </w:rPr>
              <w:t>资源。加强建设项目营运期的环境管理，制定出切实可行的环境污染防治办法和具体操作规程，做好环境教育和宣传工作，提高各级管理人员和工作人员的环境保护意识和技术水平，加强员工对环境污染防治的责任心，自觉遵守和执行各项环境保护规章制度；定期对环境保护设施进行维护和保养，确保环境保护设施的正常运行，</w:t>
            </w:r>
            <w:r>
              <w:rPr>
                <w:rFonts w:hint="eastAsia"/>
                <w:bCs/>
                <w:color w:val="000000"/>
                <w:spacing w:val="0"/>
                <w:kern w:val="0"/>
                <w:sz w:val="24"/>
                <w:szCs w:val="24"/>
                <w:lang w:val="en-US" w:eastAsia="zh-CN"/>
              </w:rPr>
              <w:t>防止</w:t>
            </w:r>
            <w:r>
              <w:rPr>
                <w:rFonts w:hint="default"/>
                <w:bCs/>
                <w:color w:val="000000"/>
                <w:spacing w:val="0"/>
                <w:kern w:val="0"/>
                <w:sz w:val="24"/>
                <w:szCs w:val="24"/>
                <w:lang w:val="en-US" w:eastAsia="zh-CN"/>
              </w:rPr>
              <w:t>污染事故的发生；管理、监督和指导。</w:t>
            </w:r>
          </w:p>
          <w:p w14:paraId="49A46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根据《关于进一步加强环保设备设施安全生产工作的通知》（安委办明电〔2022〕17号）要求，企业主要负责人严格履行第一责任人责任，将环保设备设施安全作为企业安全管理的重要组成部分，全面负责落实本单位的环保设备设施安全生产工作。严格落实涉环保设备设施环保和安全“三同时”有关要求，委托有资质的设计单位进行正规设计，在选用污染防治技术时要充分考虑安全因素；在环保设备设施改造中必须依法开展安全风险评估，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认真落实相关技术标准规范，严格执行吊装、动火、高处等危险作业审批制度，加强有限空间、检维修作业安全管理，采取有效隔离措施，实施现场安全监护和科学施救。对受委托开展环保设备设施建设、运营和检维修第三方的安全生产工作进行统一协调、管理，定期进行安全检查，发现安全问题的，及时督促整改，不得</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一包了之</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，不管不问。</w:t>
            </w:r>
          </w:p>
          <w:p w14:paraId="6BC9AD62">
            <w:pPr>
              <w:keepNext w:val="0"/>
              <w:keepLines w:val="0"/>
              <w:suppressLineNumbers w:val="0"/>
              <w:spacing w:before="0" w:beforeAutospacing="0" w:after="0" w:afterAutospacing="0"/>
              <w:ind w:left="0" w:right="0"/>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8</w:t>
            </w:r>
            <w:r>
              <w:rPr>
                <w:rFonts w:hint="default"/>
                <w:b/>
                <w:bCs w:val="0"/>
                <w:color w:val="000000"/>
                <w:spacing w:val="0"/>
                <w:kern w:val="0"/>
                <w:sz w:val="24"/>
                <w:szCs w:val="24"/>
                <w:lang w:val="en-US" w:eastAsia="zh-CN"/>
              </w:rPr>
              <w:t>、排污许可</w:t>
            </w:r>
          </w:p>
          <w:p w14:paraId="68A057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eastAsia"/>
                <w:bCs/>
                <w:color w:val="000000"/>
                <w:spacing w:val="0"/>
                <w:kern w:val="0"/>
                <w:sz w:val="24"/>
                <w:szCs w:val="24"/>
                <w:lang w:val="en-US" w:eastAsia="zh-CN"/>
              </w:rPr>
              <w:t>（1）排污许可证</w:t>
            </w:r>
          </w:p>
          <w:p w14:paraId="358D4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排污许可管理条例》（中华人民共和国第736号）规定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w:t>
            </w:r>
            <w:r>
              <w:rPr>
                <w:rFonts w:hint="eastAsia"/>
                <w:bCs/>
                <w:color w:val="000000"/>
                <w:spacing w:val="0"/>
                <w:kern w:val="0"/>
                <w:sz w:val="24"/>
                <w:szCs w:val="24"/>
                <w:lang w:val="en-US" w:eastAsia="zh-CN"/>
              </w:rPr>
              <w:t>。</w:t>
            </w:r>
          </w:p>
          <w:p w14:paraId="06394733">
            <w:pPr>
              <w:keepNext w:val="0"/>
              <w:keepLines w:val="0"/>
              <w:suppressLineNumbers w:val="0"/>
              <w:adjustRightInd w:val="0"/>
              <w:snapToGrid w:val="0"/>
              <w:spacing w:before="0" w:beforeAutospacing="0" w:after="0" w:afterAutospacing="0"/>
              <w:ind w:left="0" w:right="0" w:firstLine="480" w:firstLineChars="200"/>
              <w:rPr>
                <w:rFonts w:hint="default" w:eastAsia="宋体"/>
                <w:bCs/>
                <w:color w:val="000000"/>
                <w:spacing w:val="0"/>
                <w:kern w:val="0"/>
                <w:sz w:val="24"/>
                <w:szCs w:val="24"/>
                <w:highlight w:val="yellow"/>
                <w:lang w:val="en-US" w:eastAsia="zh-CN"/>
              </w:rPr>
            </w:pPr>
            <w:r>
              <w:rPr>
                <w:rFonts w:hint="default"/>
                <w:bCs/>
                <w:color w:val="000000"/>
                <w:spacing w:val="0"/>
                <w:kern w:val="0"/>
                <w:sz w:val="24"/>
                <w:szCs w:val="24"/>
                <w:lang w:val="en-US" w:eastAsia="zh-CN"/>
              </w:rPr>
              <w:t>对照《固定污染源排污许可分类管理名录（2019年版）》，</w:t>
            </w:r>
            <w:r>
              <w:rPr>
                <w:rFonts w:hint="default"/>
                <w:bCs/>
                <w:color w:val="000000"/>
                <w:spacing w:val="0"/>
                <w:kern w:val="0"/>
                <w:sz w:val="24"/>
                <w:szCs w:val="24"/>
                <w:highlight w:val="none"/>
                <w:lang w:val="en-US" w:eastAsia="zh-CN"/>
              </w:rPr>
              <w:t>本项目属于</w:t>
            </w:r>
            <w:r>
              <w:rPr>
                <w:rFonts w:hint="eastAsia"/>
                <w:bCs/>
                <w:color w:val="000000"/>
                <w:spacing w:val="0"/>
                <w:kern w:val="0"/>
                <w:sz w:val="24"/>
                <w:szCs w:val="24"/>
                <w:highlight w:val="none"/>
                <w:lang w:val="en-US" w:eastAsia="zh-CN"/>
              </w:rPr>
              <w:t>“五十一</w:t>
            </w:r>
            <w:r>
              <w:rPr>
                <w:rFonts w:hint="default"/>
                <w:bCs/>
                <w:color w:val="000000"/>
                <w:spacing w:val="0"/>
                <w:kern w:val="0"/>
                <w:sz w:val="24"/>
                <w:szCs w:val="24"/>
                <w:highlight w:val="none"/>
                <w:lang w:val="en-US" w:eastAsia="zh-CN"/>
              </w:rPr>
              <w:t>、</w:t>
            </w:r>
            <w:r>
              <w:rPr>
                <w:rFonts w:hint="eastAsia"/>
                <w:bCs/>
                <w:color w:val="000000"/>
                <w:spacing w:val="0"/>
                <w:kern w:val="0"/>
                <w:sz w:val="24"/>
                <w:szCs w:val="24"/>
                <w:highlight w:val="none"/>
                <w:lang w:val="en-US" w:eastAsia="zh-CN"/>
              </w:rPr>
              <w:t>通用工序-110工业炉窑-除纳入重点排污单位名录的，以天然气或者电为能源的加热炉、热处理炉或者干燥炉（窑）”</w:t>
            </w:r>
            <w:r>
              <w:rPr>
                <w:rFonts w:hint="default" w:ascii="Times New Roman" w:hAnsi="Times New Roman" w:eastAsia="宋体" w:cs="Times New Roman"/>
                <w:bCs/>
                <w:color w:val="000000"/>
                <w:kern w:val="0"/>
                <w:highlight w:val="none"/>
              </w:rPr>
              <w:t>属于</w:t>
            </w:r>
            <w:r>
              <w:rPr>
                <w:rFonts w:hint="default" w:ascii="Times New Roman" w:hAnsi="Times New Roman" w:eastAsia="宋体" w:cs="Times New Roman"/>
                <w:bCs/>
                <w:color w:val="000000"/>
                <w:kern w:val="0"/>
                <w:highlight w:val="none"/>
                <w:lang w:val="en-US" w:eastAsia="zh-CN"/>
              </w:rPr>
              <w:t>登记</w:t>
            </w:r>
            <w:r>
              <w:rPr>
                <w:rFonts w:hint="default" w:ascii="Times New Roman" w:hAnsi="Times New Roman" w:eastAsia="宋体" w:cs="Times New Roman"/>
                <w:bCs/>
                <w:color w:val="000000"/>
                <w:kern w:val="0"/>
                <w:highlight w:val="none"/>
              </w:rPr>
              <w:t>管理</w:t>
            </w:r>
            <w:r>
              <w:rPr>
                <w:rFonts w:hint="eastAsia" w:cs="Times New Roman"/>
                <w:bCs/>
                <w:color w:val="000000"/>
                <w:kern w:val="0"/>
                <w:highlight w:val="none"/>
                <w:lang w:eastAsia="zh-CN"/>
              </w:rPr>
              <w:t>，</w:t>
            </w:r>
            <w:r>
              <w:rPr>
                <w:rFonts w:hint="default" w:eastAsia="宋体"/>
                <w:bCs/>
                <w:color w:val="000000"/>
                <w:spacing w:val="0"/>
                <w:kern w:val="0"/>
                <w:sz w:val="24"/>
                <w:szCs w:val="24"/>
                <w:highlight w:val="none"/>
                <w:lang w:val="en-US" w:eastAsia="zh-CN"/>
              </w:rPr>
              <w:t>因此本项目建设单位在产生排污行为之前应当按照要求填写排污许可登记。</w:t>
            </w:r>
          </w:p>
          <w:p w14:paraId="2F0FA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2</w:t>
            </w:r>
            <w:r>
              <w:rPr>
                <w:rFonts w:hint="default"/>
                <w:bCs/>
                <w:color w:val="000000"/>
                <w:spacing w:val="0"/>
                <w:kern w:val="0"/>
                <w:sz w:val="24"/>
                <w:szCs w:val="24"/>
                <w:lang w:val="en-US" w:eastAsia="zh-CN"/>
              </w:rPr>
              <w:t>）排污口管理</w:t>
            </w:r>
          </w:p>
          <w:p w14:paraId="46A388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建设单位应在各个排污口</w:t>
            </w:r>
            <w:r>
              <w:rPr>
                <w:rFonts w:hint="eastAsia"/>
                <w:bCs/>
                <w:color w:val="000000"/>
                <w:spacing w:val="0"/>
                <w:kern w:val="0"/>
                <w:sz w:val="24"/>
                <w:szCs w:val="24"/>
                <w:lang w:val="en-US" w:eastAsia="zh-CN"/>
              </w:rPr>
              <w:t>处竖立</w:t>
            </w:r>
            <w:r>
              <w:rPr>
                <w:rFonts w:hint="default"/>
                <w:bCs/>
                <w:color w:val="000000"/>
                <w:spacing w:val="0"/>
                <w:kern w:val="0"/>
                <w:sz w:val="24"/>
                <w:szCs w:val="24"/>
                <w:lang w:val="en-US" w:eastAsia="zh-CN"/>
              </w:rPr>
              <w:t>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14:paraId="044E3E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3</w:t>
            </w:r>
            <w:r>
              <w:rPr>
                <w:rFonts w:hint="default"/>
                <w:bCs/>
                <w:color w:val="000000"/>
                <w:spacing w:val="0"/>
                <w:kern w:val="0"/>
                <w:sz w:val="24"/>
                <w:szCs w:val="24"/>
                <w:lang w:val="en-US" w:eastAsia="zh-CN"/>
              </w:rPr>
              <w:t>）环境保护图形标志</w:t>
            </w:r>
          </w:p>
          <w:p w14:paraId="1C0C79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
                <w:bCs w:val="0"/>
                <w:color w:val="000000"/>
                <w:spacing w:val="0"/>
                <w:kern w:val="0"/>
                <w:sz w:val="21"/>
                <w:szCs w:val="18"/>
                <w:lang w:val="en-US" w:eastAsia="zh-CN"/>
              </w:rPr>
            </w:pPr>
            <w:r>
              <w:rPr>
                <w:rFonts w:hint="default"/>
                <w:bCs/>
                <w:color w:val="000000"/>
                <w:spacing w:val="0"/>
                <w:kern w:val="0"/>
                <w:sz w:val="24"/>
                <w:szCs w:val="24"/>
                <w:lang w:val="en-US" w:eastAsia="zh-CN"/>
              </w:rPr>
              <w:t>在固体废物贮存处置场、噪声产生点应设置环境保护图形标志，图形符号分为提示图形和警告图形符号两种，分别按《</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 排放口（源）</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》（GB15562.1-1995）、《</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环境保护图形标志固体废物堆放（填埋）场</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》（GB15562.2-1995）修改单执行。环境保护图形符号见</w:t>
            </w:r>
            <w:r>
              <w:rPr>
                <w:rFonts w:hint="eastAsia"/>
                <w:bCs/>
                <w:color w:val="000000"/>
                <w:spacing w:val="0"/>
                <w:kern w:val="0"/>
                <w:sz w:val="24"/>
                <w:szCs w:val="24"/>
                <w:lang w:val="en-US" w:eastAsia="zh-CN"/>
              </w:rPr>
              <w:t>表4-16</w:t>
            </w:r>
            <w:r>
              <w:rPr>
                <w:rFonts w:hint="default"/>
                <w:bCs/>
                <w:color w:val="000000"/>
                <w:spacing w:val="0"/>
                <w:kern w:val="0"/>
                <w:sz w:val="24"/>
                <w:szCs w:val="24"/>
                <w:lang w:val="en-US" w:eastAsia="zh-CN"/>
              </w:rPr>
              <w:t>。</w:t>
            </w:r>
          </w:p>
          <w:p w14:paraId="47FA2A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b/>
                <w:bCs w:val="0"/>
                <w:color w:val="000000"/>
                <w:spacing w:val="0"/>
                <w:kern w:val="0"/>
                <w:sz w:val="21"/>
                <w:szCs w:val="18"/>
                <w:lang w:val="en-US" w:eastAsia="zh-CN"/>
              </w:rPr>
            </w:pPr>
            <w:r>
              <w:rPr>
                <w:rFonts w:hint="eastAsia"/>
                <w:b/>
                <w:bCs w:val="0"/>
                <w:color w:val="000000"/>
                <w:spacing w:val="0"/>
                <w:kern w:val="0"/>
                <w:sz w:val="21"/>
                <w:szCs w:val="18"/>
                <w:lang w:val="en-US" w:eastAsia="zh-CN"/>
              </w:rPr>
              <w:t>表4-16</w:t>
            </w:r>
            <w:r>
              <w:rPr>
                <w:rFonts w:hint="default"/>
                <w:b/>
                <w:bCs w:val="0"/>
                <w:color w:val="000000"/>
                <w:spacing w:val="0"/>
                <w:kern w:val="0"/>
                <w:sz w:val="21"/>
                <w:szCs w:val="18"/>
                <w:lang w:val="en-US" w:eastAsia="zh-CN"/>
              </w:rPr>
              <w:t xml:space="preserve">                       环境保护图形符号一览表</w:t>
            </w:r>
          </w:p>
          <w:tbl>
            <w:tblPr>
              <w:tblStyle w:val="3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3"/>
              <w:gridCol w:w="1797"/>
              <w:gridCol w:w="1929"/>
              <w:gridCol w:w="1368"/>
              <w:gridCol w:w="2822"/>
            </w:tblGrid>
            <w:tr w14:paraId="3A0758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4" w:type="pct"/>
                  <w:tcBorders>
                    <w:tl2br w:val="nil"/>
                    <w:tr2bl w:val="nil"/>
                  </w:tcBorders>
                  <w:noWrap w:val="0"/>
                  <w:vAlign w:val="center"/>
                </w:tcPr>
                <w:p w14:paraId="70673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序号</w:t>
                  </w:r>
                </w:p>
              </w:tc>
              <w:tc>
                <w:tcPr>
                  <w:tcW w:w="1074" w:type="pct"/>
                  <w:tcBorders>
                    <w:tl2br w:val="nil"/>
                    <w:tr2bl w:val="nil"/>
                  </w:tcBorders>
                  <w:noWrap w:val="0"/>
                  <w:vAlign w:val="center"/>
                </w:tcPr>
                <w:p w14:paraId="19AE42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提示图形符号</w:t>
                  </w:r>
                </w:p>
              </w:tc>
              <w:tc>
                <w:tcPr>
                  <w:tcW w:w="1153" w:type="pct"/>
                  <w:tcBorders>
                    <w:tl2br w:val="nil"/>
                    <w:tr2bl w:val="nil"/>
                  </w:tcBorders>
                  <w:noWrap w:val="0"/>
                  <w:vAlign w:val="center"/>
                </w:tcPr>
                <w:p w14:paraId="58BC3D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警告图形符号</w:t>
                  </w:r>
                </w:p>
              </w:tc>
              <w:tc>
                <w:tcPr>
                  <w:tcW w:w="818" w:type="pct"/>
                  <w:tcBorders>
                    <w:tl2br w:val="nil"/>
                    <w:tr2bl w:val="nil"/>
                  </w:tcBorders>
                  <w:noWrap w:val="0"/>
                  <w:vAlign w:val="center"/>
                </w:tcPr>
                <w:p w14:paraId="656842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名称</w:t>
                  </w:r>
                </w:p>
              </w:tc>
              <w:tc>
                <w:tcPr>
                  <w:tcW w:w="1688" w:type="pct"/>
                  <w:tcBorders>
                    <w:tl2br w:val="nil"/>
                    <w:tr2bl w:val="nil"/>
                  </w:tcBorders>
                  <w:noWrap w:val="0"/>
                  <w:vAlign w:val="center"/>
                </w:tcPr>
                <w:p w14:paraId="1D7B9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功能</w:t>
                  </w:r>
                </w:p>
              </w:tc>
            </w:tr>
            <w:tr w14:paraId="7595FB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4" w:type="pct"/>
                  <w:tcBorders>
                    <w:tl2br w:val="nil"/>
                    <w:tr2bl w:val="nil"/>
                  </w:tcBorders>
                  <w:noWrap w:val="0"/>
                  <w:vAlign w:val="center"/>
                </w:tcPr>
                <w:p w14:paraId="67678E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1</w:t>
                  </w:r>
                </w:p>
              </w:tc>
              <w:tc>
                <w:tcPr>
                  <w:tcW w:w="1074" w:type="pct"/>
                  <w:tcBorders>
                    <w:tl2br w:val="nil"/>
                    <w:tr2bl w:val="nil"/>
                  </w:tcBorders>
                  <w:noWrap w:val="0"/>
                  <w:vAlign w:val="center"/>
                </w:tcPr>
                <w:p w14:paraId="153AC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897255" cy="912495"/>
                        <wp:effectExtent l="0" t="0" r="17145" b="190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13"/>
                                <a:stretch>
                                  <a:fillRect/>
                                </a:stretch>
                              </pic:blipFill>
                              <pic:spPr>
                                <a:xfrm>
                                  <a:off x="0" y="0"/>
                                  <a:ext cx="897255" cy="912495"/>
                                </a:xfrm>
                                <a:prstGeom prst="rect">
                                  <a:avLst/>
                                </a:prstGeom>
                                <a:noFill/>
                                <a:ln>
                                  <a:noFill/>
                                </a:ln>
                              </pic:spPr>
                            </pic:pic>
                          </a:graphicData>
                        </a:graphic>
                      </wp:inline>
                    </w:drawing>
                  </w:r>
                </w:p>
              </w:tc>
              <w:tc>
                <w:tcPr>
                  <w:tcW w:w="1153" w:type="pct"/>
                  <w:tcBorders>
                    <w:tl2br w:val="nil"/>
                    <w:tr2bl w:val="nil"/>
                  </w:tcBorders>
                  <w:noWrap w:val="0"/>
                  <w:vAlign w:val="center"/>
                </w:tcPr>
                <w:p w14:paraId="2FDA42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35050" cy="877570"/>
                        <wp:effectExtent l="0" t="0" r="12700" b="17780"/>
                        <wp:docPr id="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7"/>
                                <pic:cNvPicPr>
                                  <a:picLocks noChangeAspect="1"/>
                                </pic:cNvPicPr>
                              </pic:nvPicPr>
                              <pic:blipFill>
                                <a:blip r:embed="rId14"/>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14:paraId="26040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污水排放口</w:t>
                  </w:r>
                </w:p>
              </w:tc>
              <w:tc>
                <w:tcPr>
                  <w:tcW w:w="1688" w:type="pct"/>
                  <w:tcBorders>
                    <w:tl2br w:val="nil"/>
                    <w:tr2bl w:val="nil"/>
                  </w:tcBorders>
                  <w:noWrap w:val="0"/>
                  <w:vAlign w:val="center"/>
                </w:tcPr>
                <w:p w14:paraId="1579E4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表示污水向外环境排放</w:t>
                  </w:r>
                </w:p>
              </w:tc>
            </w:tr>
            <w:tr w14:paraId="37F858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4" w:type="pct"/>
                  <w:tcBorders>
                    <w:tl2br w:val="nil"/>
                    <w:tr2bl w:val="nil"/>
                  </w:tcBorders>
                  <w:noWrap w:val="0"/>
                  <w:vAlign w:val="center"/>
                </w:tcPr>
                <w:p w14:paraId="33391A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2</w:t>
                  </w:r>
                </w:p>
              </w:tc>
              <w:tc>
                <w:tcPr>
                  <w:tcW w:w="1074" w:type="pct"/>
                  <w:tcBorders>
                    <w:tl2br w:val="nil"/>
                    <w:tr2bl w:val="nil"/>
                  </w:tcBorders>
                  <w:noWrap w:val="0"/>
                  <w:vAlign w:val="center"/>
                </w:tcPr>
                <w:p w14:paraId="1EF543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6475" cy="1005840"/>
                        <wp:effectExtent l="0" t="0" r="3175" b="3810"/>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pic:cNvPicPr>
                              </pic:nvPicPr>
                              <pic:blipFill>
                                <a:blip r:embed="rId15"/>
                                <a:stretch>
                                  <a:fillRect/>
                                </a:stretch>
                              </pic:blipFill>
                              <pic:spPr>
                                <a:xfrm>
                                  <a:off x="0" y="0"/>
                                  <a:ext cx="1006475" cy="1005840"/>
                                </a:xfrm>
                                <a:prstGeom prst="rect">
                                  <a:avLst/>
                                </a:prstGeom>
                                <a:noFill/>
                                <a:ln>
                                  <a:noFill/>
                                </a:ln>
                              </pic:spPr>
                            </pic:pic>
                          </a:graphicData>
                        </a:graphic>
                      </wp:inline>
                    </w:drawing>
                  </w:r>
                </w:p>
              </w:tc>
              <w:tc>
                <w:tcPr>
                  <w:tcW w:w="1153" w:type="pct"/>
                  <w:tcBorders>
                    <w:tl2br w:val="nil"/>
                    <w:tr2bl w:val="nil"/>
                  </w:tcBorders>
                  <w:noWrap w:val="0"/>
                  <w:vAlign w:val="center"/>
                </w:tcPr>
                <w:p w14:paraId="0DE2B3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8380" cy="817880"/>
                        <wp:effectExtent l="0" t="0" r="1270" b="127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pic:cNvPicPr>
                              </pic:nvPicPr>
                              <pic:blipFill>
                                <a:blip r:embed="rId16"/>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14:paraId="72EBD3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一般固体废物</w:t>
                  </w:r>
                </w:p>
              </w:tc>
              <w:tc>
                <w:tcPr>
                  <w:tcW w:w="1688" w:type="pct"/>
                  <w:tcBorders>
                    <w:tl2br w:val="nil"/>
                    <w:tr2bl w:val="nil"/>
                  </w:tcBorders>
                  <w:noWrap w:val="0"/>
                  <w:vAlign w:val="center"/>
                </w:tcPr>
                <w:p w14:paraId="2A550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表示一般固体废物贮存、处置场</w:t>
                  </w:r>
                </w:p>
              </w:tc>
            </w:tr>
            <w:tr w14:paraId="2B94B1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4" w:type="pct"/>
                  <w:tcBorders>
                    <w:tl2br w:val="nil"/>
                    <w:tr2bl w:val="nil"/>
                  </w:tcBorders>
                  <w:noWrap w:val="0"/>
                  <w:vAlign w:val="center"/>
                </w:tcPr>
                <w:p w14:paraId="4F37E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3</w:t>
                  </w:r>
                </w:p>
              </w:tc>
              <w:tc>
                <w:tcPr>
                  <w:tcW w:w="2228" w:type="pct"/>
                  <w:gridSpan w:val="2"/>
                  <w:tcBorders>
                    <w:tl2br w:val="nil"/>
                    <w:tr2bl w:val="nil"/>
                  </w:tcBorders>
                  <w:noWrap w:val="0"/>
                  <w:vAlign w:val="center"/>
                </w:tcPr>
                <w:p w14:paraId="4DF9A5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144905" cy="1012825"/>
                        <wp:effectExtent l="0" t="0" r="17145" b="15875"/>
                        <wp:docPr id="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0"/>
                                <pic:cNvPicPr>
                                  <a:picLocks noChangeAspect="1"/>
                                </pic:cNvPicPr>
                              </pic:nvPicPr>
                              <pic:blipFill>
                                <a:blip r:embed="rId17"/>
                                <a:stretch>
                                  <a:fillRect/>
                                </a:stretch>
                              </pic:blipFill>
                              <pic:spPr>
                                <a:xfrm>
                                  <a:off x="0" y="0"/>
                                  <a:ext cx="1144905" cy="1012825"/>
                                </a:xfrm>
                                <a:prstGeom prst="rect">
                                  <a:avLst/>
                                </a:prstGeom>
                                <a:noFill/>
                                <a:ln>
                                  <a:noFill/>
                                </a:ln>
                              </pic:spPr>
                            </pic:pic>
                          </a:graphicData>
                        </a:graphic>
                      </wp:inline>
                    </w:drawing>
                  </w:r>
                </w:p>
              </w:tc>
              <w:tc>
                <w:tcPr>
                  <w:tcW w:w="818" w:type="pct"/>
                  <w:tcBorders>
                    <w:tl2br w:val="nil"/>
                    <w:tr2bl w:val="nil"/>
                  </w:tcBorders>
                  <w:noWrap w:val="0"/>
                  <w:vAlign w:val="center"/>
                </w:tcPr>
                <w:p w14:paraId="7C054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危险废物</w:t>
                  </w:r>
                </w:p>
              </w:tc>
              <w:tc>
                <w:tcPr>
                  <w:tcW w:w="1688" w:type="pct"/>
                  <w:tcBorders>
                    <w:tl2br w:val="nil"/>
                    <w:tr2bl w:val="nil"/>
                  </w:tcBorders>
                  <w:noWrap w:val="0"/>
                  <w:vAlign w:val="center"/>
                </w:tcPr>
                <w:p w14:paraId="0B1547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表示危险废物贮存、处置场警告图形符号</w:t>
                  </w:r>
                </w:p>
                <w:p w14:paraId="3CCF9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p>
              </w:tc>
            </w:tr>
            <w:tr w14:paraId="54C391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4" w:type="pct"/>
                  <w:tcBorders>
                    <w:tl2br w:val="nil"/>
                    <w:tr2bl w:val="nil"/>
                  </w:tcBorders>
                  <w:noWrap w:val="0"/>
                  <w:vAlign w:val="center"/>
                </w:tcPr>
                <w:p w14:paraId="414E8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4</w:t>
                  </w:r>
                </w:p>
              </w:tc>
              <w:tc>
                <w:tcPr>
                  <w:tcW w:w="1074" w:type="pct"/>
                  <w:tcBorders>
                    <w:tl2br w:val="nil"/>
                    <w:tr2bl w:val="nil"/>
                  </w:tcBorders>
                  <w:noWrap w:val="0"/>
                  <w:vAlign w:val="center"/>
                </w:tcPr>
                <w:p w14:paraId="0C91B3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5840" cy="914400"/>
                        <wp:effectExtent l="0" t="0" r="3810" b="0"/>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1"/>
                                <pic:cNvPicPr>
                                  <a:picLocks noChangeAspect="1"/>
                                </pic:cNvPicPr>
                              </pic:nvPicPr>
                              <pic:blipFill>
                                <a:blip r:embed="rId18"/>
                                <a:stretch>
                                  <a:fillRect/>
                                </a:stretch>
                              </pic:blipFill>
                              <pic:spPr>
                                <a:xfrm>
                                  <a:off x="0" y="0"/>
                                  <a:ext cx="1005840" cy="914400"/>
                                </a:xfrm>
                                <a:prstGeom prst="rect">
                                  <a:avLst/>
                                </a:prstGeom>
                                <a:noFill/>
                                <a:ln>
                                  <a:noFill/>
                                </a:ln>
                              </pic:spPr>
                            </pic:pic>
                          </a:graphicData>
                        </a:graphic>
                      </wp:inline>
                    </w:drawing>
                  </w:r>
                </w:p>
              </w:tc>
              <w:tc>
                <w:tcPr>
                  <w:tcW w:w="1153" w:type="pct"/>
                  <w:tcBorders>
                    <w:tl2br w:val="nil"/>
                    <w:tr2bl w:val="nil"/>
                  </w:tcBorders>
                  <w:noWrap w:val="0"/>
                  <w:vAlign w:val="center"/>
                </w:tcPr>
                <w:p w14:paraId="3BCD6B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3935" cy="821690"/>
                        <wp:effectExtent l="0" t="0" r="5715" b="1651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
                                <pic:cNvPicPr>
                                  <a:picLocks noChangeAspect="1"/>
                                </pic:cNvPicPr>
                              </pic:nvPicPr>
                              <pic:blipFill>
                                <a:blip r:embed="rId19"/>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14:paraId="0EF4C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噪声源</w:t>
                  </w:r>
                </w:p>
              </w:tc>
              <w:tc>
                <w:tcPr>
                  <w:tcW w:w="1688" w:type="pct"/>
                  <w:tcBorders>
                    <w:tl2br w:val="nil"/>
                    <w:tr2bl w:val="nil"/>
                  </w:tcBorders>
                  <w:noWrap w:val="0"/>
                  <w:vAlign w:val="center"/>
                </w:tcPr>
                <w:p w14:paraId="6832C7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表示噪声向外环境排放</w:t>
                  </w:r>
                </w:p>
              </w:tc>
            </w:tr>
            <w:tr w14:paraId="1838E4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4" w:type="pct"/>
                  <w:tcBorders>
                    <w:tl2br w:val="nil"/>
                    <w:tr2bl w:val="nil"/>
                  </w:tcBorders>
                  <w:noWrap w:val="0"/>
                  <w:vAlign w:val="center"/>
                </w:tcPr>
                <w:p w14:paraId="3C663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5</w:t>
                  </w:r>
                </w:p>
              </w:tc>
              <w:tc>
                <w:tcPr>
                  <w:tcW w:w="1074" w:type="pct"/>
                  <w:tcBorders>
                    <w:tl2br w:val="nil"/>
                    <w:tr2bl w:val="nil"/>
                  </w:tcBorders>
                  <w:noWrap w:val="0"/>
                  <w:vAlign w:val="center"/>
                </w:tcPr>
                <w:p w14:paraId="0EA61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962025" cy="1200150"/>
                        <wp:effectExtent l="0" t="0" r="9525" b="0"/>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ChangeAspect="1"/>
                                </pic:cNvPicPr>
                              </pic:nvPicPr>
                              <pic:blipFill>
                                <a:blip r:embed="rId20"/>
                                <a:stretch>
                                  <a:fillRect/>
                                </a:stretch>
                              </pic:blipFill>
                              <pic:spPr>
                                <a:xfrm>
                                  <a:off x="0" y="0"/>
                                  <a:ext cx="962025" cy="1200150"/>
                                </a:xfrm>
                                <a:prstGeom prst="rect">
                                  <a:avLst/>
                                </a:prstGeom>
                                <a:noFill/>
                                <a:ln>
                                  <a:noFill/>
                                </a:ln>
                              </pic:spPr>
                            </pic:pic>
                          </a:graphicData>
                        </a:graphic>
                      </wp:inline>
                    </w:drawing>
                  </w:r>
                </w:p>
              </w:tc>
              <w:tc>
                <w:tcPr>
                  <w:tcW w:w="1153" w:type="pct"/>
                  <w:tcBorders>
                    <w:tl2br w:val="nil"/>
                    <w:tr2bl w:val="nil"/>
                  </w:tcBorders>
                  <w:noWrap w:val="0"/>
                  <w:vAlign w:val="center"/>
                </w:tcPr>
                <w:p w14:paraId="507888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19175" cy="1171575"/>
                        <wp:effectExtent l="0" t="0" r="9525" b="9525"/>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21"/>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14:paraId="574137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废气排放口</w:t>
                  </w:r>
                </w:p>
              </w:tc>
              <w:tc>
                <w:tcPr>
                  <w:tcW w:w="1688" w:type="pct"/>
                  <w:tcBorders>
                    <w:tl2br w:val="nil"/>
                    <w:tr2bl w:val="nil"/>
                  </w:tcBorders>
                  <w:noWrap w:val="0"/>
                  <w:vAlign w:val="center"/>
                </w:tcPr>
                <w:p w14:paraId="6189B0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表示废气向外环境排放</w:t>
                  </w:r>
                </w:p>
              </w:tc>
            </w:tr>
          </w:tbl>
          <w:p w14:paraId="0921DFD6">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6C3A13A3">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2A610DC2">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5D693D18">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1C5B51F8">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53AEAA7D">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43D2C500">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4910E3E0">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308A1B9F">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6DF34766">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4CBF812A">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2B7A4836">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50D98224">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p w14:paraId="32E6A46A">
            <w:pPr>
              <w:pStyle w:val="16"/>
              <w:keepNext w:val="0"/>
              <w:keepLines w:val="0"/>
              <w:widowControl w:val="0"/>
              <w:numPr>
                <w:ilvl w:val="0"/>
                <w:numId w:val="0"/>
              </w:numPr>
              <w:suppressLineNumbers w:val="0"/>
              <w:spacing w:before="0" w:beforeAutospacing="0" w:after="0" w:afterAutospacing="0" w:line="360" w:lineRule="auto"/>
              <w:ind w:left="0" w:right="0"/>
              <w:jc w:val="both"/>
              <w:rPr>
                <w:rFonts w:hint="default"/>
                <w:color w:val="000000"/>
                <w:spacing w:val="0"/>
                <w:kern w:val="0"/>
              </w:rPr>
            </w:pPr>
          </w:p>
        </w:tc>
      </w:tr>
    </w:tbl>
    <w:p w14:paraId="2D61F48B">
      <w:pPr>
        <w:adjustRightInd w:val="0"/>
        <w:snapToGrid w:val="0"/>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3F8BD01">
      <w:pPr>
        <w:pStyle w:val="5"/>
        <w:rPr>
          <w:color w:val="auto"/>
        </w:rPr>
      </w:pPr>
      <w:bookmarkStart w:id="15" w:name="_Toc3326"/>
      <w:r>
        <w:rPr>
          <w:color w:val="auto"/>
        </w:rPr>
        <w:t>五、</w:t>
      </w:r>
      <w:bookmarkStart w:id="16" w:name="_Hlk54167917"/>
      <w:r>
        <w:rPr>
          <w:color w:val="auto"/>
        </w:rPr>
        <w:t>环境保护措施监督检查清单</w:t>
      </w:r>
      <w:bookmarkEnd w:id="15"/>
      <w:bookmarkEnd w:id="16"/>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fixed"/>
        <w:tblCellMar>
          <w:top w:w="0" w:type="dxa"/>
          <w:left w:w="108" w:type="dxa"/>
          <w:bottom w:w="0" w:type="dxa"/>
          <w:right w:w="108" w:type="dxa"/>
        </w:tblCellMar>
      </w:tblPr>
      <w:tblGrid>
        <w:gridCol w:w="705"/>
        <w:gridCol w:w="648"/>
        <w:gridCol w:w="1478"/>
        <w:gridCol w:w="1275"/>
        <w:gridCol w:w="1738"/>
        <w:gridCol w:w="3216"/>
      </w:tblGrid>
      <w:tr w14:paraId="4B1BF26A">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top"/>
          </w:tcPr>
          <w:p w14:paraId="179C9EA9">
            <w:pPr>
              <w:keepNext w:val="0"/>
              <w:keepLines w:val="0"/>
              <w:suppressLineNumbers w:val="0"/>
              <w:adjustRightInd w:val="0"/>
              <w:snapToGrid w:val="0"/>
              <w:spacing w:before="0" w:beforeAutospacing="0" w:after="0" w:afterAutospacing="0" w:line="240" w:lineRule="auto"/>
              <w:ind w:left="0" w:right="0"/>
              <w:rPr>
                <w:rFonts w:hint="default"/>
                <w:sz w:val="21"/>
                <w:szCs w:val="21"/>
              </w:rPr>
            </w:pPr>
            <w:r>
              <w:rPr>
                <w:rFonts w:hint="default"/>
                <w:sz w:val="21"/>
                <w:szCs w:val="21"/>
              </w:rPr>
              <w:t>内容</w:t>
            </w:r>
          </w:p>
          <w:p w14:paraId="2F4708BD">
            <w:pPr>
              <w:keepNext w:val="0"/>
              <w:keepLines w:val="0"/>
              <w:suppressLineNumbers w:val="0"/>
              <w:adjustRightInd w:val="0"/>
              <w:snapToGrid w:val="0"/>
              <w:spacing w:before="0" w:beforeAutospacing="0" w:after="0" w:afterAutospacing="0" w:line="240" w:lineRule="auto"/>
              <w:ind w:left="0" w:right="0"/>
              <w:rPr>
                <w:rFonts w:hint="default"/>
                <w:sz w:val="21"/>
                <w:szCs w:val="21"/>
              </w:rPr>
            </w:pPr>
            <w:r>
              <w:rPr>
                <w:rFonts w:hint="default"/>
                <w:sz w:val="21"/>
                <w:szCs w:val="21"/>
              </w:rPr>
              <w:t>要素</w:t>
            </w:r>
          </w:p>
        </w:tc>
        <w:tc>
          <w:tcPr>
            <w:tcW w:w="1173" w:type="pct"/>
            <w:gridSpan w:val="2"/>
            <w:tcBorders>
              <w:tl2br w:val="nil"/>
              <w:tr2bl w:val="nil"/>
            </w:tcBorders>
            <w:noWrap w:val="0"/>
            <w:vAlign w:val="center"/>
          </w:tcPr>
          <w:p w14:paraId="6316E411">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排放口</w:t>
            </w:r>
            <w:r>
              <w:rPr>
                <w:rFonts w:hint="eastAsia"/>
                <w:sz w:val="21"/>
                <w:szCs w:val="21"/>
                <w:lang w:eastAsia="zh-CN"/>
              </w:rPr>
              <w:t>（</w:t>
            </w:r>
            <w:r>
              <w:rPr>
                <w:rFonts w:hint="default"/>
                <w:sz w:val="21"/>
                <w:szCs w:val="21"/>
              </w:rPr>
              <w:t>编号、名称</w:t>
            </w:r>
            <w:r>
              <w:rPr>
                <w:rFonts w:hint="eastAsia"/>
                <w:sz w:val="21"/>
                <w:szCs w:val="21"/>
                <w:lang w:eastAsia="zh-CN"/>
              </w:rPr>
              <w:t>）</w:t>
            </w:r>
            <w:r>
              <w:rPr>
                <w:rFonts w:hint="default"/>
                <w:sz w:val="21"/>
                <w:szCs w:val="21"/>
              </w:rPr>
              <w:t>/污染源</w:t>
            </w:r>
          </w:p>
        </w:tc>
        <w:tc>
          <w:tcPr>
            <w:tcW w:w="703" w:type="pct"/>
            <w:tcBorders>
              <w:tl2br w:val="nil"/>
              <w:tr2bl w:val="nil"/>
            </w:tcBorders>
            <w:noWrap w:val="0"/>
            <w:vAlign w:val="center"/>
          </w:tcPr>
          <w:p w14:paraId="7CBD7DF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污染物项目</w:t>
            </w:r>
          </w:p>
        </w:tc>
        <w:tc>
          <w:tcPr>
            <w:tcW w:w="959" w:type="pct"/>
            <w:tcBorders>
              <w:tl2br w:val="nil"/>
              <w:tr2bl w:val="nil"/>
            </w:tcBorders>
            <w:noWrap w:val="0"/>
            <w:vAlign w:val="center"/>
          </w:tcPr>
          <w:p w14:paraId="691D918B">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环境保护措施</w:t>
            </w:r>
          </w:p>
        </w:tc>
        <w:tc>
          <w:tcPr>
            <w:tcW w:w="1774" w:type="pct"/>
            <w:tcBorders>
              <w:tl2br w:val="nil"/>
              <w:tr2bl w:val="nil"/>
            </w:tcBorders>
            <w:noWrap w:val="0"/>
            <w:vAlign w:val="center"/>
          </w:tcPr>
          <w:p w14:paraId="4011FBA2">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执行标准</w:t>
            </w:r>
          </w:p>
        </w:tc>
      </w:tr>
      <w:tr w14:paraId="4770609B">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vMerge w:val="restart"/>
            <w:tcBorders>
              <w:tl2br w:val="nil"/>
              <w:tr2bl w:val="nil"/>
            </w:tcBorders>
            <w:noWrap w:val="0"/>
            <w:vAlign w:val="center"/>
          </w:tcPr>
          <w:p w14:paraId="05FA7EE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大气环境</w:t>
            </w:r>
          </w:p>
        </w:tc>
        <w:tc>
          <w:tcPr>
            <w:tcW w:w="357" w:type="pct"/>
            <w:vMerge w:val="restart"/>
            <w:tcBorders>
              <w:tl2br w:val="nil"/>
              <w:tr2bl w:val="nil"/>
            </w:tcBorders>
            <w:noWrap w:val="0"/>
            <w:vAlign w:val="center"/>
          </w:tcPr>
          <w:p w14:paraId="41A0867D">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eastAsia="宋体"/>
                <w:sz w:val="21"/>
                <w:szCs w:val="21"/>
                <w:lang w:val="en-US" w:eastAsia="zh-CN"/>
              </w:rPr>
            </w:pPr>
            <w:r>
              <w:rPr>
                <w:rFonts w:hint="default" w:ascii="Times New Roman" w:hAnsi="Times New Roman" w:eastAsia="宋体" w:cs="Times New Roman"/>
                <w:b w:val="0"/>
                <w:bCs w:val="0"/>
                <w:color w:val="auto"/>
                <w:sz w:val="21"/>
                <w:szCs w:val="21"/>
              </w:rPr>
              <w:t>DA</w:t>
            </w:r>
            <w:r>
              <w:rPr>
                <w:rFonts w:hint="eastAsia" w:cs="Times New Roman"/>
                <w:b w:val="0"/>
                <w:bCs w:val="0"/>
                <w:color w:val="auto"/>
                <w:sz w:val="21"/>
                <w:szCs w:val="21"/>
                <w:lang w:eastAsia="zh-CN"/>
              </w:rPr>
              <w:t>0</w:t>
            </w:r>
            <w:r>
              <w:rPr>
                <w:rFonts w:hint="eastAsia" w:cs="Times New Roman"/>
                <w:b w:val="0"/>
                <w:bCs w:val="0"/>
                <w:color w:val="auto"/>
                <w:sz w:val="21"/>
                <w:szCs w:val="21"/>
                <w:lang w:val="en-US" w:eastAsia="zh-CN"/>
              </w:rPr>
              <w:t>01</w:t>
            </w:r>
          </w:p>
        </w:tc>
        <w:tc>
          <w:tcPr>
            <w:tcW w:w="815" w:type="pct"/>
            <w:vMerge w:val="restart"/>
            <w:tcBorders>
              <w:tl2br w:val="nil"/>
              <w:tr2bl w:val="nil"/>
            </w:tcBorders>
            <w:noWrap w:val="0"/>
            <w:vAlign w:val="center"/>
          </w:tcPr>
          <w:p w14:paraId="09A33B07">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000000"/>
                <w:sz w:val="21"/>
                <w:szCs w:val="21"/>
                <w:lang w:val="en-US" w:eastAsia="zh-CN"/>
              </w:rPr>
            </w:pPr>
            <w:r>
              <w:rPr>
                <w:rFonts w:hint="eastAsia"/>
                <w:color w:val="000000"/>
                <w:sz w:val="21"/>
                <w:szCs w:val="21"/>
                <w:lang w:val="en-US" w:eastAsia="zh-CN"/>
              </w:rPr>
              <w:t>废气排放口</w:t>
            </w:r>
          </w:p>
        </w:tc>
        <w:tc>
          <w:tcPr>
            <w:tcW w:w="703" w:type="pct"/>
            <w:tcBorders>
              <w:tl2br w:val="nil"/>
              <w:tr2bl w:val="nil"/>
            </w:tcBorders>
            <w:noWrap w:val="0"/>
            <w:vAlign w:val="center"/>
          </w:tcPr>
          <w:p w14:paraId="154F420F">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000000"/>
                <w:sz w:val="21"/>
                <w:szCs w:val="21"/>
                <w:lang w:val="en-US" w:eastAsia="zh-CN"/>
              </w:rPr>
            </w:pPr>
            <w:r>
              <w:rPr>
                <w:rFonts w:hint="eastAsia"/>
                <w:color w:val="000000"/>
                <w:sz w:val="21"/>
                <w:szCs w:val="21"/>
                <w:lang w:val="en-US" w:eastAsia="zh-CN"/>
              </w:rPr>
              <w:t>硫酸雾</w:t>
            </w:r>
          </w:p>
        </w:tc>
        <w:tc>
          <w:tcPr>
            <w:tcW w:w="959" w:type="pct"/>
            <w:tcBorders>
              <w:tl2br w:val="nil"/>
              <w:tr2bl w:val="nil"/>
            </w:tcBorders>
            <w:noWrap w:val="0"/>
            <w:vAlign w:val="center"/>
          </w:tcPr>
          <w:p w14:paraId="7CC131E6">
            <w:pPr>
              <w:keepNext w:val="0"/>
              <w:keepLines w:val="0"/>
              <w:widowControl/>
              <w:suppressLineNumbers w:val="0"/>
              <w:adjustRightInd w:val="0"/>
              <w:snapToGrid w:val="0"/>
              <w:spacing w:before="0" w:beforeAutospacing="0" w:after="0" w:afterAutospacing="0" w:line="240" w:lineRule="auto"/>
              <w:ind w:left="0" w:right="0"/>
              <w:jc w:val="center"/>
              <w:textAlignment w:val="bottom"/>
              <w:rPr>
                <w:rFonts w:hint="eastAsia" w:eastAsia="宋体"/>
                <w:color w:val="000000"/>
                <w:sz w:val="21"/>
                <w:szCs w:val="21"/>
                <w:lang w:eastAsia="zh-CN"/>
              </w:rPr>
            </w:pPr>
            <w:r>
              <w:rPr>
                <w:rFonts w:hint="eastAsia" w:eastAsia="宋体"/>
                <w:color w:val="000000"/>
                <w:sz w:val="21"/>
                <w:szCs w:val="21"/>
                <w:lang w:val="en-US" w:eastAsia="zh-CN"/>
              </w:rPr>
              <w:t>旋风除尘器+沉降室+碱洗喷淋塔</w:t>
            </w:r>
          </w:p>
        </w:tc>
        <w:tc>
          <w:tcPr>
            <w:tcW w:w="1774" w:type="pct"/>
            <w:tcBorders>
              <w:tl2br w:val="nil"/>
              <w:tr2bl w:val="nil"/>
            </w:tcBorders>
            <w:noWrap w:val="0"/>
            <w:vAlign w:val="center"/>
          </w:tcPr>
          <w:p w14:paraId="08B455F0">
            <w:pPr>
              <w:keepNext w:val="0"/>
              <w:keepLines w:val="0"/>
              <w:suppressLineNumbers w:val="0"/>
              <w:adjustRightInd w:val="0"/>
              <w:snapToGrid w:val="0"/>
              <w:spacing w:before="0" w:beforeAutospacing="0" w:after="0" w:afterAutospacing="0" w:line="240" w:lineRule="auto"/>
              <w:ind w:left="0" w:right="0"/>
              <w:jc w:val="center"/>
              <w:rPr>
                <w:rFonts w:hint="default"/>
                <w:color w:val="000000"/>
                <w:sz w:val="21"/>
                <w:szCs w:val="21"/>
              </w:rPr>
            </w:pPr>
            <w:r>
              <w:rPr>
                <w:rFonts w:hint="default"/>
                <w:color w:val="000000"/>
                <w:spacing w:val="0"/>
                <w:kern w:val="0"/>
                <w:sz w:val="21"/>
                <w:szCs w:val="21"/>
              </w:rPr>
              <w:t>《大气污染物综合排放标准》（GB</w:t>
            </w:r>
            <w:r>
              <w:rPr>
                <w:rFonts w:hint="eastAsia"/>
                <w:color w:val="000000"/>
                <w:spacing w:val="0"/>
                <w:kern w:val="0"/>
                <w:sz w:val="21"/>
                <w:szCs w:val="21"/>
                <w:lang w:val="en-US" w:eastAsia="zh-CN"/>
              </w:rPr>
              <w:t xml:space="preserve"> </w:t>
            </w:r>
            <w:r>
              <w:rPr>
                <w:rFonts w:hint="default"/>
                <w:color w:val="000000"/>
                <w:spacing w:val="0"/>
                <w:kern w:val="0"/>
                <w:sz w:val="21"/>
                <w:szCs w:val="21"/>
              </w:rPr>
              <w:t>16297-1996）</w:t>
            </w:r>
            <w:r>
              <w:rPr>
                <w:rFonts w:hint="eastAsia"/>
                <w:color w:val="000000"/>
                <w:spacing w:val="0"/>
                <w:kern w:val="0"/>
                <w:sz w:val="21"/>
                <w:szCs w:val="21"/>
                <w:lang w:val="en-US" w:eastAsia="zh-CN"/>
              </w:rPr>
              <w:t>中表2</w:t>
            </w:r>
          </w:p>
        </w:tc>
      </w:tr>
      <w:tr w14:paraId="095A9DA6">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vMerge w:val="continue"/>
            <w:tcBorders>
              <w:tl2br w:val="nil"/>
              <w:tr2bl w:val="nil"/>
            </w:tcBorders>
            <w:noWrap w:val="0"/>
            <w:vAlign w:val="center"/>
          </w:tcPr>
          <w:p w14:paraId="6B2DAC02">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p>
        </w:tc>
        <w:tc>
          <w:tcPr>
            <w:tcW w:w="357" w:type="pct"/>
            <w:vMerge w:val="continue"/>
            <w:tcBorders>
              <w:tl2br w:val="nil"/>
              <w:tr2bl w:val="nil"/>
            </w:tcBorders>
            <w:noWrap w:val="0"/>
            <w:vAlign w:val="center"/>
          </w:tcPr>
          <w:p w14:paraId="71C44474">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rPr>
            </w:pPr>
          </w:p>
        </w:tc>
        <w:tc>
          <w:tcPr>
            <w:tcW w:w="815" w:type="pct"/>
            <w:vMerge w:val="continue"/>
            <w:tcBorders>
              <w:tl2br w:val="nil"/>
              <w:tr2bl w:val="nil"/>
            </w:tcBorders>
            <w:noWrap w:val="0"/>
            <w:vAlign w:val="center"/>
          </w:tcPr>
          <w:p w14:paraId="52C5C184">
            <w:pPr>
              <w:keepNext w:val="0"/>
              <w:keepLines w:val="0"/>
              <w:suppressLineNumbers w:val="0"/>
              <w:adjustRightInd w:val="0"/>
              <w:snapToGrid w:val="0"/>
              <w:spacing w:before="0" w:beforeAutospacing="0" w:after="0" w:afterAutospacing="0" w:line="240" w:lineRule="auto"/>
              <w:ind w:left="0" w:right="0"/>
              <w:jc w:val="center"/>
              <w:rPr>
                <w:rFonts w:hint="eastAsia"/>
                <w:color w:val="000000"/>
                <w:sz w:val="21"/>
                <w:szCs w:val="21"/>
                <w:lang w:val="en-US" w:eastAsia="zh-CN"/>
              </w:rPr>
            </w:pPr>
          </w:p>
        </w:tc>
        <w:tc>
          <w:tcPr>
            <w:tcW w:w="703" w:type="pct"/>
            <w:tcBorders>
              <w:tl2br w:val="nil"/>
              <w:tr2bl w:val="nil"/>
            </w:tcBorders>
            <w:noWrap w:val="0"/>
            <w:vAlign w:val="center"/>
          </w:tcPr>
          <w:p w14:paraId="0F7EFBE2">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000000"/>
                <w:sz w:val="21"/>
                <w:szCs w:val="21"/>
                <w:lang w:val="en-US" w:eastAsia="zh-CN"/>
              </w:rPr>
            </w:pPr>
            <w:r>
              <w:rPr>
                <w:rFonts w:hint="default" w:eastAsia="宋体"/>
                <w:color w:val="000000"/>
                <w:sz w:val="21"/>
                <w:szCs w:val="21"/>
                <w:lang w:val="en-US" w:eastAsia="zh-CN"/>
              </w:rPr>
              <w:t>颗粒物、SO</w:t>
            </w:r>
            <w:r>
              <w:rPr>
                <w:rFonts w:hint="default" w:eastAsia="宋体"/>
                <w:color w:val="000000"/>
                <w:sz w:val="21"/>
                <w:szCs w:val="21"/>
                <w:vertAlign w:val="subscript"/>
                <w:lang w:val="en-US" w:eastAsia="zh-CN"/>
              </w:rPr>
              <w:t>2</w:t>
            </w:r>
          </w:p>
        </w:tc>
        <w:tc>
          <w:tcPr>
            <w:tcW w:w="959" w:type="pct"/>
            <w:tcBorders>
              <w:tl2br w:val="nil"/>
              <w:tr2bl w:val="nil"/>
            </w:tcBorders>
            <w:noWrap w:val="0"/>
            <w:vAlign w:val="center"/>
          </w:tcPr>
          <w:p w14:paraId="39365626">
            <w:pPr>
              <w:keepNext w:val="0"/>
              <w:keepLines w:val="0"/>
              <w:widowControl/>
              <w:suppressLineNumbers w:val="0"/>
              <w:adjustRightInd w:val="0"/>
              <w:snapToGrid w:val="0"/>
              <w:spacing w:before="0" w:beforeAutospacing="0" w:after="0" w:afterAutospacing="0" w:line="240" w:lineRule="auto"/>
              <w:ind w:left="0" w:right="0"/>
              <w:jc w:val="center"/>
              <w:textAlignment w:val="bottom"/>
              <w:rPr>
                <w:rStyle w:val="67"/>
                <w:rFonts w:hint="eastAsia" w:ascii="Times New Roman" w:hAnsi="Times New Roman" w:cs="Times New Roman"/>
                <w:lang w:val="en-US" w:eastAsia="zh-CN" w:bidi="ar"/>
              </w:rPr>
            </w:pPr>
            <w:r>
              <w:rPr>
                <w:rFonts w:hint="eastAsia" w:eastAsia="宋体"/>
                <w:color w:val="000000"/>
                <w:sz w:val="21"/>
                <w:szCs w:val="21"/>
                <w:lang w:val="en-US" w:eastAsia="zh-CN"/>
              </w:rPr>
              <w:t>旋风除尘器+沉降室+碱洗喷淋塔</w:t>
            </w:r>
          </w:p>
        </w:tc>
        <w:tc>
          <w:tcPr>
            <w:tcW w:w="1774" w:type="pct"/>
            <w:vMerge w:val="restart"/>
            <w:tcBorders>
              <w:tl2br w:val="nil"/>
              <w:tr2bl w:val="nil"/>
            </w:tcBorders>
            <w:noWrap w:val="0"/>
            <w:vAlign w:val="center"/>
          </w:tcPr>
          <w:p w14:paraId="707CEEAE">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center"/>
              <w:textAlignment w:val="auto"/>
              <w:rPr>
                <w:rFonts w:hint="default"/>
                <w:color w:val="000000"/>
                <w:spacing w:val="0"/>
                <w:kern w:val="0"/>
                <w:sz w:val="21"/>
                <w:szCs w:val="21"/>
              </w:rPr>
            </w:pPr>
            <w:r>
              <w:rPr>
                <w:rFonts w:hint="default" w:ascii="Times New Roman" w:hAnsi="Times New Roman" w:eastAsia="宋体" w:cs="Times New Roman"/>
                <w:color w:val="000000"/>
                <w:spacing w:val="0"/>
                <w:kern w:val="0"/>
                <w:sz w:val="21"/>
                <w:szCs w:val="21"/>
                <w:lang w:val="en-US" w:eastAsia="zh-CN" w:bidi="ar-SA"/>
              </w:rPr>
              <w:t>《关于印发自治州工业窑炉大气污染综合治理实施方案的通知》中重点区域工业窑炉大气污染物排放特别限值</w:t>
            </w:r>
          </w:p>
        </w:tc>
      </w:tr>
      <w:tr w14:paraId="7CAD24D9">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vMerge w:val="continue"/>
            <w:tcBorders>
              <w:tl2br w:val="nil"/>
              <w:tr2bl w:val="nil"/>
            </w:tcBorders>
            <w:noWrap w:val="0"/>
            <w:vAlign w:val="center"/>
          </w:tcPr>
          <w:p w14:paraId="0442309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p>
        </w:tc>
        <w:tc>
          <w:tcPr>
            <w:tcW w:w="357" w:type="pct"/>
            <w:vMerge w:val="continue"/>
            <w:tcBorders>
              <w:tl2br w:val="nil"/>
              <w:tr2bl w:val="nil"/>
            </w:tcBorders>
            <w:noWrap w:val="0"/>
            <w:vAlign w:val="center"/>
          </w:tcPr>
          <w:p w14:paraId="3B216AE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rPr>
            </w:pPr>
          </w:p>
        </w:tc>
        <w:tc>
          <w:tcPr>
            <w:tcW w:w="815" w:type="pct"/>
            <w:vMerge w:val="continue"/>
            <w:tcBorders>
              <w:tl2br w:val="nil"/>
              <w:tr2bl w:val="nil"/>
            </w:tcBorders>
            <w:noWrap w:val="0"/>
            <w:vAlign w:val="center"/>
          </w:tcPr>
          <w:p w14:paraId="0E7EE3F5">
            <w:pPr>
              <w:keepNext w:val="0"/>
              <w:keepLines w:val="0"/>
              <w:suppressLineNumbers w:val="0"/>
              <w:adjustRightInd w:val="0"/>
              <w:snapToGrid w:val="0"/>
              <w:spacing w:before="0" w:beforeAutospacing="0" w:after="0" w:afterAutospacing="0" w:line="240" w:lineRule="auto"/>
              <w:ind w:left="0" w:right="0"/>
              <w:jc w:val="center"/>
              <w:rPr>
                <w:rFonts w:hint="eastAsia"/>
                <w:color w:val="000000"/>
                <w:sz w:val="21"/>
                <w:szCs w:val="21"/>
                <w:lang w:val="en-US" w:eastAsia="zh-CN"/>
              </w:rPr>
            </w:pPr>
          </w:p>
        </w:tc>
        <w:tc>
          <w:tcPr>
            <w:tcW w:w="703" w:type="pct"/>
            <w:tcBorders>
              <w:tl2br w:val="nil"/>
              <w:tr2bl w:val="nil"/>
            </w:tcBorders>
            <w:noWrap w:val="0"/>
            <w:vAlign w:val="center"/>
          </w:tcPr>
          <w:p w14:paraId="5C1935EC">
            <w:pPr>
              <w:keepNext w:val="0"/>
              <w:keepLines w:val="0"/>
              <w:suppressLineNumbers w:val="0"/>
              <w:adjustRightInd w:val="0"/>
              <w:snapToGrid w:val="0"/>
              <w:spacing w:before="0" w:beforeAutospacing="0" w:after="0" w:afterAutospacing="0" w:line="240" w:lineRule="auto"/>
              <w:ind w:left="0" w:right="0"/>
              <w:jc w:val="center"/>
              <w:rPr>
                <w:rFonts w:hint="default"/>
                <w:color w:val="000000"/>
                <w:sz w:val="21"/>
                <w:szCs w:val="21"/>
                <w:lang w:val="en-US" w:eastAsia="zh-CN"/>
              </w:rPr>
            </w:pPr>
            <w:r>
              <w:rPr>
                <w:rFonts w:hint="default" w:eastAsia="宋体"/>
                <w:color w:val="000000"/>
                <w:sz w:val="21"/>
                <w:szCs w:val="21"/>
                <w:lang w:val="en-US" w:eastAsia="zh-CN"/>
              </w:rPr>
              <w:t>NO</w:t>
            </w:r>
            <w:r>
              <w:rPr>
                <w:rFonts w:hint="default" w:eastAsia="宋体"/>
                <w:color w:val="000000"/>
                <w:sz w:val="21"/>
                <w:szCs w:val="21"/>
                <w:vertAlign w:val="subscript"/>
                <w:lang w:val="en-US" w:eastAsia="zh-CN"/>
              </w:rPr>
              <w:t>X</w:t>
            </w:r>
          </w:p>
        </w:tc>
        <w:tc>
          <w:tcPr>
            <w:tcW w:w="959" w:type="pct"/>
            <w:tcBorders>
              <w:tl2br w:val="nil"/>
              <w:tr2bl w:val="nil"/>
            </w:tcBorders>
            <w:noWrap w:val="0"/>
            <w:vAlign w:val="center"/>
          </w:tcPr>
          <w:p w14:paraId="6ECC3AF5">
            <w:pPr>
              <w:keepNext w:val="0"/>
              <w:keepLines w:val="0"/>
              <w:widowControl/>
              <w:suppressLineNumbers w:val="0"/>
              <w:adjustRightInd w:val="0"/>
              <w:snapToGrid w:val="0"/>
              <w:spacing w:before="0" w:beforeAutospacing="0" w:after="0" w:afterAutospacing="0" w:line="240" w:lineRule="auto"/>
              <w:ind w:left="0" w:right="0"/>
              <w:jc w:val="center"/>
              <w:textAlignment w:val="bottom"/>
              <w:rPr>
                <w:rStyle w:val="67"/>
                <w:rFonts w:hint="default" w:ascii="Times New Roman" w:hAnsi="Times New Roman" w:cs="Times New Roman"/>
                <w:lang w:val="en-US" w:eastAsia="zh-CN" w:bidi="ar"/>
              </w:rPr>
            </w:pPr>
            <w:r>
              <w:rPr>
                <w:rStyle w:val="67"/>
                <w:rFonts w:hint="eastAsia" w:ascii="Times New Roman" w:hAnsi="Times New Roman" w:cs="Times New Roman"/>
                <w:lang w:val="en-US" w:eastAsia="zh-CN" w:bidi="ar"/>
              </w:rPr>
              <w:t>低氮燃烧器</w:t>
            </w:r>
          </w:p>
        </w:tc>
        <w:tc>
          <w:tcPr>
            <w:tcW w:w="1774" w:type="pct"/>
            <w:vMerge w:val="continue"/>
            <w:tcBorders>
              <w:tl2br w:val="nil"/>
              <w:tr2bl w:val="nil"/>
            </w:tcBorders>
            <w:noWrap w:val="0"/>
            <w:vAlign w:val="center"/>
          </w:tcPr>
          <w:p w14:paraId="08D62DB2">
            <w:pPr>
              <w:pStyle w:val="3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jc w:val="center"/>
              <w:textAlignment w:val="auto"/>
              <w:rPr>
                <w:rFonts w:hint="default"/>
                <w:color w:val="000000"/>
                <w:spacing w:val="0"/>
                <w:kern w:val="0"/>
                <w:sz w:val="21"/>
                <w:szCs w:val="21"/>
              </w:rPr>
            </w:pPr>
          </w:p>
        </w:tc>
      </w:tr>
      <w:tr w14:paraId="38812503">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7F28915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声环境</w:t>
            </w:r>
          </w:p>
        </w:tc>
        <w:tc>
          <w:tcPr>
            <w:tcW w:w="1173" w:type="pct"/>
            <w:gridSpan w:val="2"/>
            <w:tcBorders>
              <w:tl2br w:val="nil"/>
              <w:tr2bl w:val="nil"/>
            </w:tcBorders>
            <w:noWrap w:val="0"/>
            <w:vAlign w:val="center"/>
          </w:tcPr>
          <w:p w14:paraId="7A706CB5">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生产设备</w:t>
            </w:r>
          </w:p>
        </w:tc>
        <w:tc>
          <w:tcPr>
            <w:tcW w:w="703" w:type="pct"/>
            <w:tcBorders>
              <w:tl2br w:val="nil"/>
              <w:tr2bl w:val="nil"/>
            </w:tcBorders>
            <w:noWrap w:val="0"/>
            <w:vAlign w:val="center"/>
          </w:tcPr>
          <w:p w14:paraId="6A44ACD0">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噪声级</w:t>
            </w:r>
          </w:p>
        </w:tc>
        <w:tc>
          <w:tcPr>
            <w:tcW w:w="959" w:type="pct"/>
            <w:tcBorders>
              <w:tl2br w:val="nil"/>
              <w:tr2bl w:val="nil"/>
            </w:tcBorders>
            <w:noWrap w:val="0"/>
            <w:vAlign w:val="center"/>
          </w:tcPr>
          <w:p w14:paraId="77420C28">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厂房隔声、基础</w:t>
            </w:r>
            <w:r>
              <w:rPr>
                <w:rFonts w:hint="eastAsia"/>
                <w:sz w:val="21"/>
                <w:szCs w:val="21"/>
                <w:lang w:eastAsia="zh-CN"/>
              </w:rPr>
              <w:t>减振</w:t>
            </w:r>
            <w:r>
              <w:rPr>
                <w:rFonts w:hint="default"/>
                <w:sz w:val="21"/>
                <w:szCs w:val="21"/>
              </w:rPr>
              <w:t>、设备维护</w:t>
            </w:r>
          </w:p>
        </w:tc>
        <w:tc>
          <w:tcPr>
            <w:tcW w:w="1774" w:type="pct"/>
            <w:tcBorders>
              <w:tl2br w:val="nil"/>
              <w:tr2bl w:val="nil"/>
            </w:tcBorders>
            <w:noWrap w:val="0"/>
            <w:vAlign w:val="center"/>
          </w:tcPr>
          <w:p w14:paraId="7A55EF5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《工业企业厂界环境噪声排放标准》（GB</w:t>
            </w:r>
            <w:r>
              <w:rPr>
                <w:rFonts w:hint="eastAsia"/>
                <w:sz w:val="21"/>
                <w:szCs w:val="21"/>
                <w:lang w:val="en-US" w:eastAsia="zh-CN"/>
              </w:rPr>
              <w:t xml:space="preserve"> </w:t>
            </w:r>
            <w:r>
              <w:rPr>
                <w:rFonts w:hint="default"/>
                <w:sz w:val="21"/>
                <w:szCs w:val="21"/>
              </w:rPr>
              <w:t>12348-2008）中的3类标准</w:t>
            </w:r>
          </w:p>
        </w:tc>
      </w:tr>
      <w:tr w14:paraId="3835D89E">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14D4751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电磁辐射</w:t>
            </w:r>
          </w:p>
        </w:tc>
        <w:tc>
          <w:tcPr>
            <w:tcW w:w="1173" w:type="pct"/>
            <w:gridSpan w:val="2"/>
            <w:tcBorders>
              <w:tl2br w:val="nil"/>
              <w:tr2bl w:val="nil"/>
            </w:tcBorders>
            <w:noWrap w:val="0"/>
            <w:vAlign w:val="center"/>
          </w:tcPr>
          <w:p w14:paraId="3BC4FB90">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w:t>
            </w:r>
          </w:p>
        </w:tc>
        <w:tc>
          <w:tcPr>
            <w:tcW w:w="703" w:type="pct"/>
            <w:tcBorders>
              <w:tl2br w:val="nil"/>
              <w:tr2bl w:val="nil"/>
            </w:tcBorders>
            <w:noWrap w:val="0"/>
            <w:vAlign w:val="center"/>
          </w:tcPr>
          <w:p w14:paraId="75577A8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w:t>
            </w:r>
          </w:p>
        </w:tc>
        <w:tc>
          <w:tcPr>
            <w:tcW w:w="959" w:type="pct"/>
            <w:tcBorders>
              <w:tl2br w:val="nil"/>
              <w:tr2bl w:val="nil"/>
            </w:tcBorders>
            <w:noWrap w:val="0"/>
            <w:vAlign w:val="center"/>
          </w:tcPr>
          <w:p w14:paraId="0CEFE3CE">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w:t>
            </w:r>
          </w:p>
        </w:tc>
        <w:tc>
          <w:tcPr>
            <w:tcW w:w="1774" w:type="pct"/>
            <w:tcBorders>
              <w:tl2br w:val="nil"/>
              <w:tr2bl w:val="nil"/>
            </w:tcBorders>
            <w:noWrap w:val="0"/>
            <w:vAlign w:val="center"/>
          </w:tcPr>
          <w:p w14:paraId="4A27ED48">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w:t>
            </w:r>
          </w:p>
        </w:tc>
      </w:tr>
      <w:tr w14:paraId="3F07552D">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5D98AE5C">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highlight w:val="none"/>
              </w:rPr>
              <w:t>固体废物</w:t>
            </w:r>
          </w:p>
        </w:tc>
        <w:tc>
          <w:tcPr>
            <w:tcW w:w="4610" w:type="pct"/>
            <w:gridSpan w:val="5"/>
            <w:tcBorders>
              <w:tl2br w:val="nil"/>
              <w:tr2bl w:val="nil"/>
            </w:tcBorders>
            <w:noWrap w:val="0"/>
            <w:vAlign w:val="center"/>
          </w:tcPr>
          <w:p w14:paraId="12B12FEF">
            <w:pPr>
              <w:keepNext w:val="0"/>
              <w:keepLines w:val="0"/>
              <w:suppressLineNumbers w:val="0"/>
              <w:adjustRightInd w:val="0"/>
              <w:snapToGrid w:val="0"/>
              <w:spacing w:before="0" w:beforeAutospacing="0" w:after="0" w:afterAutospacing="0" w:line="240" w:lineRule="auto"/>
              <w:ind w:left="0" w:right="0"/>
              <w:jc w:val="left"/>
              <w:rPr>
                <w:rFonts w:hint="eastAsia"/>
              </w:rPr>
            </w:pPr>
            <w:r>
              <w:rPr>
                <w:rFonts w:hint="eastAsia"/>
                <w:sz w:val="21"/>
                <w:szCs w:val="21"/>
                <w:highlight w:val="none"/>
                <w:lang w:val="en-US" w:eastAsia="zh-CN"/>
              </w:rPr>
              <w:t>废棉尘、铁磁性杂质、异常籽、瘪籽及轻杂物集中收集后外售；氢氧化钠包装袋、</w:t>
            </w:r>
            <w:r>
              <w:rPr>
                <w:rFonts w:hint="eastAsia"/>
                <w:sz w:val="21"/>
                <w:szCs w:val="21"/>
                <w:highlight w:val="none"/>
              </w:rPr>
              <w:t>废润滑油</w:t>
            </w:r>
            <w:r>
              <w:rPr>
                <w:rFonts w:hint="eastAsia"/>
                <w:sz w:val="21"/>
                <w:szCs w:val="21"/>
                <w:highlight w:val="none"/>
                <w:lang w:eastAsia="zh-CN"/>
              </w:rPr>
              <w:t>、</w:t>
            </w:r>
            <w:r>
              <w:rPr>
                <w:rFonts w:hint="eastAsia"/>
                <w:sz w:val="21"/>
                <w:szCs w:val="21"/>
                <w:highlight w:val="none"/>
                <w:lang w:val="en-US" w:eastAsia="zh-CN"/>
              </w:rPr>
              <w:t>废油桶及沾染含油污泥的废手套、废抹布</w:t>
            </w:r>
            <w:r>
              <w:rPr>
                <w:rFonts w:hint="eastAsia"/>
                <w:sz w:val="21"/>
                <w:szCs w:val="21"/>
                <w:highlight w:val="none"/>
              </w:rPr>
              <w:t>等危险固废收集暂存于</w:t>
            </w:r>
            <w:r>
              <w:rPr>
                <w:rFonts w:hint="eastAsia"/>
                <w:sz w:val="21"/>
                <w:szCs w:val="21"/>
                <w:highlight w:val="none"/>
                <w:lang w:eastAsia="zh-CN"/>
              </w:rPr>
              <w:t>危险废物贮存库</w:t>
            </w:r>
            <w:r>
              <w:rPr>
                <w:rFonts w:hint="eastAsia"/>
                <w:sz w:val="21"/>
                <w:szCs w:val="21"/>
                <w:highlight w:val="none"/>
              </w:rPr>
              <w:t>，定期交由有资质的单位处理。</w:t>
            </w:r>
          </w:p>
        </w:tc>
      </w:tr>
      <w:tr w14:paraId="7D68B532">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4E39F44E">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highlight w:val="none"/>
              </w:rPr>
            </w:pPr>
            <w:r>
              <w:rPr>
                <w:rFonts w:hint="default"/>
                <w:sz w:val="21"/>
                <w:szCs w:val="21"/>
                <w:highlight w:val="none"/>
              </w:rPr>
              <w:t>土壤及地下水</w:t>
            </w:r>
          </w:p>
          <w:p w14:paraId="1F284AF2">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highlight w:val="none"/>
              </w:rPr>
              <w:t>污染防治措施</w:t>
            </w:r>
          </w:p>
        </w:tc>
        <w:tc>
          <w:tcPr>
            <w:tcW w:w="4610" w:type="pct"/>
            <w:gridSpan w:val="5"/>
            <w:tcBorders>
              <w:tl2br w:val="nil"/>
              <w:tr2bl w:val="nil"/>
            </w:tcBorders>
            <w:noWrap w:val="0"/>
            <w:vAlign w:val="center"/>
          </w:tcPr>
          <w:p w14:paraId="128A98D8">
            <w:pPr>
              <w:keepNext w:val="0"/>
              <w:keepLines w:val="0"/>
              <w:suppressLineNumbers w:val="0"/>
              <w:adjustRightInd w:val="0"/>
              <w:snapToGrid w:val="0"/>
              <w:spacing w:before="0" w:beforeAutospacing="0" w:after="0" w:afterAutospacing="0" w:line="240" w:lineRule="auto"/>
              <w:ind w:left="0" w:right="0"/>
              <w:jc w:val="left"/>
              <w:rPr>
                <w:rFonts w:hint="eastAsia" w:eastAsia="宋体"/>
                <w:sz w:val="21"/>
                <w:szCs w:val="21"/>
                <w:lang w:eastAsia="zh-CN"/>
              </w:rPr>
            </w:pPr>
            <w:r>
              <w:rPr>
                <w:rFonts w:hint="eastAsia"/>
                <w:sz w:val="21"/>
                <w:szCs w:val="21"/>
                <w:lang w:val="en-US" w:eastAsia="zh-CN"/>
              </w:rPr>
              <w:t>危险废物贮存库为重点防渗，对危险废物贮存库采取防风、防雨、防晒和防治危险废物流失等措施，危险废物贮存库地面采取防腐防渗措施并按《危险废物贮存污染控制标准》（GB18597-2023）进行设计；</w:t>
            </w:r>
            <w:r>
              <w:rPr>
                <w:rFonts w:hint="eastAsia"/>
                <w:color w:val="000000"/>
                <w:spacing w:val="0"/>
                <w:kern w:val="0"/>
                <w:sz w:val="21"/>
                <w:szCs w:val="21"/>
                <w:lang w:val="en-US" w:eastAsia="zh-CN"/>
              </w:rPr>
              <w:t>硫酸储罐区</w:t>
            </w:r>
            <w:r>
              <w:rPr>
                <w:rFonts w:hint="eastAsia"/>
                <w:sz w:val="21"/>
                <w:szCs w:val="21"/>
                <w:lang w:val="en-US" w:eastAsia="zh-CN"/>
              </w:rPr>
              <w:t>为重点防渗区，</w:t>
            </w:r>
            <w:r>
              <w:rPr>
                <w:rFonts w:hint="default"/>
                <w:sz w:val="21"/>
                <w:szCs w:val="21"/>
              </w:rPr>
              <w:t>严格按照《环境影响评价技术导则 地下水环境》（HJ 610-2016）</w:t>
            </w:r>
            <w:r>
              <w:rPr>
                <w:rFonts w:hint="eastAsia"/>
                <w:sz w:val="21"/>
                <w:szCs w:val="21"/>
                <w:lang w:val="en-US" w:eastAsia="zh-CN"/>
              </w:rPr>
              <w:t>及《石油化工工程防渗技术规范》（GB/T 50934-2013）的</w:t>
            </w:r>
            <w:r>
              <w:rPr>
                <w:rFonts w:hint="default"/>
                <w:sz w:val="21"/>
                <w:szCs w:val="21"/>
              </w:rPr>
              <w:t>要求制定防渗措施</w:t>
            </w:r>
            <w:r>
              <w:rPr>
                <w:rFonts w:hint="eastAsia"/>
                <w:sz w:val="21"/>
                <w:szCs w:val="21"/>
                <w:lang w:eastAsia="zh-CN"/>
              </w:rPr>
              <w:t>；</w:t>
            </w:r>
            <w:r>
              <w:rPr>
                <w:rFonts w:hint="eastAsia"/>
                <w:sz w:val="21"/>
                <w:szCs w:val="21"/>
                <w:lang w:val="en-US" w:eastAsia="zh-CN"/>
              </w:rPr>
              <w:t>厂房</w:t>
            </w:r>
            <w:r>
              <w:rPr>
                <w:rFonts w:hint="default"/>
                <w:sz w:val="21"/>
                <w:szCs w:val="21"/>
              </w:rPr>
              <w:t>作为一般防渗区，严格按照《环境影响评价技术导则 地下水环境》（HJ 610-2016）要求制定防渗措施</w:t>
            </w:r>
            <w:r>
              <w:rPr>
                <w:rFonts w:hint="eastAsia"/>
                <w:sz w:val="21"/>
                <w:szCs w:val="21"/>
                <w:lang w:eastAsia="zh-CN"/>
              </w:rPr>
              <w:t>；</w:t>
            </w:r>
            <w:r>
              <w:rPr>
                <w:rFonts w:hint="eastAsia"/>
                <w:sz w:val="21"/>
                <w:szCs w:val="21"/>
                <w:lang w:val="en-US" w:eastAsia="zh-CN"/>
              </w:rPr>
              <w:t>简单防渗区包括其他生活设施，仅做一般地面硬化</w:t>
            </w:r>
          </w:p>
        </w:tc>
      </w:tr>
      <w:tr w14:paraId="2CB3A3BA">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3E760E11">
            <w:pPr>
              <w:keepNext w:val="0"/>
              <w:keepLines w:val="0"/>
              <w:suppressLineNumbers w:val="0"/>
              <w:adjustRightInd w:val="0"/>
              <w:snapToGrid w:val="0"/>
              <w:spacing w:before="0" w:beforeAutospacing="0" w:after="0" w:afterAutospacing="0" w:line="240" w:lineRule="auto"/>
              <w:ind w:left="0" w:right="0"/>
              <w:jc w:val="center"/>
              <w:rPr>
                <w:rFonts w:hint="default"/>
                <w:sz w:val="21"/>
                <w:szCs w:val="21"/>
              </w:rPr>
            </w:pPr>
            <w:r>
              <w:rPr>
                <w:rFonts w:hint="default"/>
                <w:sz w:val="21"/>
                <w:szCs w:val="21"/>
              </w:rPr>
              <w:t>生态保护措施</w:t>
            </w:r>
          </w:p>
        </w:tc>
        <w:tc>
          <w:tcPr>
            <w:tcW w:w="4610" w:type="pct"/>
            <w:gridSpan w:val="5"/>
            <w:tcBorders>
              <w:tl2br w:val="nil"/>
              <w:tr2bl w:val="nil"/>
            </w:tcBorders>
            <w:noWrap w:val="0"/>
            <w:vAlign w:val="center"/>
          </w:tcPr>
          <w:p w14:paraId="3D569BDE">
            <w:pPr>
              <w:keepNext w:val="0"/>
              <w:keepLines w:val="0"/>
              <w:suppressLineNumbers w:val="0"/>
              <w:adjustRightInd w:val="0"/>
              <w:snapToGrid w:val="0"/>
              <w:spacing w:before="0" w:beforeAutospacing="0" w:after="0" w:afterAutospacing="0" w:line="240" w:lineRule="auto"/>
              <w:ind w:left="0" w:right="0"/>
              <w:jc w:val="left"/>
              <w:rPr>
                <w:rFonts w:hint="default"/>
                <w:sz w:val="21"/>
                <w:szCs w:val="21"/>
              </w:rPr>
            </w:pPr>
            <w:r>
              <w:rPr>
                <w:rFonts w:hint="default"/>
                <w:sz w:val="21"/>
                <w:szCs w:val="21"/>
              </w:rPr>
              <w:t>/</w:t>
            </w:r>
          </w:p>
        </w:tc>
      </w:tr>
      <w:tr w14:paraId="19790584">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62D52477">
            <w:pPr>
              <w:keepNext w:val="0"/>
              <w:keepLines w:val="0"/>
              <w:suppressLineNumbers w:val="0"/>
              <w:adjustRightInd w:val="0"/>
              <w:snapToGrid w:val="0"/>
              <w:spacing w:before="0" w:beforeAutospacing="0" w:after="0" w:afterAutospacing="0" w:line="240" w:lineRule="auto"/>
              <w:ind w:left="0" w:right="0"/>
              <w:jc w:val="center"/>
              <w:rPr>
                <w:rFonts w:hint="default"/>
                <w:spacing w:val="-8"/>
                <w:sz w:val="21"/>
                <w:szCs w:val="21"/>
              </w:rPr>
            </w:pPr>
            <w:r>
              <w:rPr>
                <w:rFonts w:hint="default"/>
                <w:spacing w:val="-8"/>
                <w:sz w:val="21"/>
                <w:szCs w:val="21"/>
              </w:rPr>
              <w:t>环境风险</w:t>
            </w:r>
          </w:p>
          <w:p w14:paraId="33250224">
            <w:pPr>
              <w:keepNext w:val="0"/>
              <w:keepLines w:val="0"/>
              <w:suppressLineNumbers w:val="0"/>
              <w:adjustRightInd w:val="0"/>
              <w:snapToGrid w:val="0"/>
              <w:spacing w:before="0" w:beforeAutospacing="0" w:after="0" w:afterAutospacing="0" w:line="240" w:lineRule="auto"/>
              <w:ind w:left="0" w:right="0"/>
              <w:jc w:val="center"/>
              <w:rPr>
                <w:rFonts w:hint="default"/>
                <w:spacing w:val="-8"/>
                <w:sz w:val="21"/>
                <w:szCs w:val="21"/>
              </w:rPr>
            </w:pPr>
            <w:r>
              <w:rPr>
                <w:rFonts w:hint="default"/>
                <w:spacing w:val="-8"/>
                <w:sz w:val="21"/>
                <w:szCs w:val="21"/>
              </w:rPr>
              <w:t>防范措施</w:t>
            </w:r>
          </w:p>
        </w:tc>
        <w:tc>
          <w:tcPr>
            <w:tcW w:w="4610" w:type="pct"/>
            <w:gridSpan w:val="5"/>
            <w:tcBorders>
              <w:tl2br w:val="nil"/>
              <w:tr2bl w:val="nil"/>
            </w:tcBorders>
            <w:noWrap w:val="0"/>
            <w:vAlign w:val="center"/>
          </w:tcPr>
          <w:p w14:paraId="4397B043">
            <w:pPr>
              <w:keepNext w:val="0"/>
              <w:keepLines w:val="0"/>
              <w:suppressLineNumbers w:val="0"/>
              <w:tabs>
                <w:tab w:val="left" w:pos="624"/>
              </w:tabs>
              <w:adjustRightInd w:val="0"/>
              <w:snapToGrid w:val="0"/>
              <w:spacing w:before="0" w:beforeAutospacing="0" w:after="0" w:afterAutospacing="0" w:line="240" w:lineRule="auto"/>
              <w:ind w:left="0" w:right="0"/>
              <w:jc w:val="left"/>
              <w:rPr>
                <w:rFonts w:hint="default"/>
                <w:sz w:val="21"/>
                <w:szCs w:val="21"/>
              </w:rPr>
            </w:pPr>
            <w:r>
              <w:rPr>
                <w:rFonts w:hint="default"/>
                <w:sz w:val="21"/>
                <w:szCs w:val="21"/>
              </w:rPr>
              <w:t>①项目各原料按照规定进行存放，原料、成品的堆放应有一定的间距、不得堵塞消防通道和消防设施；</w:t>
            </w:r>
          </w:p>
          <w:p w14:paraId="04E310C5">
            <w:pPr>
              <w:keepNext w:val="0"/>
              <w:keepLines w:val="0"/>
              <w:suppressLineNumbers w:val="0"/>
              <w:tabs>
                <w:tab w:val="left" w:pos="624"/>
              </w:tabs>
              <w:adjustRightInd w:val="0"/>
              <w:snapToGrid w:val="0"/>
              <w:spacing w:before="0" w:beforeAutospacing="0" w:after="0" w:afterAutospacing="0" w:line="240" w:lineRule="auto"/>
              <w:ind w:left="0" w:right="0"/>
              <w:jc w:val="left"/>
              <w:rPr>
                <w:rFonts w:hint="default"/>
                <w:sz w:val="21"/>
                <w:szCs w:val="21"/>
              </w:rPr>
            </w:pPr>
            <w:r>
              <w:rPr>
                <w:rFonts w:hint="eastAsia"/>
                <w:sz w:val="21"/>
                <w:szCs w:val="21"/>
                <w:lang w:val="en-US" w:eastAsia="zh-CN"/>
              </w:rPr>
              <w:t>②</w:t>
            </w:r>
            <w:r>
              <w:rPr>
                <w:rFonts w:hint="default"/>
                <w:sz w:val="21"/>
                <w:szCs w:val="21"/>
              </w:rPr>
              <w:t>对装置周围可能的明火、电器火花和撞击火花进行控制管理，张贴禁火标识，严禁危险区内吸烟和违章动用明火；</w:t>
            </w:r>
          </w:p>
          <w:p w14:paraId="295493A6">
            <w:pPr>
              <w:keepNext w:val="0"/>
              <w:keepLines w:val="0"/>
              <w:suppressLineNumbers w:val="0"/>
              <w:tabs>
                <w:tab w:val="left" w:pos="624"/>
              </w:tabs>
              <w:adjustRightInd w:val="0"/>
              <w:snapToGrid w:val="0"/>
              <w:spacing w:before="0" w:beforeAutospacing="0" w:after="0" w:afterAutospacing="0" w:line="240" w:lineRule="auto"/>
              <w:ind w:left="0" w:right="0"/>
              <w:jc w:val="left"/>
              <w:rPr>
                <w:rFonts w:hint="default"/>
                <w:sz w:val="21"/>
                <w:szCs w:val="21"/>
              </w:rPr>
            </w:pPr>
            <w:r>
              <w:rPr>
                <w:rFonts w:hint="eastAsia"/>
                <w:sz w:val="21"/>
                <w:szCs w:val="21"/>
                <w:lang w:val="en-US" w:eastAsia="zh-CN"/>
              </w:rPr>
              <w:t>③</w:t>
            </w:r>
            <w:r>
              <w:rPr>
                <w:rFonts w:hint="default"/>
                <w:sz w:val="21"/>
                <w:szCs w:val="21"/>
              </w:rPr>
              <w:t>在可能发生火灾的区域，根据其火灾危险性、区域大小等实际情况，分别配置一定数量不同类型、不同规格的移动式灭火器材，以便及时扑救初始零星火灾；</w:t>
            </w:r>
          </w:p>
          <w:p w14:paraId="447D0F86">
            <w:pPr>
              <w:keepNext w:val="0"/>
              <w:keepLines w:val="0"/>
              <w:suppressLineNumbers w:val="0"/>
              <w:adjustRightInd w:val="0"/>
              <w:snapToGrid w:val="0"/>
              <w:spacing w:before="0" w:beforeAutospacing="0" w:after="0" w:afterAutospacing="0" w:line="240" w:lineRule="auto"/>
              <w:ind w:left="0" w:right="0"/>
              <w:jc w:val="left"/>
              <w:rPr>
                <w:rFonts w:hint="default"/>
                <w:sz w:val="21"/>
                <w:szCs w:val="21"/>
              </w:rPr>
            </w:pPr>
            <w:r>
              <w:rPr>
                <w:rFonts w:hint="eastAsia"/>
                <w:sz w:val="21"/>
                <w:szCs w:val="21"/>
                <w:lang w:val="en-US" w:eastAsia="zh-CN"/>
              </w:rPr>
              <w:t>④</w:t>
            </w:r>
            <w:r>
              <w:rPr>
                <w:rFonts w:hint="eastAsia"/>
                <w:sz w:val="21"/>
                <w:szCs w:val="21"/>
                <w:lang w:eastAsia="zh-CN"/>
              </w:rPr>
              <w:t>危险废物贮存库</w:t>
            </w:r>
            <w:r>
              <w:rPr>
                <w:rFonts w:hint="default"/>
                <w:sz w:val="21"/>
                <w:szCs w:val="21"/>
              </w:rPr>
              <w:t>由专人负责管理，如实记录危险废物废机油的产生、暂存、转运等信息，危险废物需送交有资质单位回收处置，不得交由无处置资质的单位及个人进行回收。</w:t>
            </w:r>
          </w:p>
        </w:tc>
      </w:tr>
      <w:tr w14:paraId="6B900631">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jc w:val="center"/>
        </w:trPr>
        <w:tc>
          <w:tcPr>
            <w:tcW w:w="389" w:type="pct"/>
            <w:tcBorders>
              <w:tl2br w:val="nil"/>
              <w:tr2bl w:val="nil"/>
            </w:tcBorders>
            <w:noWrap w:val="0"/>
            <w:vAlign w:val="center"/>
          </w:tcPr>
          <w:p w14:paraId="0CDD7C82">
            <w:pPr>
              <w:keepNext w:val="0"/>
              <w:keepLines w:val="0"/>
              <w:suppressLineNumbers w:val="0"/>
              <w:adjustRightInd w:val="0"/>
              <w:snapToGrid w:val="0"/>
              <w:spacing w:before="0" w:beforeAutospacing="0" w:after="0" w:afterAutospacing="0" w:line="240" w:lineRule="auto"/>
              <w:ind w:left="0" w:right="0"/>
              <w:jc w:val="center"/>
              <w:rPr>
                <w:rFonts w:hint="default"/>
                <w:spacing w:val="-8"/>
                <w:sz w:val="21"/>
                <w:szCs w:val="21"/>
              </w:rPr>
            </w:pPr>
            <w:r>
              <w:rPr>
                <w:rFonts w:hint="default"/>
                <w:spacing w:val="-8"/>
                <w:sz w:val="21"/>
                <w:szCs w:val="21"/>
              </w:rPr>
              <w:t>其他环境</w:t>
            </w:r>
          </w:p>
          <w:p w14:paraId="3D3AFF01">
            <w:pPr>
              <w:keepNext w:val="0"/>
              <w:keepLines w:val="0"/>
              <w:suppressLineNumbers w:val="0"/>
              <w:adjustRightInd w:val="0"/>
              <w:snapToGrid w:val="0"/>
              <w:spacing w:before="0" w:beforeAutospacing="0" w:after="0" w:afterAutospacing="0" w:line="240" w:lineRule="auto"/>
              <w:ind w:left="0" w:right="0"/>
              <w:jc w:val="center"/>
              <w:rPr>
                <w:rFonts w:hint="default"/>
                <w:spacing w:val="-8"/>
                <w:sz w:val="21"/>
                <w:szCs w:val="21"/>
              </w:rPr>
            </w:pPr>
            <w:r>
              <w:rPr>
                <w:rFonts w:hint="default"/>
                <w:spacing w:val="-8"/>
                <w:sz w:val="21"/>
                <w:szCs w:val="21"/>
              </w:rPr>
              <w:t>管理要求</w:t>
            </w:r>
          </w:p>
        </w:tc>
        <w:tc>
          <w:tcPr>
            <w:tcW w:w="4610" w:type="pct"/>
            <w:gridSpan w:val="5"/>
            <w:tcBorders>
              <w:tl2br w:val="nil"/>
              <w:tr2bl w:val="nil"/>
            </w:tcBorders>
            <w:noWrap w:val="0"/>
            <w:vAlign w:val="center"/>
          </w:tcPr>
          <w:p w14:paraId="76350110">
            <w:pPr>
              <w:keepNext w:val="0"/>
              <w:keepLines w:val="0"/>
              <w:suppressLineNumbers w:val="0"/>
              <w:adjustRightInd w:val="0"/>
              <w:snapToGrid w:val="0"/>
              <w:spacing w:before="0" w:beforeAutospacing="0" w:after="0" w:afterAutospacing="0" w:line="240" w:lineRule="auto"/>
              <w:ind w:left="0" w:right="0"/>
              <w:rPr>
                <w:rFonts w:hint="default"/>
                <w:sz w:val="21"/>
                <w:szCs w:val="21"/>
              </w:rPr>
            </w:pPr>
            <w:r>
              <w:rPr>
                <w:rFonts w:hint="default"/>
                <w:sz w:val="21"/>
                <w:szCs w:val="21"/>
              </w:rPr>
              <w:t>（</w:t>
            </w:r>
            <w:r>
              <w:rPr>
                <w:rFonts w:hint="eastAsia"/>
                <w:sz w:val="21"/>
                <w:szCs w:val="21"/>
                <w:lang w:val="en-US" w:eastAsia="zh-CN"/>
              </w:rPr>
              <w:t>1</w:t>
            </w:r>
            <w:r>
              <w:rPr>
                <w:rFonts w:hint="default"/>
                <w:sz w:val="21"/>
                <w:szCs w:val="21"/>
              </w:rPr>
              <w:t>）按照《排污许可管理条例》（中华人民共和国国务院令第736号）要求，企业在建成实际排污前应依法</w:t>
            </w:r>
            <w:r>
              <w:rPr>
                <w:rFonts w:hint="eastAsia"/>
                <w:sz w:val="21"/>
                <w:szCs w:val="21"/>
                <w:lang w:val="en-US" w:eastAsia="zh-CN"/>
              </w:rPr>
              <w:t>进行排污许可证申请</w:t>
            </w:r>
            <w:r>
              <w:rPr>
                <w:rFonts w:hint="default"/>
                <w:sz w:val="21"/>
                <w:szCs w:val="21"/>
                <w:lang w:val="en-US" w:eastAsia="zh-CN"/>
              </w:rPr>
              <w:t>填写排污许可登记</w:t>
            </w:r>
            <w:r>
              <w:rPr>
                <w:rFonts w:hint="default"/>
                <w:sz w:val="21"/>
                <w:szCs w:val="21"/>
              </w:rPr>
              <w:t>，未取得排污</w:t>
            </w:r>
            <w:r>
              <w:rPr>
                <w:rFonts w:hint="eastAsia"/>
                <w:sz w:val="21"/>
                <w:szCs w:val="21"/>
                <w:lang w:val="en-US" w:eastAsia="zh-CN"/>
              </w:rPr>
              <w:t>登记</w:t>
            </w:r>
            <w:r>
              <w:rPr>
                <w:rFonts w:hint="default"/>
                <w:sz w:val="21"/>
                <w:szCs w:val="21"/>
              </w:rPr>
              <w:t>的，不得排放污染物。</w:t>
            </w:r>
          </w:p>
          <w:p w14:paraId="38B5D356">
            <w:pPr>
              <w:keepNext w:val="0"/>
              <w:keepLines w:val="0"/>
              <w:suppressLineNumbers w:val="0"/>
              <w:adjustRightInd w:val="0"/>
              <w:snapToGrid w:val="0"/>
              <w:spacing w:before="0" w:beforeAutospacing="0" w:after="0" w:afterAutospacing="0" w:line="240" w:lineRule="auto"/>
              <w:ind w:left="0" w:right="0"/>
              <w:rPr>
                <w:rFonts w:hint="default"/>
                <w:sz w:val="21"/>
                <w:szCs w:val="21"/>
              </w:rPr>
            </w:pPr>
            <w:r>
              <w:rPr>
                <w:rFonts w:hint="default"/>
                <w:sz w:val="21"/>
                <w:szCs w:val="21"/>
              </w:rPr>
              <w:t>（</w:t>
            </w:r>
            <w:r>
              <w:rPr>
                <w:rFonts w:hint="eastAsia"/>
                <w:sz w:val="21"/>
                <w:szCs w:val="21"/>
                <w:lang w:val="en-US" w:eastAsia="zh-CN"/>
              </w:rPr>
              <w:t>2</w:t>
            </w:r>
            <w:r>
              <w:rPr>
                <w:rFonts w:hint="default"/>
                <w:sz w:val="21"/>
                <w:szCs w:val="21"/>
              </w:rPr>
              <w:t>）建设项目竣工后，由建设单位根据《建设项目竣工环境保护验收技术指南污染影响类》按照规定程序和标准自行组织</w:t>
            </w:r>
            <w:r>
              <w:rPr>
                <w:rFonts w:hint="eastAsia"/>
                <w:sz w:val="21"/>
                <w:szCs w:val="21"/>
              </w:rPr>
              <w:t>“</w:t>
            </w:r>
            <w:r>
              <w:rPr>
                <w:rFonts w:hint="default"/>
                <w:sz w:val="21"/>
                <w:szCs w:val="21"/>
              </w:rPr>
              <w:t>三同时</w:t>
            </w:r>
            <w:r>
              <w:rPr>
                <w:rFonts w:hint="eastAsia"/>
                <w:sz w:val="21"/>
                <w:szCs w:val="21"/>
              </w:rPr>
              <w:t>”</w:t>
            </w:r>
            <w:r>
              <w:rPr>
                <w:rFonts w:hint="default"/>
                <w:sz w:val="21"/>
                <w:szCs w:val="21"/>
              </w:rPr>
              <w:t>环保竣工验收，不具备编制验收监测（调查）报告能力的，可委托有能力的技术机构进行编制；企业在正常运行期间，设置危废管理台账，按照固废防治法等要求进行危废暂存、处置，不得随意丢弃及擅自处置。</w:t>
            </w:r>
          </w:p>
          <w:p w14:paraId="68B2BDED">
            <w:pPr>
              <w:keepNext w:val="0"/>
              <w:keepLines w:val="0"/>
              <w:suppressLineNumbers w:val="0"/>
              <w:adjustRightInd w:val="0"/>
              <w:snapToGrid w:val="0"/>
              <w:spacing w:before="0" w:beforeAutospacing="0" w:after="0" w:afterAutospacing="0" w:line="240" w:lineRule="auto"/>
              <w:ind w:left="0" w:right="0"/>
              <w:rPr>
                <w:rFonts w:hint="default"/>
                <w:sz w:val="21"/>
                <w:szCs w:val="21"/>
              </w:rPr>
            </w:pPr>
            <w:r>
              <w:rPr>
                <w:rFonts w:hint="default"/>
                <w:sz w:val="21"/>
                <w:szCs w:val="21"/>
              </w:rPr>
              <w:t>（</w:t>
            </w:r>
            <w:r>
              <w:rPr>
                <w:rFonts w:hint="eastAsia"/>
                <w:sz w:val="21"/>
                <w:szCs w:val="21"/>
                <w:lang w:val="en-US" w:eastAsia="zh-CN"/>
              </w:rPr>
              <w:t>3</w:t>
            </w:r>
            <w:r>
              <w:rPr>
                <w:rFonts w:hint="default"/>
                <w:sz w:val="21"/>
                <w:szCs w:val="21"/>
              </w:rPr>
              <w:t>）项目生产过程中存在重大环境风险，为避免企业发生重大环境风险事故，造成环境危害，企业应</w:t>
            </w:r>
            <w:r>
              <w:rPr>
                <w:rFonts w:hint="eastAsia"/>
                <w:sz w:val="21"/>
                <w:szCs w:val="21"/>
                <w:lang w:val="en-US" w:eastAsia="zh-CN"/>
              </w:rPr>
              <w:t>定期对</w:t>
            </w:r>
            <w:r>
              <w:rPr>
                <w:rFonts w:hint="default"/>
                <w:sz w:val="21"/>
                <w:szCs w:val="21"/>
              </w:rPr>
              <w:t>环境风险事故应急预案</w:t>
            </w:r>
            <w:r>
              <w:rPr>
                <w:rFonts w:hint="eastAsia"/>
                <w:sz w:val="21"/>
                <w:szCs w:val="21"/>
                <w:lang w:val="en-US" w:eastAsia="zh-CN"/>
              </w:rPr>
              <w:t>进行修编</w:t>
            </w:r>
            <w:r>
              <w:rPr>
                <w:rFonts w:hint="default"/>
                <w:sz w:val="21"/>
                <w:szCs w:val="21"/>
              </w:rPr>
              <w:t>，报生态环境主管部门备案，并定期组织演练及培训。</w:t>
            </w:r>
          </w:p>
          <w:p w14:paraId="3D844C6F">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r>
              <w:rPr>
                <w:rFonts w:hint="eastAsia"/>
                <w:sz w:val="21"/>
                <w:szCs w:val="21"/>
                <w:lang w:eastAsia="zh-CN"/>
              </w:rPr>
              <w:t>（</w:t>
            </w:r>
            <w:r>
              <w:rPr>
                <w:rFonts w:hint="eastAsia"/>
                <w:sz w:val="21"/>
                <w:szCs w:val="21"/>
                <w:lang w:val="en-US" w:eastAsia="zh-CN"/>
              </w:rPr>
              <w:t>4</w:t>
            </w:r>
            <w:r>
              <w:rPr>
                <w:rFonts w:hint="eastAsia"/>
                <w:sz w:val="21"/>
                <w:szCs w:val="21"/>
                <w:lang w:eastAsia="zh-CN"/>
              </w:rPr>
              <w:t>）排污单位应建立环境管理台账制度，设置专人开展台账记录、整理、维护等管理工作，并对台账记录结果的真实性、准确性、完整性负责。排污单位环境管理台账应真实记录污染治理设施运行管理信息、监测记录信息和其他环境管理信息。</w:t>
            </w:r>
          </w:p>
          <w:p w14:paraId="33C3044D">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r>
              <w:rPr>
                <w:rFonts w:hint="eastAsia"/>
                <w:sz w:val="21"/>
                <w:szCs w:val="21"/>
                <w:lang w:eastAsia="zh-CN"/>
              </w:rPr>
              <w:t>（</w:t>
            </w:r>
            <w:r>
              <w:rPr>
                <w:rFonts w:hint="eastAsia"/>
                <w:sz w:val="21"/>
                <w:szCs w:val="21"/>
                <w:lang w:val="en-US" w:eastAsia="zh-CN"/>
              </w:rPr>
              <w:t>5</w:t>
            </w:r>
            <w:r>
              <w:rPr>
                <w:rFonts w:hint="eastAsia"/>
                <w:sz w:val="21"/>
                <w:szCs w:val="21"/>
                <w:lang w:eastAsia="zh-CN"/>
              </w:rPr>
              <w:t>）污染治理设施运行信息应按照设施类别分别记录设施的实际运行相关参数和维护记录。污染治理设施运维记录，包括设施是否正常运行、故障原因、维护过程、检查人、检查日期及班次等。</w:t>
            </w:r>
          </w:p>
          <w:p w14:paraId="35DB821D">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r>
              <w:rPr>
                <w:rFonts w:hint="eastAsia"/>
                <w:sz w:val="21"/>
                <w:szCs w:val="21"/>
                <w:lang w:eastAsia="zh-CN"/>
              </w:rPr>
              <w:t>（</w:t>
            </w:r>
            <w:r>
              <w:rPr>
                <w:rFonts w:hint="eastAsia"/>
                <w:sz w:val="21"/>
                <w:szCs w:val="21"/>
                <w:lang w:val="en-US" w:eastAsia="zh-CN"/>
              </w:rPr>
              <w:t>6</w:t>
            </w:r>
            <w:r>
              <w:rPr>
                <w:rFonts w:hint="eastAsia"/>
                <w:sz w:val="21"/>
                <w:szCs w:val="21"/>
                <w:lang w:eastAsia="zh-CN"/>
              </w:rPr>
              <w:t>）排污单位应根据自行监测方案，建立自行监测质量保证与质量控制体系，手工监测记录信息包括手工监测日期、采样及测定方法、监测结果等；自动监测运维记录包括自动监测及辅助设备运行状况、系统校准、校验记录、定期比对监测记录、维护保养记录、是否故障、故障维修记录、巡检日期等。自动连续监测设备发生故障时，应开展手工监测，监测数据应及时报告生态环境主管部门。</w:t>
            </w:r>
          </w:p>
          <w:p w14:paraId="6BDE7CB7">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02845303">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0D01BF9E">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7B391226">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AFA467A">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1356A192">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FC9CEAB">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7784069E">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34C5E747">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69CA83B">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8D71556">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19EF7FC4">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1D3259B2">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A8E0E95">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0D85DBB8">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2F4C593A">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5A0FE336">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113EEB7D">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4B1B9BFC">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3A5EB6C7">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5FB7CB2C">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0DD7C301">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3DCED394">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3E6AA145">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6B5C1F06">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51DB4BDD">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53DF5829">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37CAF406">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586E8AF8">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262F324C">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p w14:paraId="7BD4CF3B">
            <w:pPr>
              <w:pStyle w:val="12"/>
              <w:keepNext w:val="0"/>
              <w:keepLines w:val="0"/>
              <w:suppressLineNumbers w:val="0"/>
              <w:spacing w:beforeAutospacing="0" w:afterAutospacing="0"/>
              <w:ind w:left="0"/>
              <w:rPr>
                <w:rFonts w:hint="eastAsia"/>
                <w:sz w:val="21"/>
                <w:szCs w:val="21"/>
                <w:lang w:eastAsia="zh-CN"/>
              </w:rPr>
            </w:pPr>
          </w:p>
          <w:p w14:paraId="6B0A413F">
            <w:pPr>
              <w:keepNext w:val="0"/>
              <w:keepLines w:val="0"/>
              <w:suppressLineNumbers w:val="0"/>
              <w:bidi w:val="0"/>
              <w:spacing w:before="0" w:beforeAutospacing="0" w:after="0" w:afterAutospacing="0"/>
              <w:ind w:left="0" w:right="0"/>
              <w:rPr>
                <w:rFonts w:hint="eastAsia"/>
                <w:lang w:eastAsia="zh-CN"/>
              </w:rPr>
            </w:pPr>
          </w:p>
          <w:p w14:paraId="039E937D">
            <w:pPr>
              <w:keepNext w:val="0"/>
              <w:keepLines w:val="0"/>
              <w:suppressLineNumbers w:val="0"/>
              <w:bidi w:val="0"/>
              <w:spacing w:before="0" w:beforeAutospacing="0" w:after="0" w:afterAutospacing="0"/>
              <w:ind w:left="0" w:right="0"/>
              <w:rPr>
                <w:rFonts w:hint="eastAsia"/>
                <w:lang w:eastAsia="zh-CN"/>
              </w:rPr>
            </w:pPr>
          </w:p>
          <w:p w14:paraId="4DF2B658">
            <w:pPr>
              <w:keepNext w:val="0"/>
              <w:keepLines w:val="0"/>
              <w:suppressLineNumbers w:val="0"/>
              <w:bidi w:val="0"/>
              <w:spacing w:before="0" w:beforeAutospacing="0" w:after="0" w:afterAutospacing="0"/>
              <w:ind w:left="0" w:right="0"/>
              <w:rPr>
                <w:rFonts w:hint="eastAsia"/>
                <w:lang w:eastAsia="zh-CN"/>
              </w:rPr>
            </w:pPr>
          </w:p>
          <w:p w14:paraId="322980F7">
            <w:pPr>
              <w:keepNext w:val="0"/>
              <w:keepLines w:val="0"/>
              <w:suppressLineNumbers w:val="0"/>
              <w:adjustRightInd w:val="0"/>
              <w:snapToGrid w:val="0"/>
              <w:spacing w:before="0" w:beforeAutospacing="0" w:after="0" w:afterAutospacing="0" w:line="240" w:lineRule="auto"/>
              <w:ind w:left="0" w:right="0"/>
              <w:rPr>
                <w:rFonts w:hint="eastAsia"/>
                <w:sz w:val="21"/>
                <w:szCs w:val="21"/>
                <w:lang w:eastAsia="zh-CN"/>
              </w:rPr>
            </w:pPr>
          </w:p>
        </w:tc>
      </w:tr>
    </w:tbl>
    <w:p w14:paraId="5D4A955A">
      <w:pPr>
        <w:pStyle w:val="5"/>
        <w:rPr>
          <w:snapToGrid w:val="0"/>
          <w:color w:val="auto"/>
        </w:rPr>
      </w:pPr>
      <w:r>
        <w:rPr>
          <w:snapToGrid w:val="0"/>
          <w:color w:val="auto"/>
        </w:rPr>
        <w:br w:type="page"/>
      </w:r>
      <w:bookmarkStart w:id="17" w:name="_Toc28307"/>
      <w:r>
        <w:rPr>
          <w:snapToGrid w:val="0"/>
          <w:color w:val="auto"/>
        </w:rPr>
        <w:t>六、结论</w:t>
      </w:r>
      <w:bookmarkEnd w:id="17"/>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865"/>
      </w:tblGrid>
      <w:tr w14:paraId="495071D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456" w:hRule="atLeast"/>
          <w:jc w:val="center"/>
        </w:trPr>
        <w:tc>
          <w:tcPr>
            <w:tcW w:w="8865" w:type="dxa"/>
            <w:tcBorders>
              <w:tl2br w:val="nil"/>
              <w:tr2bl w:val="nil"/>
            </w:tcBorders>
            <w:noWrap w:val="0"/>
            <w:vAlign w:val="top"/>
          </w:tcPr>
          <w:p w14:paraId="5D4FACE1">
            <w:pPr>
              <w:keepNext w:val="0"/>
              <w:keepLines w:val="0"/>
              <w:suppressLineNumbers w:val="0"/>
              <w:spacing w:before="0" w:beforeAutospacing="0" w:after="0" w:afterAutospacing="0"/>
              <w:ind w:left="0" w:right="0" w:firstLine="480" w:firstLineChars="200"/>
              <w:rPr>
                <w:rFonts w:hint="default"/>
              </w:rPr>
            </w:pPr>
            <w:r>
              <w:rPr>
                <w:rFonts w:hint="default"/>
                <w:szCs w:val="21"/>
              </w:rPr>
              <w:t>本</w:t>
            </w:r>
            <w:r>
              <w:rPr>
                <w:rFonts w:hint="default"/>
                <w:szCs w:val="21"/>
                <w:lang w:val="zh-CN"/>
              </w:rPr>
              <w:t>项目</w:t>
            </w:r>
            <w:r>
              <w:rPr>
                <w:rFonts w:hint="default"/>
                <w:szCs w:val="21"/>
              </w:rPr>
              <w:t>在</w:t>
            </w:r>
            <w:r>
              <w:rPr>
                <w:rFonts w:hint="default"/>
                <w:szCs w:val="21"/>
                <w:lang w:val="zh-CN"/>
              </w:rPr>
              <w:t>切实落实报告表中提出的各项防治措施要求，严格执行各项污染物的排放标准，积极有效地进行治理和防范，并使各项污染物达标排放，从环境保护角度考虑，建设项目</w:t>
            </w:r>
            <w:r>
              <w:rPr>
                <w:rFonts w:hint="eastAsia"/>
                <w:szCs w:val="21"/>
              </w:rPr>
              <w:t>环境影响</w:t>
            </w:r>
            <w:r>
              <w:rPr>
                <w:rFonts w:hint="default"/>
                <w:szCs w:val="21"/>
                <w:lang w:val="zh-CN"/>
              </w:rPr>
              <w:t>可行。</w:t>
            </w:r>
          </w:p>
        </w:tc>
      </w:tr>
    </w:tbl>
    <w:p w14:paraId="74F305CF">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6FD0F40">
      <w:pPr>
        <w:pStyle w:val="5"/>
        <w:rPr>
          <w:color w:val="auto"/>
        </w:rPr>
      </w:pPr>
      <w:bookmarkStart w:id="18" w:name="_Toc2965"/>
      <w:r>
        <w:rPr>
          <w:color w:val="auto"/>
        </w:rPr>
        <w:t>建设项目污染物排放量汇总表</w:t>
      </w:r>
      <w:bookmarkEnd w:id="18"/>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56"/>
        <w:gridCol w:w="1190"/>
        <w:gridCol w:w="1609"/>
        <w:gridCol w:w="1074"/>
        <w:gridCol w:w="1571"/>
        <w:gridCol w:w="1790"/>
        <w:gridCol w:w="1702"/>
        <w:gridCol w:w="2049"/>
        <w:gridCol w:w="1451"/>
      </w:tblGrid>
      <w:tr w14:paraId="47ED40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0" w:hRule="atLeast"/>
          <w:jc w:val="center"/>
        </w:trPr>
        <w:tc>
          <w:tcPr>
            <w:tcW w:w="0" w:type="auto"/>
            <w:tcBorders>
              <w:tl2br w:val="nil"/>
              <w:tr2bl w:val="nil"/>
            </w:tcBorders>
            <w:noWrap w:val="0"/>
            <w:tcMar>
              <w:left w:w="28" w:type="dxa"/>
              <w:right w:w="28" w:type="dxa"/>
            </w:tcMar>
            <w:vAlign w:val="center"/>
          </w:tcPr>
          <w:p w14:paraId="13ECEA8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项目</w:t>
            </w:r>
          </w:p>
          <w:p w14:paraId="0D6C6EE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分类</w:t>
            </w:r>
          </w:p>
        </w:tc>
        <w:tc>
          <w:tcPr>
            <w:tcW w:w="1190" w:type="dxa"/>
            <w:tcBorders>
              <w:tl2br w:val="nil"/>
              <w:tr2bl w:val="nil"/>
            </w:tcBorders>
            <w:noWrap w:val="0"/>
            <w:tcMar>
              <w:left w:w="28" w:type="dxa"/>
              <w:right w:w="28" w:type="dxa"/>
            </w:tcMar>
            <w:vAlign w:val="center"/>
          </w:tcPr>
          <w:p w14:paraId="729BAE0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污染物名称</w:t>
            </w:r>
          </w:p>
        </w:tc>
        <w:tc>
          <w:tcPr>
            <w:tcW w:w="1609" w:type="dxa"/>
            <w:tcBorders>
              <w:tl2br w:val="nil"/>
              <w:tr2bl w:val="nil"/>
            </w:tcBorders>
            <w:noWrap w:val="0"/>
            <w:tcMar>
              <w:left w:w="28" w:type="dxa"/>
              <w:right w:w="28" w:type="dxa"/>
            </w:tcMar>
            <w:vAlign w:val="center"/>
          </w:tcPr>
          <w:p w14:paraId="5EA960C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现有工程</w:t>
            </w:r>
          </w:p>
          <w:p w14:paraId="5F48F12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1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z w:val="21"/>
                <w:szCs w:val="21"/>
              </w:rPr>
              <w:t>①</w:t>
            </w:r>
            <w:r>
              <w:rPr>
                <w:rFonts w:hint="default" w:ascii="Times New Roman" w:hAnsi="Times New Roman" w:eastAsia="宋体" w:cs="Times New Roman"/>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14:paraId="258CF73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现有工程许可排放量</w:t>
            </w:r>
          </w:p>
          <w:p w14:paraId="426988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2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napToGrid w:val="0"/>
                <w:spacing w:val="-6"/>
                <w:kern w:val="21"/>
                <w:sz w:val="21"/>
                <w:szCs w:val="21"/>
              </w:rPr>
              <w:t>②</w:t>
            </w:r>
            <w:r>
              <w:rPr>
                <w:rFonts w:hint="default" w:ascii="Times New Roman" w:hAnsi="Times New Roman" w:eastAsia="宋体" w:cs="Times New Roman"/>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14:paraId="69A838C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在建工程</w:t>
            </w:r>
          </w:p>
          <w:p w14:paraId="459435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3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z w:val="21"/>
                <w:szCs w:val="21"/>
              </w:rPr>
              <w:t>③</w:t>
            </w:r>
            <w:r>
              <w:rPr>
                <w:rFonts w:hint="default" w:ascii="Times New Roman" w:hAnsi="Times New Roman" w:eastAsia="宋体" w:cs="Times New Roman"/>
                <w:snapToGrid w:val="0"/>
                <w:spacing w:val="-6"/>
                <w:kern w:val="21"/>
                <w:sz w:val="21"/>
                <w:szCs w:val="21"/>
              </w:rPr>
              <w:fldChar w:fldCharType="end"/>
            </w:r>
          </w:p>
        </w:tc>
        <w:tc>
          <w:tcPr>
            <w:tcW w:w="1790" w:type="dxa"/>
            <w:tcBorders>
              <w:tl2br w:val="nil"/>
              <w:tr2bl w:val="nil"/>
            </w:tcBorders>
            <w:noWrap w:val="0"/>
            <w:tcMar>
              <w:left w:w="28" w:type="dxa"/>
              <w:right w:w="28" w:type="dxa"/>
            </w:tcMar>
            <w:vAlign w:val="center"/>
          </w:tcPr>
          <w:p w14:paraId="3F637B7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本项目</w:t>
            </w:r>
          </w:p>
          <w:p w14:paraId="1B159C5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4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z w:val="21"/>
                <w:szCs w:val="21"/>
              </w:rPr>
              <w:t>④</w:t>
            </w:r>
            <w:r>
              <w:rPr>
                <w:rFonts w:hint="default" w:ascii="Times New Roman" w:hAnsi="Times New Roman" w:eastAsia="宋体" w:cs="Times New Roman"/>
                <w:snapToGrid w:val="0"/>
                <w:spacing w:val="-6"/>
                <w:kern w:val="21"/>
                <w:sz w:val="21"/>
                <w:szCs w:val="21"/>
              </w:rPr>
              <w:fldChar w:fldCharType="end"/>
            </w:r>
          </w:p>
        </w:tc>
        <w:tc>
          <w:tcPr>
            <w:tcW w:w="1702" w:type="dxa"/>
            <w:tcBorders>
              <w:tl2br w:val="nil"/>
              <w:tr2bl w:val="nil"/>
            </w:tcBorders>
            <w:noWrap w:val="0"/>
            <w:tcMar>
              <w:left w:w="28" w:type="dxa"/>
              <w:right w:w="28" w:type="dxa"/>
            </w:tcMar>
            <w:vAlign w:val="center"/>
          </w:tcPr>
          <w:p w14:paraId="1260005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以新带老削减量（新建项目不填）</w:t>
            </w:r>
            <w:r>
              <w:rPr>
                <w:rFonts w:hint="default" w:ascii="Times New Roman" w:hAnsi="Times New Roman" w:eastAsia="宋体" w:cs="Times New Roman"/>
                <w:snapToGrid w:val="0"/>
                <w:spacing w:val="-16"/>
                <w:kern w:val="21"/>
                <w:sz w:val="21"/>
                <w:szCs w:val="21"/>
              </w:rPr>
              <w:fldChar w:fldCharType="begin"/>
            </w:r>
            <w:r>
              <w:rPr>
                <w:rFonts w:hint="default" w:ascii="Times New Roman" w:hAnsi="Times New Roman" w:eastAsia="宋体" w:cs="Times New Roman"/>
                <w:snapToGrid w:val="0"/>
                <w:spacing w:val="-16"/>
                <w:kern w:val="21"/>
                <w:sz w:val="21"/>
                <w:szCs w:val="21"/>
              </w:rPr>
              <w:instrText xml:space="preserve"> = 5 \* GB3 \* MERGEFORMAT </w:instrText>
            </w:r>
            <w:r>
              <w:rPr>
                <w:rFonts w:hint="default" w:ascii="Times New Roman" w:hAnsi="Times New Roman" w:eastAsia="宋体" w:cs="Times New Roman"/>
                <w:snapToGrid w:val="0"/>
                <w:spacing w:val="-16"/>
                <w:kern w:val="21"/>
                <w:sz w:val="21"/>
                <w:szCs w:val="21"/>
              </w:rPr>
              <w:fldChar w:fldCharType="separate"/>
            </w:r>
            <w:r>
              <w:rPr>
                <w:rFonts w:hint="default" w:ascii="Times New Roman" w:hAnsi="Times New Roman" w:eastAsia="宋体" w:cs="Times New Roman"/>
                <w:sz w:val="21"/>
                <w:szCs w:val="21"/>
              </w:rPr>
              <w:t>⑤</w:t>
            </w:r>
            <w:r>
              <w:rPr>
                <w:rFonts w:hint="default" w:ascii="Times New Roman" w:hAnsi="Times New Roman" w:eastAsia="宋体" w:cs="Times New Roman"/>
                <w:snapToGrid w:val="0"/>
                <w:spacing w:val="-16"/>
                <w:kern w:val="21"/>
                <w:sz w:val="21"/>
                <w:szCs w:val="21"/>
              </w:rPr>
              <w:fldChar w:fldCharType="end"/>
            </w:r>
          </w:p>
        </w:tc>
        <w:tc>
          <w:tcPr>
            <w:tcW w:w="0" w:type="auto"/>
            <w:tcBorders>
              <w:tl2br w:val="nil"/>
              <w:tr2bl w:val="nil"/>
            </w:tcBorders>
            <w:noWrap w:val="0"/>
            <w:tcMar>
              <w:left w:w="28" w:type="dxa"/>
              <w:right w:w="28" w:type="dxa"/>
            </w:tcMar>
            <w:vAlign w:val="center"/>
          </w:tcPr>
          <w:p w14:paraId="4EB915F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本项目建成后</w:t>
            </w:r>
          </w:p>
          <w:p w14:paraId="3E7609B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全厂排放量（固体废物产生量）</w:t>
            </w:r>
            <w:r>
              <w:rPr>
                <w:rFonts w:hint="default" w:ascii="Times New Roman" w:hAnsi="Times New Roman" w:eastAsia="宋体" w:cs="Times New Roman"/>
                <w:snapToGrid w:val="0"/>
                <w:spacing w:val="-16"/>
                <w:kern w:val="21"/>
                <w:sz w:val="21"/>
                <w:szCs w:val="21"/>
              </w:rPr>
              <w:fldChar w:fldCharType="begin"/>
            </w:r>
            <w:r>
              <w:rPr>
                <w:rFonts w:hint="default" w:ascii="Times New Roman" w:hAnsi="Times New Roman" w:eastAsia="宋体" w:cs="Times New Roman"/>
                <w:snapToGrid w:val="0"/>
                <w:spacing w:val="-16"/>
                <w:kern w:val="21"/>
                <w:sz w:val="21"/>
                <w:szCs w:val="21"/>
              </w:rPr>
              <w:instrText xml:space="preserve"> = 6 \* GB3 \* MERGEFORMAT </w:instrText>
            </w:r>
            <w:r>
              <w:rPr>
                <w:rFonts w:hint="default" w:ascii="Times New Roman" w:hAnsi="Times New Roman" w:eastAsia="宋体" w:cs="Times New Roman"/>
                <w:snapToGrid w:val="0"/>
                <w:spacing w:val="-16"/>
                <w:kern w:val="21"/>
                <w:sz w:val="21"/>
                <w:szCs w:val="21"/>
              </w:rPr>
              <w:fldChar w:fldCharType="separate"/>
            </w:r>
            <w:r>
              <w:rPr>
                <w:rFonts w:hint="default" w:ascii="Times New Roman" w:hAnsi="Times New Roman" w:eastAsia="宋体" w:cs="Times New Roman"/>
                <w:sz w:val="21"/>
                <w:szCs w:val="21"/>
              </w:rPr>
              <w:t>⑥</w:t>
            </w:r>
            <w:r>
              <w:rPr>
                <w:rFonts w:hint="default" w:ascii="Times New Roman" w:hAnsi="Times New Roman" w:eastAsia="宋体" w:cs="Times New Roman"/>
                <w:snapToGrid w:val="0"/>
                <w:spacing w:val="-16"/>
                <w:kern w:val="21"/>
                <w:sz w:val="21"/>
                <w:szCs w:val="21"/>
              </w:rPr>
              <w:fldChar w:fldCharType="end"/>
            </w:r>
          </w:p>
        </w:tc>
        <w:tc>
          <w:tcPr>
            <w:tcW w:w="0" w:type="auto"/>
            <w:tcBorders>
              <w:tl2br w:val="nil"/>
              <w:tr2bl w:val="nil"/>
            </w:tcBorders>
            <w:noWrap w:val="0"/>
            <w:tcMar>
              <w:left w:w="28" w:type="dxa"/>
              <w:right w:w="28" w:type="dxa"/>
            </w:tcMar>
            <w:vAlign w:val="center"/>
          </w:tcPr>
          <w:p w14:paraId="666450D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变化量</w:t>
            </w:r>
          </w:p>
          <w:p w14:paraId="17C5225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spacing w:val="-6"/>
                <w:kern w:val="21"/>
                <w:sz w:val="21"/>
                <w:szCs w:val="21"/>
                <w:highlight w:val="yellow"/>
              </w:rPr>
            </w:pP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7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z w:val="21"/>
                <w:szCs w:val="21"/>
              </w:rPr>
              <w:t>⑦</w:t>
            </w:r>
            <w:r>
              <w:rPr>
                <w:rFonts w:hint="default" w:ascii="Times New Roman" w:hAnsi="Times New Roman" w:eastAsia="宋体" w:cs="Times New Roman"/>
                <w:snapToGrid w:val="0"/>
                <w:spacing w:val="-6"/>
                <w:kern w:val="21"/>
                <w:sz w:val="21"/>
                <w:szCs w:val="21"/>
              </w:rPr>
              <w:fldChar w:fldCharType="end"/>
            </w:r>
          </w:p>
        </w:tc>
      </w:tr>
      <w:tr w14:paraId="720582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noWrap w:val="0"/>
            <w:vAlign w:val="center"/>
          </w:tcPr>
          <w:p w14:paraId="0FBE6C1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kern w:val="21"/>
                <w:sz w:val="21"/>
                <w:szCs w:val="21"/>
                <w:lang w:val="en-US" w:eastAsia="zh-CN"/>
              </w:rPr>
              <w:t>废气</w:t>
            </w:r>
          </w:p>
        </w:tc>
        <w:tc>
          <w:tcPr>
            <w:tcW w:w="1190" w:type="dxa"/>
            <w:tcBorders>
              <w:tl2br w:val="nil"/>
              <w:tr2bl w:val="nil"/>
            </w:tcBorders>
            <w:shd w:val="clear" w:color="auto" w:fill="auto"/>
            <w:noWrap w:val="0"/>
            <w:vAlign w:val="center"/>
          </w:tcPr>
          <w:p w14:paraId="53B047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vertAlign w:val="baseline"/>
                <w:lang w:val="en-US" w:eastAsia="zh-CN"/>
              </w:rPr>
              <w:t>颗粒物</w:t>
            </w:r>
          </w:p>
        </w:tc>
        <w:tc>
          <w:tcPr>
            <w:tcW w:w="1609" w:type="dxa"/>
            <w:tcBorders>
              <w:tl2br w:val="nil"/>
              <w:tr2bl w:val="nil"/>
            </w:tcBorders>
            <w:shd w:val="clear" w:color="auto" w:fill="auto"/>
            <w:noWrap w:val="0"/>
            <w:vAlign w:val="center"/>
          </w:tcPr>
          <w:p w14:paraId="7CC34981">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074" w:type="dxa"/>
            <w:tcBorders>
              <w:tl2br w:val="nil"/>
              <w:tr2bl w:val="nil"/>
            </w:tcBorders>
            <w:noWrap w:val="0"/>
            <w:vAlign w:val="center"/>
          </w:tcPr>
          <w:p w14:paraId="533FFD1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571" w:type="dxa"/>
            <w:tcBorders>
              <w:tl2br w:val="nil"/>
              <w:tr2bl w:val="nil"/>
            </w:tcBorders>
            <w:noWrap w:val="0"/>
            <w:vAlign w:val="center"/>
          </w:tcPr>
          <w:p w14:paraId="196C8FAB">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790" w:type="dxa"/>
            <w:tcBorders>
              <w:tl2br w:val="nil"/>
              <w:tr2bl w:val="nil"/>
            </w:tcBorders>
            <w:shd w:val="clear" w:color="auto" w:fill="auto"/>
            <w:noWrap w:val="0"/>
            <w:vAlign w:val="center"/>
          </w:tcPr>
          <w:p w14:paraId="69B099FE">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snapToGrid w:val="0"/>
                <w:color w:val="000000"/>
                <w:kern w:val="21"/>
                <w:sz w:val="21"/>
                <w:szCs w:val="21"/>
                <w:highlight w:val="none"/>
                <w:lang w:val="en-US" w:eastAsia="zh-CN" w:bidi="zh-CN"/>
              </w:rPr>
              <w:t>0.2</w:t>
            </w:r>
            <w:r>
              <w:rPr>
                <w:rFonts w:hint="eastAsia" w:ascii="Times New Roman" w:hAnsi="Times New Roman" w:cs="Times New Roman"/>
                <w:snapToGrid w:val="0"/>
                <w:color w:val="000000"/>
                <w:kern w:val="21"/>
                <w:sz w:val="21"/>
                <w:szCs w:val="21"/>
                <w:highlight w:val="none"/>
                <w:lang w:val="en-US" w:eastAsia="zh-CN" w:bidi="zh-CN"/>
              </w:rPr>
              <w:t>23</w:t>
            </w:r>
            <w:r>
              <w:rPr>
                <w:rFonts w:hint="default" w:ascii="Times New Roman" w:hAnsi="Times New Roman" w:eastAsia="宋体" w:cs="Times New Roman"/>
                <w:snapToGrid w:val="0"/>
                <w:color w:val="000000"/>
                <w:kern w:val="21"/>
                <w:sz w:val="21"/>
                <w:szCs w:val="21"/>
                <w:highlight w:val="none"/>
                <w:lang w:val="en-US" w:eastAsia="zh-CN" w:bidi="zh-CN"/>
              </w:rPr>
              <w:t>t/a</w:t>
            </w:r>
          </w:p>
        </w:tc>
        <w:tc>
          <w:tcPr>
            <w:tcW w:w="1702" w:type="dxa"/>
            <w:tcBorders>
              <w:tl2br w:val="nil"/>
              <w:tr2bl w:val="nil"/>
            </w:tcBorders>
            <w:noWrap w:val="0"/>
            <w:vAlign w:val="center"/>
          </w:tcPr>
          <w:p w14:paraId="6DDD5CD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2049" w:type="dxa"/>
            <w:tcBorders>
              <w:tl2br w:val="nil"/>
              <w:tr2bl w:val="nil"/>
            </w:tcBorders>
            <w:shd w:val="clear" w:color="auto" w:fill="auto"/>
            <w:noWrap w:val="0"/>
            <w:vAlign w:val="center"/>
          </w:tcPr>
          <w:p w14:paraId="16A912D9">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highlight w:val="none"/>
                <w:lang w:val="en-US" w:eastAsia="zh-CN" w:bidi="zh-CN"/>
              </w:rPr>
              <w:t>0.2</w:t>
            </w:r>
            <w:r>
              <w:rPr>
                <w:rFonts w:hint="eastAsia" w:ascii="Times New Roman" w:hAnsi="Times New Roman" w:cs="Times New Roman"/>
                <w:snapToGrid w:val="0"/>
                <w:color w:val="000000"/>
                <w:kern w:val="21"/>
                <w:sz w:val="21"/>
                <w:szCs w:val="21"/>
                <w:highlight w:val="none"/>
                <w:lang w:val="en-US" w:eastAsia="zh-CN" w:bidi="zh-CN"/>
              </w:rPr>
              <w:t>23</w:t>
            </w:r>
            <w:r>
              <w:rPr>
                <w:rFonts w:hint="default" w:ascii="Times New Roman" w:hAnsi="Times New Roman" w:eastAsia="宋体" w:cs="Times New Roman"/>
                <w:snapToGrid w:val="0"/>
                <w:color w:val="000000"/>
                <w:kern w:val="21"/>
                <w:sz w:val="21"/>
                <w:szCs w:val="21"/>
                <w:highlight w:val="none"/>
                <w:lang w:val="en-US" w:eastAsia="zh-CN" w:bidi="zh-CN"/>
              </w:rPr>
              <w:t>t/a</w:t>
            </w:r>
          </w:p>
        </w:tc>
        <w:tc>
          <w:tcPr>
            <w:tcW w:w="1451" w:type="dxa"/>
            <w:tcBorders>
              <w:tl2br w:val="nil"/>
              <w:tr2bl w:val="nil"/>
            </w:tcBorders>
            <w:shd w:val="clear" w:color="auto" w:fill="auto"/>
            <w:noWrap w:val="0"/>
            <w:vAlign w:val="center"/>
          </w:tcPr>
          <w:p w14:paraId="0BC0DDB0">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napToGrid w:val="0"/>
                <w:color w:val="000000"/>
                <w:kern w:val="21"/>
                <w:sz w:val="21"/>
                <w:szCs w:val="21"/>
                <w:highlight w:val="none"/>
                <w:lang w:val="en-US" w:eastAsia="zh-CN" w:bidi="zh-CN"/>
              </w:rPr>
              <w:t>0.2</w:t>
            </w:r>
            <w:r>
              <w:rPr>
                <w:rFonts w:hint="eastAsia" w:ascii="Times New Roman" w:hAnsi="Times New Roman" w:cs="Times New Roman"/>
                <w:snapToGrid w:val="0"/>
                <w:color w:val="000000"/>
                <w:kern w:val="21"/>
                <w:sz w:val="21"/>
                <w:szCs w:val="21"/>
                <w:highlight w:val="none"/>
                <w:lang w:val="en-US" w:eastAsia="zh-CN" w:bidi="zh-CN"/>
              </w:rPr>
              <w:t>23</w:t>
            </w:r>
            <w:r>
              <w:rPr>
                <w:rFonts w:hint="default" w:ascii="Times New Roman" w:hAnsi="Times New Roman" w:eastAsia="宋体" w:cs="Times New Roman"/>
                <w:snapToGrid w:val="0"/>
                <w:color w:val="000000"/>
                <w:kern w:val="21"/>
                <w:sz w:val="21"/>
                <w:szCs w:val="21"/>
                <w:highlight w:val="none"/>
                <w:lang w:val="en-US" w:eastAsia="zh-CN" w:bidi="zh-CN"/>
              </w:rPr>
              <w:t>t/a</w:t>
            </w:r>
          </w:p>
        </w:tc>
      </w:tr>
      <w:tr w14:paraId="767014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noWrap w:val="0"/>
            <w:vAlign w:val="center"/>
          </w:tcPr>
          <w:p w14:paraId="5888041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lang w:val="en-US" w:eastAsia="zh-CN"/>
              </w:rPr>
            </w:pPr>
          </w:p>
        </w:tc>
        <w:tc>
          <w:tcPr>
            <w:tcW w:w="1190" w:type="dxa"/>
            <w:tcBorders>
              <w:tl2br w:val="nil"/>
              <w:tr2bl w:val="nil"/>
            </w:tcBorders>
            <w:shd w:val="clear" w:color="auto" w:fill="auto"/>
            <w:noWrap w:val="0"/>
            <w:vAlign w:val="center"/>
          </w:tcPr>
          <w:p w14:paraId="1C472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硫酸雾</w:t>
            </w:r>
          </w:p>
        </w:tc>
        <w:tc>
          <w:tcPr>
            <w:tcW w:w="1609" w:type="dxa"/>
            <w:tcBorders>
              <w:tl2br w:val="nil"/>
              <w:tr2bl w:val="nil"/>
            </w:tcBorders>
            <w:shd w:val="clear" w:color="auto" w:fill="auto"/>
            <w:noWrap w:val="0"/>
            <w:vAlign w:val="center"/>
          </w:tcPr>
          <w:p w14:paraId="151632F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074" w:type="dxa"/>
            <w:tcBorders>
              <w:tl2br w:val="nil"/>
              <w:tr2bl w:val="nil"/>
            </w:tcBorders>
            <w:noWrap w:val="0"/>
            <w:vAlign w:val="center"/>
          </w:tcPr>
          <w:p w14:paraId="6E1CED1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571" w:type="dxa"/>
            <w:tcBorders>
              <w:tl2br w:val="nil"/>
              <w:tr2bl w:val="nil"/>
            </w:tcBorders>
            <w:noWrap w:val="0"/>
            <w:vAlign w:val="center"/>
          </w:tcPr>
          <w:p w14:paraId="3FEF8F6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790" w:type="dxa"/>
            <w:tcBorders>
              <w:tl2br w:val="nil"/>
              <w:tr2bl w:val="nil"/>
            </w:tcBorders>
            <w:shd w:val="clear" w:color="auto" w:fill="auto"/>
            <w:noWrap w:val="0"/>
            <w:vAlign w:val="center"/>
          </w:tcPr>
          <w:p w14:paraId="31D92822">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r>
              <w:rPr>
                <w:rFonts w:hint="eastAsia" w:ascii="Times New Roman" w:hAnsi="Times New Roman" w:cs="Times New Roman"/>
                <w:snapToGrid w:val="0"/>
                <w:color w:val="000000"/>
                <w:kern w:val="21"/>
                <w:sz w:val="21"/>
                <w:szCs w:val="21"/>
                <w:highlight w:val="none"/>
                <w:lang w:val="en-US" w:eastAsia="zh-CN" w:bidi="zh-CN"/>
              </w:rPr>
              <w:t>75</w:t>
            </w:r>
            <w:r>
              <w:rPr>
                <w:rFonts w:hint="default" w:ascii="Times New Roman" w:hAnsi="Times New Roman" w:eastAsia="宋体" w:cs="Times New Roman"/>
                <w:snapToGrid w:val="0"/>
                <w:color w:val="000000"/>
                <w:kern w:val="21"/>
                <w:sz w:val="21"/>
                <w:szCs w:val="21"/>
                <w:highlight w:val="none"/>
                <w:lang w:val="en-US" w:eastAsia="zh-CN" w:bidi="zh-CN"/>
              </w:rPr>
              <w:t>t/a</w:t>
            </w:r>
          </w:p>
        </w:tc>
        <w:tc>
          <w:tcPr>
            <w:tcW w:w="1702" w:type="dxa"/>
            <w:tcBorders>
              <w:tl2br w:val="nil"/>
              <w:tr2bl w:val="nil"/>
            </w:tcBorders>
            <w:noWrap w:val="0"/>
            <w:vAlign w:val="center"/>
          </w:tcPr>
          <w:p w14:paraId="3D13FB1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2049" w:type="dxa"/>
            <w:tcBorders>
              <w:tl2br w:val="nil"/>
              <w:tr2bl w:val="nil"/>
            </w:tcBorders>
            <w:shd w:val="clear" w:color="auto" w:fill="auto"/>
            <w:noWrap w:val="0"/>
            <w:vAlign w:val="center"/>
          </w:tcPr>
          <w:p w14:paraId="7705EF9D">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r>
              <w:rPr>
                <w:rFonts w:hint="eastAsia" w:ascii="Times New Roman" w:hAnsi="Times New Roman" w:cs="Times New Roman"/>
                <w:snapToGrid w:val="0"/>
                <w:color w:val="000000"/>
                <w:kern w:val="21"/>
                <w:sz w:val="21"/>
                <w:szCs w:val="21"/>
                <w:highlight w:val="none"/>
                <w:lang w:val="en-US" w:eastAsia="zh-CN" w:bidi="zh-CN"/>
              </w:rPr>
              <w:t>75</w:t>
            </w:r>
            <w:r>
              <w:rPr>
                <w:rFonts w:hint="default" w:ascii="Times New Roman" w:hAnsi="Times New Roman" w:eastAsia="宋体" w:cs="Times New Roman"/>
                <w:snapToGrid w:val="0"/>
                <w:color w:val="000000"/>
                <w:kern w:val="21"/>
                <w:sz w:val="21"/>
                <w:szCs w:val="21"/>
                <w:highlight w:val="none"/>
                <w:lang w:val="en-US" w:eastAsia="zh-CN" w:bidi="zh-CN"/>
              </w:rPr>
              <w:t>t/a</w:t>
            </w:r>
          </w:p>
        </w:tc>
        <w:tc>
          <w:tcPr>
            <w:tcW w:w="1451" w:type="dxa"/>
            <w:tcBorders>
              <w:tl2br w:val="nil"/>
              <w:tr2bl w:val="nil"/>
            </w:tcBorders>
            <w:shd w:val="clear" w:color="auto" w:fill="auto"/>
            <w:noWrap w:val="0"/>
            <w:vAlign w:val="center"/>
          </w:tcPr>
          <w:p w14:paraId="106F2531">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napToGrid w:val="0"/>
                <w:color w:val="000000"/>
                <w:kern w:val="21"/>
                <w:sz w:val="21"/>
                <w:szCs w:val="21"/>
                <w:highlight w:val="none"/>
                <w:lang w:val="en-US" w:eastAsia="zh-CN" w:bidi="zh-CN"/>
              </w:rPr>
              <w:t>0.</w:t>
            </w:r>
            <w:r>
              <w:rPr>
                <w:rFonts w:hint="eastAsia" w:ascii="Times New Roman" w:hAnsi="Times New Roman" w:cs="Times New Roman"/>
                <w:snapToGrid w:val="0"/>
                <w:color w:val="000000"/>
                <w:kern w:val="21"/>
                <w:sz w:val="21"/>
                <w:szCs w:val="21"/>
                <w:highlight w:val="none"/>
                <w:lang w:val="en-US" w:eastAsia="zh-CN" w:bidi="zh-CN"/>
              </w:rPr>
              <w:t>75</w:t>
            </w:r>
            <w:r>
              <w:rPr>
                <w:rFonts w:hint="default" w:ascii="Times New Roman" w:hAnsi="Times New Roman" w:eastAsia="宋体" w:cs="Times New Roman"/>
                <w:snapToGrid w:val="0"/>
                <w:color w:val="000000"/>
                <w:kern w:val="21"/>
                <w:sz w:val="21"/>
                <w:szCs w:val="21"/>
                <w:highlight w:val="none"/>
                <w:lang w:val="en-US" w:eastAsia="zh-CN" w:bidi="zh-CN"/>
              </w:rPr>
              <w:t>t/a</w:t>
            </w:r>
          </w:p>
        </w:tc>
      </w:tr>
      <w:tr w14:paraId="35F9AC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noWrap w:val="0"/>
            <w:vAlign w:val="center"/>
          </w:tcPr>
          <w:p w14:paraId="4466CFA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lang w:val="en-US" w:eastAsia="zh-CN"/>
              </w:rPr>
            </w:pPr>
          </w:p>
        </w:tc>
        <w:tc>
          <w:tcPr>
            <w:tcW w:w="1190" w:type="dxa"/>
            <w:tcBorders>
              <w:tl2br w:val="nil"/>
              <w:tr2bl w:val="nil"/>
            </w:tcBorders>
            <w:shd w:val="clear" w:color="auto" w:fill="auto"/>
            <w:noWrap w:val="0"/>
            <w:vAlign w:val="center"/>
          </w:tcPr>
          <w:p w14:paraId="7175D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二氧化硫</w:t>
            </w:r>
          </w:p>
        </w:tc>
        <w:tc>
          <w:tcPr>
            <w:tcW w:w="1609" w:type="dxa"/>
            <w:tcBorders>
              <w:tl2br w:val="nil"/>
              <w:tr2bl w:val="nil"/>
            </w:tcBorders>
            <w:shd w:val="clear" w:color="auto" w:fill="auto"/>
            <w:noWrap w:val="0"/>
            <w:vAlign w:val="center"/>
          </w:tcPr>
          <w:p w14:paraId="780DDE1C">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074" w:type="dxa"/>
            <w:tcBorders>
              <w:tl2br w:val="nil"/>
              <w:tr2bl w:val="nil"/>
            </w:tcBorders>
            <w:noWrap w:val="0"/>
            <w:vAlign w:val="center"/>
          </w:tcPr>
          <w:p w14:paraId="7D667F26">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571" w:type="dxa"/>
            <w:tcBorders>
              <w:tl2br w:val="nil"/>
              <w:tr2bl w:val="nil"/>
            </w:tcBorders>
            <w:noWrap w:val="0"/>
            <w:vAlign w:val="center"/>
          </w:tcPr>
          <w:p w14:paraId="0A0EAB8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790" w:type="dxa"/>
            <w:tcBorders>
              <w:tl2br w:val="nil"/>
              <w:tr2bl w:val="nil"/>
            </w:tcBorders>
            <w:shd w:val="clear" w:color="auto" w:fill="auto"/>
            <w:noWrap w:val="0"/>
            <w:vAlign w:val="center"/>
          </w:tcPr>
          <w:p w14:paraId="1115C74F">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0.0429t/a</w:t>
            </w:r>
          </w:p>
        </w:tc>
        <w:tc>
          <w:tcPr>
            <w:tcW w:w="1702" w:type="dxa"/>
            <w:tcBorders>
              <w:tl2br w:val="nil"/>
              <w:tr2bl w:val="nil"/>
            </w:tcBorders>
            <w:noWrap w:val="0"/>
            <w:vAlign w:val="center"/>
          </w:tcPr>
          <w:p w14:paraId="01E3D024">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2049" w:type="dxa"/>
            <w:tcBorders>
              <w:tl2br w:val="nil"/>
              <w:tr2bl w:val="nil"/>
            </w:tcBorders>
            <w:shd w:val="clear" w:color="auto" w:fill="auto"/>
            <w:noWrap w:val="0"/>
            <w:vAlign w:val="center"/>
          </w:tcPr>
          <w:p w14:paraId="7EA6370E">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0.0429t/a</w:t>
            </w:r>
          </w:p>
        </w:tc>
        <w:tc>
          <w:tcPr>
            <w:tcW w:w="1451" w:type="dxa"/>
            <w:tcBorders>
              <w:tl2br w:val="nil"/>
              <w:tr2bl w:val="nil"/>
            </w:tcBorders>
            <w:shd w:val="clear" w:color="auto" w:fill="auto"/>
            <w:noWrap w:val="0"/>
            <w:vAlign w:val="center"/>
          </w:tcPr>
          <w:p w14:paraId="5C685F2B">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z w:val="21"/>
                <w:szCs w:val="21"/>
                <w:lang w:val="en-US" w:eastAsia="zh-CN"/>
              </w:rPr>
              <w:t>+0.0429</w:t>
            </w:r>
            <w:r>
              <w:rPr>
                <w:rFonts w:hint="default" w:ascii="Times New Roman" w:hAnsi="Times New Roman" w:eastAsia="宋体" w:cs="Times New Roman"/>
                <w:snapToGrid w:val="0"/>
                <w:color w:val="000000"/>
                <w:kern w:val="21"/>
                <w:sz w:val="21"/>
                <w:szCs w:val="21"/>
                <w:highlight w:val="none"/>
                <w:lang w:val="en-US" w:eastAsia="zh-CN" w:bidi="zh-CN"/>
              </w:rPr>
              <w:t>t/a</w:t>
            </w:r>
          </w:p>
        </w:tc>
      </w:tr>
      <w:tr w14:paraId="763ACF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noWrap w:val="0"/>
            <w:vAlign w:val="center"/>
          </w:tcPr>
          <w:p w14:paraId="17A6E27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lang w:val="en-US" w:eastAsia="zh-CN"/>
              </w:rPr>
            </w:pPr>
          </w:p>
        </w:tc>
        <w:tc>
          <w:tcPr>
            <w:tcW w:w="1190" w:type="dxa"/>
            <w:tcBorders>
              <w:tl2br w:val="nil"/>
              <w:tr2bl w:val="nil"/>
            </w:tcBorders>
            <w:shd w:val="clear" w:color="auto" w:fill="auto"/>
            <w:noWrap w:val="0"/>
            <w:vAlign w:val="center"/>
          </w:tcPr>
          <w:p w14:paraId="0F58E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氮氧化物</w:t>
            </w:r>
          </w:p>
        </w:tc>
        <w:tc>
          <w:tcPr>
            <w:tcW w:w="1609" w:type="dxa"/>
            <w:tcBorders>
              <w:tl2br w:val="nil"/>
              <w:tr2bl w:val="nil"/>
            </w:tcBorders>
            <w:shd w:val="clear" w:color="auto" w:fill="auto"/>
            <w:noWrap w:val="0"/>
            <w:vAlign w:val="center"/>
          </w:tcPr>
          <w:p w14:paraId="6B21260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074" w:type="dxa"/>
            <w:tcBorders>
              <w:tl2br w:val="nil"/>
              <w:tr2bl w:val="nil"/>
            </w:tcBorders>
            <w:noWrap w:val="0"/>
            <w:vAlign w:val="center"/>
          </w:tcPr>
          <w:p w14:paraId="1124675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571" w:type="dxa"/>
            <w:tcBorders>
              <w:tl2br w:val="nil"/>
              <w:tr2bl w:val="nil"/>
            </w:tcBorders>
            <w:noWrap w:val="0"/>
            <w:vAlign w:val="center"/>
          </w:tcPr>
          <w:p w14:paraId="2B0535DC">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790" w:type="dxa"/>
            <w:tcBorders>
              <w:tl2br w:val="nil"/>
              <w:tr2bl w:val="nil"/>
            </w:tcBorders>
            <w:shd w:val="clear" w:color="auto" w:fill="auto"/>
            <w:noWrap w:val="0"/>
            <w:vAlign w:val="center"/>
          </w:tcPr>
          <w:p w14:paraId="1B9F27EA">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1.499t/a</w:t>
            </w:r>
          </w:p>
        </w:tc>
        <w:tc>
          <w:tcPr>
            <w:tcW w:w="1702" w:type="dxa"/>
            <w:tcBorders>
              <w:tl2br w:val="nil"/>
              <w:tr2bl w:val="nil"/>
            </w:tcBorders>
            <w:noWrap w:val="0"/>
            <w:vAlign w:val="center"/>
          </w:tcPr>
          <w:p w14:paraId="72B5714D">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2049" w:type="dxa"/>
            <w:tcBorders>
              <w:tl2br w:val="nil"/>
              <w:tr2bl w:val="nil"/>
            </w:tcBorders>
            <w:shd w:val="clear" w:color="auto" w:fill="auto"/>
            <w:noWrap w:val="0"/>
            <w:vAlign w:val="center"/>
          </w:tcPr>
          <w:p w14:paraId="37BF9B68">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napToGrid w:val="0"/>
                <w:color w:val="000000"/>
                <w:kern w:val="21"/>
                <w:sz w:val="21"/>
                <w:szCs w:val="21"/>
                <w:highlight w:val="none"/>
                <w:lang w:val="en-US" w:eastAsia="zh-CN" w:bidi="zh-CN"/>
              </w:rPr>
              <w:t>1.499t/a</w:t>
            </w:r>
          </w:p>
        </w:tc>
        <w:tc>
          <w:tcPr>
            <w:tcW w:w="1451" w:type="dxa"/>
            <w:tcBorders>
              <w:tl2br w:val="nil"/>
              <w:tr2bl w:val="nil"/>
            </w:tcBorders>
            <w:shd w:val="clear" w:color="auto" w:fill="auto"/>
            <w:noWrap w:val="0"/>
            <w:vAlign w:val="center"/>
          </w:tcPr>
          <w:p w14:paraId="2A6489F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bidi="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napToGrid w:val="0"/>
                <w:color w:val="000000"/>
                <w:kern w:val="21"/>
                <w:sz w:val="21"/>
                <w:szCs w:val="21"/>
                <w:highlight w:val="none"/>
                <w:lang w:val="en-US" w:eastAsia="zh-CN" w:bidi="zh-CN"/>
              </w:rPr>
              <w:t>1.499t/a</w:t>
            </w:r>
          </w:p>
        </w:tc>
      </w:tr>
      <w:tr w14:paraId="24A04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noWrap w:val="0"/>
            <w:vAlign w:val="center"/>
          </w:tcPr>
          <w:p w14:paraId="124BFA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废水</w:t>
            </w:r>
          </w:p>
        </w:tc>
        <w:tc>
          <w:tcPr>
            <w:tcW w:w="1190" w:type="dxa"/>
            <w:tcBorders>
              <w:tl2br w:val="nil"/>
              <w:tr2bl w:val="nil"/>
            </w:tcBorders>
            <w:shd w:val="clear" w:color="auto" w:fill="auto"/>
            <w:noWrap w:val="0"/>
            <w:vAlign w:val="center"/>
          </w:tcPr>
          <w:p w14:paraId="7830FC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color w:val="000000"/>
                <w:kern w:val="2"/>
                <w:sz w:val="21"/>
                <w:szCs w:val="21"/>
                <w:highlight w:val="none"/>
                <w:lang w:val="en-US" w:eastAsia="zh-CN" w:bidi="ar-SA"/>
              </w:rPr>
            </w:pPr>
            <w:r>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t>化学需氧量</w:t>
            </w:r>
          </w:p>
        </w:tc>
        <w:tc>
          <w:tcPr>
            <w:tcW w:w="1609" w:type="dxa"/>
            <w:tcBorders>
              <w:tl2br w:val="nil"/>
              <w:tr2bl w:val="nil"/>
            </w:tcBorders>
            <w:shd w:val="clear" w:color="auto" w:fill="auto"/>
            <w:noWrap w:val="0"/>
            <w:vAlign w:val="center"/>
          </w:tcPr>
          <w:p w14:paraId="743D91E6">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2"/>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noWrap w:val="0"/>
            <w:vAlign w:val="center"/>
          </w:tcPr>
          <w:p w14:paraId="209F567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noWrap w:val="0"/>
            <w:vAlign w:val="center"/>
          </w:tcPr>
          <w:p w14:paraId="25E4D40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noWrap w:val="0"/>
            <w:vAlign w:val="center"/>
          </w:tcPr>
          <w:p w14:paraId="12117096">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0.072</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noWrap w:val="0"/>
            <w:vAlign w:val="center"/>
          </w:tcPr>
          <w:p w14:paraId="71FC2FCE">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noWrap w:val="0"/>
            <w:vAlign w:val="center"/>
          </w:tcPr>
          <w:p w14:paraId="5122257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2"/>
                <w:sz w:val="21"/>
                <w:szCs w:val="21"/>
                <w:highlight w:val="none"/>
                <w:lang w:val="en-US" w:eastAsia="zh-CN" w:bidi="ar-SA"/>
              </w:rPr>
            </w:pPr>
            <w:r>
              <w:rPr>
                <w:rFonts w:hint="default" w:ascii="Times New Roman" w:hAnsi="Times New Roman" w:eastAsia="宋体" w:cs="Times New Roman"/>
                <w:sz w:val="21"/>
                <w:szCs w:val="21"/>
                <w:lang w:val="en-US" w:eastAsia="zh-CN"/>
              </w:rPr>
              <w:t>0.072</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noWrap w:val="0"/>
            <w:vAlign w:val="center"/>
          </w:tcPr>
          <w:p w14:paraId="57495DE2">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+0.072</w:t>
            </w:r>
            <w:r>
              <w:rPr>
                <w:rFonts w:hint="default" w:ascii="Times New Roman" w:hAnsi="Times New Roman" w:eastAsia="宋体" w:cs="Times New Roman"/>
                <w:snapToGrid w:val="0"/>
                <w:color w:val="000000"/>
                <w:kern w:val="21"/>
                <w:sz w:val="21"/>
                <w:szCs w:val="21"/>
                <w:highlight w:val="none"/>
                <w:lang w:val="en-US" w:eastAsia="zh-CN"/>
              </w:rPr>
              <w:t>t/a</w:t>
            </w:r>
          </w:p>
        </w:tc>
      </w:tr>
      <w:tr w14:paraId="7C98A9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noWrap w:val="0"/>
            <w:vAlign w:val="center"/>
          </w:tcPr>
          <w:p w14:paraId="3310567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rPr>
            </w:pPr>
          </w:p>
        </w:tc>
        <w:tc>
          <w:tcPr>
            <w:tcW w:w="1190" w:type="dxa"/>
            <w:tcBorders>
              <w:tl2br w:val="nil"/>
              <w:tr2bl w:val="nil"/>
            </w:tcBorders>
            <w:shd w:val="clear" w:color="auto" w:fill="auto"/>
            <w:noWrap w:val="0"/>
            <w:vAlign w:val="center"/>
          </w:tcPr>
          <w:p w14:paraId="369BC7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t>氨氮</w:t>
            </w:r>
          </w:p>
        </w:tc>
        <w:tc>
          <w:tcPr>
            <w:tcW w:w="1609" w:type="dxa"/>
            <w:tcBorders>
              <w:tl2br w:val="nil"/>
              <w:tr2bl w:val="nil"/>
            </w:tcBorders>
            <w:shd w:val="clear" w:color="auto" w:fill="auto"/>
            <w:noWrap w:val="0"/>
            <w:vAlign w:val="center"/>
          </w:tcPr>
          <w:p w14:paraId="214CF7E8">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noWrap w:val="0"/>
            <w:vAlign w:val="center"/>
          </w:tcPr>
          <w:p w14:paraId="5C14E6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noWrap w:val="0"/>
            <w:vAlign w:val="center"/>
          </w:tcPr>
          <w:p w14:paraId="1617007F">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noWrap w:val="0"/>
            <w:vAlign w:val="center"/>
          </w:tcPr>
          <w:p w14:paraId="702EE45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0.011</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noWrap w:val="0"/>
            <w:vAlign w:val="center"/>
          </w:tcPr>
          <w:p w14:paraId="3D665DFA">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noWrap w:val="0"/>
            <w:vAlign w:val="center"/>
          </w:tcPr>
          <w:p w14:paraId="757B16A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0.011</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noWrap w:val="0"/>
            <w:vAlign w:val="center"/>
          </w:tcPr>
          <w:p w14:paraId="43879B1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+0.011</w:t>
            </w:r>
            <w:r>
              <w:rPr>
                <w:rFonts w:hint="default" w:ascii="Times New Roman" w:hAnsi="Times New Roman" w:eastAsia="宋体" w:cs="Times New Roman"/>
                <w:snapToGrid w:val="0"/>
                <w:color w:val="000000"/>
                <w:kern w:val="21"/>
                <w:sz w:val="21"/>
                <w:szCs w:val="21"/>
                <w:highlight w:val="none"/>
                <w:lang w:val="en-US" w:eastAsia="zh-CN"/>
              </w:rPr>
              <w:t>t/a</w:t>
            </w:r>
          </w:p>
        </w:tc>
      </w:tr>
      <w:tr w14:paraId="7225D1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vAlign w:val="center"/>
          </w:tcPr>
          <w:p w14:paraId="2C488EEB">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kern w:val="21"/>
                <w:sz w:val="21"/>
                <w:szCs w:val="21"/>
                <w:lang w:val="en-US" w:eastAsia="zh-CN"/>
              </w:rPr>
            </w:pPr>
            <w:bookmarkStart w:id="19" w:name="_Toc13762"/>
            <w:r>
              <w:rPr>
                <w:rFonts w:hint="eastAsia" w:ascii="Times New Roman" w:hAnsi="Times New Roman" w:cs="Times New Roman"/>
                <w:snapToGrid w:val="0"/>
                <w:kern w:val="21"/>
                <w:sz w:val="21"/>
                <w:szCs w:val="21"/>
                <w:lang w:val="en-US" w:eastAsia="zh-CN"/>
              </w:rPr>
              <w:t>一般固废</w:t>
            </w:r>
          </w:p>
        </w:tc>
        <w:tc>
          <w:tcPr>
            <w:tcW w:w="1190" w:type="dxa"/>
            <w:tcBorders>
              <w:tl2br w:val="nil"/>
              <w:tr2bl w:val="nil"/>
            </w:tcBorders>
            <w:shd w:val="clear" w:color="auto" w:fill="auto"/>
            <w:vAlign w:val="center"/>
          </w:tcPr>
          <w:p w14:paraId="033A8C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b w:val="0"/>
                <w:color w:val="000000"/>
                <w:spacing w:val="0"/>
                <w:kern w:val="0"/>
                <w:position w:val="0"/>
                <w:sz w:val="21"/>
                <w:szCs w:val="21"/>
                <w:highlight w:val="none"/>
                <w:lang w:val="en-US" w:eastAsia="zh-CN" w:bidi="ar-SA"/>
              </w:rPr>
              <w:t>废棉尘</w:t>
            </w:r>
          </w:p>
        </w:tc>
        <w:tc>
          <w:tcPr>
            <w:tcW w:w="1609" w:type="dxa"/>
            <w:tcBorders>
              <w:tl2br w:val="nil"/>
              <w:tr2bl w:val="nil"/>
            </w:tcBorders>
            <w:shd w:val="clear" w:color="auto" w:fill="auto"/>
            <w:vAlign w:val="center"/>
          </w:tcPr>
          <w:p w14:paraId="22995ABB">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14:paraId="53A3B982">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14:paraId="18462BA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14:paraId="2CBD52D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napToGrid w:val="0"/>
                <w:color w:val="000000"/>
                <w:kern w:val="21"/>
                <w:sz w:val="21"/>
                <w:szCs w:val="21"/>
                <w:highlight w:val="none"/>
                <w:lang w:val="en-US" w:eastAsia="zh-CN"/>
              </w:rPr>
              <w:t>7.96</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14:paraId="6E16817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6D6A466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napToGrid w:val="0"/>
                <w:color w:val="000000"/>
                <w:kern w:val="21"/>
                <w:sz w:val="21"/>
                <w:szCs w:val="21"/>
                <w:highlight w:val="none"/>
                <w:lang w:val="en-US" w:eastAsia="zh-CN"/>
              </w:rPr>
              <w:t>7.96</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14:paraId="44C9B87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sz w:val="21"/>
                <w:szCs w:val="21"/>
                <w:lang w:val="en-US" w:eastAsia="zh-CN"/>
              </w:rPr>
              <w:t>+</w:t>
            </w:r>
            <w:r>
              <w:rPr>
                <w:rFonts w:hint="eastAsia" w:cs="Times New Roman"/>
                <w:color w:val="000000"/>
                <w:kern w:val="0"/>
                <w:sz w:val="21"/>
                <w:szCs w:val="21"/>
                <w:highlight w:val="none"/>
                <w:lang w:val="en-US" w:eastAsia="zh-CN"/>
              </w:rPr>
              <w:t>7.96</w:t>
            </w:r>
            <w:r>
              <w:rPr>
                <w:rFonts w:hint="default" w:ascii="Times New Roman" w:hAnsi="Times New Roman" w:eastAsia="宋体" w:cs="Times New Roman"/>
                <w:snapToGrid w:val="0"/>
                <w:color w:val="000000"/>
                <w:kern w:val="21"/>
                <w:sz w:val="21"/>
                <w:szCs w:val="21"/>
                <w:highlight w:val="none"/>
                <w:lang w:val="en-US" w:eastAsia="zh-CN"/>
              </w:rPr>
              <w:t>t/a</w:t>
            </w:r>
          </w:p>
        </w:tc>
      </w:tr>
      <w:tr w14:paraId="3B176D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vAlign w:val="center"/>
          </w:tcPr>
          <w:p w14:paraId="48C343E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kern w:val="21"/>
                <w:sz w:val="21"/>
                <w:szCs w:val="21"/>
                <w:lang w:val="en-US" w:eastAsia="zh-CN"/>
              </w:rPr>
            </w:pPr>
          </w:p>
        </w:tc>
        <w:tc>
          <w:tcPr>
            <w:tcW w:w="1190" w:type="dxa"/>
            <w:tcBorders>
              <w:tl2br w:val="nil"/>
              <w:tr2bl w:val="nil"/>
            </w:tcBorders>
            <w:shd w:val="clear" w:color="auto" w:fill="auto"/>
            <w:vAlign w:val="center"/>
          </w:tcPr>
          <w:p w14:paraId="79072B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b w:val="0"/>
                <w:color w:val="000000"/>
                <w:spacing w:val="0"/>
                <w:kern w:val="0"/>
                <w:position w:val="0"/>
                <w:sz w:val="21"/>
                <w:szCs w:val="21"/>
                <w:highlight w:val="none"/>
                <w:lang w:val="en-US" w:eastAsia="zh-CN" w:bidi="ar-SA"/>
              </w:rPr>
              <w:t>异常籽、瘪籽及轻杂物</w:t>
            </w:r>
          </w:p>
        </w:tc>
        <w:tc>
          <w:tcPr>
            <w:tcW w:w="1609" w:type="dxa"/>
            <w:tcBorders>
              <w:tl2br w:val="nil"/>
              <w:tr2bl w:val="nil"/>
            </w:tcBorders>
            <w:shd w:val="clear" w:color="auto" w:fill="auto"/>
            <w:vAlign w:val="center"/>
          </w:tcPr>
          <w:p w14:paraId="1C075D58">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14:paraId="0E691B5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14:paraId="45FEBD4C">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14:paraId="4E1FDE3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8</w:t>
            </w:r>
            <w:r>
              <w:rPr>
                <w:rFonts w:hint="eastAsia" w:ascii="Times New Roman" w:hAnsi="Times New Roman" w:eastAsia="宋体" w:cs="Times New Roman"/>
                <w:snapToGrid w:val="0"/>
                <w:color w:val="000000"/>
                <w:kern w:val="21"/>
                <w:sz w:val="21"/>
                <w:szCs w:val="21"/>
                <w:highlight w:val="none"/>
                <w:lang w:val="en-US" w:eastAsia="zh-CN"/>
              </w:rPr>
              <w:t>00</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14:paraId="6D6CD018">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3B9CD2E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8</w:t>
            </w:r>
            <w:r>
              <w:rPr>
                <w:rFonts w:hint="eastAsia" w:ascii="Times New Roman" w:hAnsi="Times New Roman" w:eastAsia="宋体" w:cs="Times New Roman"/>
                <w:snapToGrid w:val="0"/>
                <w:color w:val="000000"/>
                <w:kern w:val="21"/>
                <w:sz w:val="21"/>
                <w:szCs w:val="21"/>
                <w:highlight w:val="none"/>
                <w:lang w:val="en-US" w:eastAsia="zh-CN"/>
              </w:rPr>
              <w:t>00</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14:paraId="7E08693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color w:val="000000"/>
                <w:kern w:val="0"/>
                <w:sz w:val="21"/>
                <w:szCs w:val="21"/>
                <w:highlight w:val="none"/>
                <w:lang w:val="en-US" w:eastAsia="zh-CN"/>
              </w:rPr>
              <w:t>8</w:t>
            </w:r>
            <w:r>
              <w:rPr>
                <w:rFonts w:hint="eastAsia" w:ascii="Times New Roman" w:hAnsi="Times New Roman" w:eastAsia="宋体" w:cs="Times New Roman"/>
                <w:color w:val="000000"/>
                <w:kern w:val="0"/>
                <w:sz w:val="21"/>
                <w:szCs w:val="21"/>
                <w:highlight w:val="none"/>
                <w:lang w:val="en-US" w:eastAsia="zh-CN"/>
              </w:rPr>
              <w:t>00</w:t>
            </w:r>
            <w:r>
              <w:rPr>
                <w:rFonts w:hint="default" w:ascii="Times New Roman" w:hAnsi="Times New Roman" w:eastAsia="宋体" w:cs="Times New Roman"/>
                <w:snapToGrid w:val="0"/>
                <w:color w:val="000000"/>
                <w:kern w:val="21"/>
                <w:sz w:val="21"/>
                <w:szCs w:val="21"/>
                <w:highlight w:val="none"/>
                <w:lang w:val="en-US" w:eastAsia="zh-CN"/>
              </w:rPr>
              <w:t>t/a</w:t>
            </w:r>
          </w:p>
        </w:tc>
      </w:tr>
      <w:tr w14:paraId="618400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vAlign w:val="center"/>
          </w:tcPr>
          <w:p w14:paraId="5C689075">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cs="Times New Roman"/>
                <w:snapToGrid w:val="0"/>
                <w:kern w:val="21"/>
                <w:sz w:val="21"/>
                <w:szCs w:val="21"/>
                <w:lang w:val="en-US" w:eastAsia="zh-CN"/>
              </w:rPr>
            </w:pPr>
          </w:p>
        </w:tc>
        <w:tc>
          <w:tcPr>
            <w:tcW w:w="1190" w:type="dxa"/>
            <w:tcBorders>
              <w:tl2br w:val="nil"/>
              <w:tr2bl w:val="nil"/>
            </w:tcBorders>
            <w:shd w:val="clear" w:color="auto" w:fill="auto"/>
            <w:vAlign w:val="center"/>
          </w:tcPr>
          <w:p w14:paraId="2E3959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eastAsia" w:cs="Times New Roman"/>
                <w:b w:val="0"/>
                <w:color w:val="000000"/>
                <w:spacing w:val="0"/>
                <w:kern w:val="0"/>
                <w:position w:val="0"/>
                <w:sz w:val="21"/>
                <w:szCs w:val="21"/>
                <w:highlight w:val="none"/>
                <w:lang w:val="en-US" w:eastAsia="zh-CN" w:bidi="ar-SA"/>
              </w:rPr>
              <w:t>铁磁性杂质</w:t>
            </w:r>
          </w:p>
        </w:tc>
        <w:tc>
          <w:tcPr>
            <w:tcW w:w="1609" w:type="dxa"/>
            <w:tcBorders>
              <w:tl2br w:val="nil"/>
              <w:tr2bl w:val="nil"/>
            </w:tcBorders>
            <w:shd w:val="clear" w:color="auto" w:fill="auto"/>
            <w:vAlign w:val="center"/>
          </w:tcPr>
          <w:p w14:paraId="6CC2BBCF">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14:paraId="184982F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14:paraId="5587390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14:paraId="026490B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8</w:t>
            </w:r>
            <w:r>
              <w:rPr>
                <w:rFonts w:hint="eastAsia" w:ascii="Times New Roman" w:hAnsi="Times New Roman" w:eastAsia="宋体" w:cs="Times New Roman"/>
                <w:snapToGrid w:val="0"/>
                <w:color w:val="000000"/>
                <w:kern w:val="21"/>
                <w:sz w:val="21"/>
                <w:szCs w:val="21"/>
                <w:highlight w:val="none"/>
                <w:lang w:val="en-US" w:eastAsia="zh-CN"/>
              </w:rPr>
              <w:t>0</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14:paraId="5111016A">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7D85C76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napToGrid w:val="0"/>
                <w:color w:val="000000"/>
                <w:kern w:val="21"/>
                <w:sz w:val="21"/>
                <w:szCs w:val="21"/>
                <w:highlight w:val="none"/>
                <w:lang w:val="en-US" w:eastAsia="zh-CN"/>
              </w:rPr>
            </w:pPr>
            <w:r>
              <w:rPr>
                <w:rFonts w:hint="eastAsia" w:cs="Times New Roman"/>
                <w:snapToGrid w:val="0"/>
                <w:color w:val="000000"/>
                <w:kern w:val="21"/>
                <w:sz w:val="21"/>
                <w:szCs w:val="21"/>
                <w:highlight w:val="none"/>
                <w:lang w:val="en-US" w:eastAsia="zh-CN"/>
              </w:rPr>
              <w:t>8</w:t>
            </w:r>
            <w:r>
              <w:rPr>
                <w:rFonts w:hint="eastAsia" w:ascii="Times New Roman" w:hAnsi="Times New Roman" w:eastAsia="宋体" w:cs="Times New Roman"/>
                <w:snapToGrid w:val="0"/>
                <w:color w:val="000000"/>
                <w:kern w:val="21"/>
                <w:sz w:val="21"/>
                <w:szCs w:val="21"/>
                <w:highlight w:val="none"/>
                <w:lang w:val="en-US" w:eastAsia="zh-CN"/>
              </w:rPr>
              <w:t>0</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14:paraId="2737AF2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color w:val="000000"/>
                <w:kern w:val="0"/>
                <w:sz w:val="21"/>
                <w:szCs w:val="21"/>
                <w:highlight w:val="none"/>
                <w:lang w:val="en-US" w:eastAsia="zh-CN"/>
              </w:rPr>
              <w:t>8</w:t>
            </w:r>
            <w:r>
              <w:rPr>
                <w:rFonts w:hint="eastAsia" w:ascii="Times New Roman" w:hAnsi="Times New Roman" w:eastAsia="宋体" w:cs="Times New Roman"/>
                <w:color w:val="000000"/>
                <w:kern w:val="0"/>
                <w:sz w:val="21"/>
                <w:szCs w:val="21"/>
                <w:highlight w:val="none"/>
                <w:lang w:val="en-US" w:eastAsia="zh-CN"/>
              </w:rPr>
              <w:t>0</w:t>
            </w:r>
            <w:r>
              <w:rPr>
                <w:rFonts w:hint="default" w:ascii="Times New Roman" w:hAnsi="Times New Roman" w:eastAsia="宋体" w:cs="Times New Roman"/>
                <w:snapToGrid w:val="0"/>
                <w:color w:val="000000"/>
                <w:kern w:val="21"/>
                <w:sz w:val="21"/>
                <w:szCs w:val="21"/>
                <w:highlight w:val="none"/>
                <w:lang w:val="en-US" w:eastAsia="zh-CN"/>
              </w:rPr>
              <w:t>t/a</w:t>
            </w:r>
          </w:p>
        </w:tc>
      </w:tr>
      <w:tr w14:paraId="15EB53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vAlign w:val="center"/>
          </w:tcPr>
          <w:p w14:paraId="2D824C9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eastAsia="zh-CN"/>
              </w:rPr>
            </w:pPr>
            <w:r>
              <w:rPr>
                <w:rFonts w:hint="default" w:ascii="Times New Roman" w:hAnsi="Times New Roman" w:eastAsia="宋体" w:cs="Times New Roman"/>
                <w:snapToGrid w:val="0"/>
                <w:color w:val="000000"/>
                <w:kern w:val="21"/>
                <w:sz w:val="21"/>
                <w:szCs w:val="21"/>
                <w:highlight w:val="none"/>
                <w:lang w:eastAsia="zh-CN"/>
              </w:rPr>
              <w:t>危险废物</w:t>
            </w:r>
          </w:p>
        </w:tc>
        <w:tc>
          <w:tcPr>
            <w:tcW w:w="1190" w:type="dxa"/>
            <w:tcBorders>
              <w:tl2br w:val="nil"/>
              <w:tr2bl w:val="nil"/>
            </w:tcBorders>
            <w:shd w:val="clear" w:color="auto" w:fill="auto"/>
            <w:vAlign w:val="center"/>
          </w:tcPr>
          <w:p w14:paraId="78BFED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b w:val="0"/>
                <w:color w:val="000000"/>
                <w:spacing w:val="0"/>
                <w:kern w:val="0"/>
                <w:position w:val="0"/>
                <w:sz w:val="21"/>
                <w:szCs w:val="21"/>
                <w:highlight w:val="none"/>
                <w:lang w:val="en-US" w:eastAsia="zh-CN" w:bidi="ar-SA"/>
              </w:rPr>
              <w:t>氢氧化钠包装袋</w:t>
            </w:r>
          </w:p>
        </w:tc>
        <w:tc>
          <w:tcPr>
            <w:tcW w:w="1609" w:type="dxa"/>
            <w:tcBorders>
              <w:tl2br w:val="nil"/>
              <w:tr2bl w:val="nil"/>
            </w:tcBorders>
            <w:shd w:val="clear" w:color="auto" w:fill="auto"/>
            <w:vAlign w:val="center"/>
          </w:tcPr>
          <w:p w14:paraId="0723704B">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vAlign w:val="center"/>
          </w:tcPr>
          <w:p w14:paraId="10253F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vAlign w:val="center"/>
          </w:tcPr>
          <w:p w14:paraId="1ED48DE0">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vAlign w:val="center"/>
          </w:tcPr>
          <w:p w14:paraId="6DBE885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0.01t/a</w:t>
            </w:r>
          </w:p>
        </w:tc>
        <w:tc>
          <w:tcPr>
            <w:tcW w:w="1702" w:type="dxa"/>
            <w:tcBorders>
              <w:tl2br w:val="nil"/>
              <w:tr2bl w:val="nil"/>
            </w:tcBorders>
            <w:vAlign w:val="center"/>
          </w:tcPr>
          <w:p w14:paraId="74B7C2F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2BABACF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0.01t/a</w:t>
            </w:r>
          </w:p>
        </w:tc>
        <w:tc>
          <w:tcPr>
            <w:tcW w:w="1451" w:type="dxa"/>
            <w:tcBorders>
              <w:tl2br w:val="nil"/>
              <w:tr2bl w:val="nil"/>
            </w:tcBorders>
            <w:shd w:val="clear" w:color="auto" w:fill="auto"/>
            <w:vAlign w:val="center"/>
          </w:tcPr>
          <w:p w14:paraId="136BF8E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kern w:val="0"/>
                <w:sz w:val="21"/>
                <w:szCs w:val="21"/>
                <w:highlight w:val="none"/>
                <w:lang w:val="en-US" w:eastAsia="zh-CN"/>
              </w:rPr>
              <w:t>0.01t/a</w:t>
            </w:r>
          </w:p>
        </w:tc>
      </w:tr>
      <w:tr w14:paraId="116B73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vAlign w:val="center"/>
          </w:tcPr>
          <w:p w14:paraId="3513527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rPr>
            </w:pPr>
          </w:p>
        </w:tc>
        <w:tc>
          <w:tcPr>
            <w:tcW w:w="1190" w:type="dxa"/>
            <w:tcBorders>
              <w:tl2br w:val="nil"/>
              <w:tr2bl w:val="nil"/>
            </w:tcBorders>
            <w:shd w:val="clear" w:color="auto" w:fill="auto"/>
            <w:vAlign w:val="center"/>
          </w:tcPr>
          <w:p w14:paraId="1E351D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spacing w:val="0"/>
                <w:kern w:val="0"/>
                <w:sz w:val="21"/>
                <w:szCs w:val="21"/>
                <w:lang w:val="en-US" w:eastAsia="zh-CN"/>
              </w:rPr>
              <w:t>废润滑油</w:t>
            </w:r>
          </w:p>
        </w:tc>
        <w:tc>
          <w:tcPr>
            <w:tcW w:w="1609" w:type="dxa"/>
            <w:tcBorders>
              <w:tl2br w:val="nil"/>
              <w:tr2bl w:val="nil"/>
            </w:tcBorders>
            <w:shd w:val="clear" w:color="auto" w:fill="auto"/>
            <w:vAlign w:val="center"/>
          </w:tcPr>
          <w:p w14:paraId="6EB0942A">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14:paraId="0A2E311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14:paraId="4009F4FC">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14:paraId="50C8EA4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14:paraId="64478641">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32DFFB4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14:paraId="3D458E4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r>
      <w:tr w14:paraId="023108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tcPr>
          <w:p w14:paraId="19A1E9B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rPr>
            </w:pPr>
          </w:p>
        </w:tc>
        <w:tc>
          <w:tcPr>
            <w:tcW w:w="1190" w:type="dxa"/>
            <w:tcBorders>
              <w:tl2br w:val="nil"/>
              <w:tr2bl w:val="nil"/>
            </w:tcBorders>
            <w:shd w:val="clear" w:color="auto" w:fill="auto"/>
            <w:vAlign w:val="center"/>
          </w:tcPr>
          <w:p w14:paraId="7AE774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spacing w:val="0"/>
                <w:kern w:val="0"/>
                <w:sz w:val="21"/>
                <w:szCs w:val="21"/>
                <w:lang w:val="en-US" w:eastAsia="zh-CN"/>
              </w:rPr>
              <w:t>废油桶</w:t>
            </w:r>
          </w:p>
        </w:tc>
        <w:tc>
          <w:tcPr>
            <w:tcW w:w="1609" w:type="dxa"/>
            <w:tcBorders>
              <w:tl2br w:val="nil"/>
              <w:tr2bl w:val="nil"/>
            </w:tcBorders>
            <w:shd w:val="clear" w:color="auto" w:fill="auto"/>
            <w:vAlign w:val="center"/>
          </w:tcPr>
          <w:p w14:paraId="2B4351D9">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vAlign w:val="center"/>
          </w:tcPr>
          <w:p w14:paraId="5D66D4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vAlign w:val="center"/>
          </w:tcPr>
          <w:p w14:paraId="7E4CA9A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vAlign w:val="center"/>
          </w:tcPr>
          <w:p w14:paraId="67A3F66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14:paraId="3CE71803">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181D9F7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14:paraId="3FC115F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kern w:val="0"/>
                <w:sz w:val="21"/>
                <w:szCs w:val="21"/>
                <w:highlight w:val="none"/>
                <w:lang w:val="en-US" w:eastAsia="zh-CN"/>
              </w:rPr>
              <w:t>0.1</w:t>
            </w:r>
            <w:r>
              <w:rPr>
                <w:rFonts w:hint="default" w:ascii="Times New Roman" w:hAnsi="Times New Roman" w:eastAsia="宋体" w:cs="Times New Roman"/>
                <w:snapToGrid w:val="0"/>
                <w:color w:val="000000"/>
                <w:kern w:val="21"/>
                <w:sz w:val="21"/>
                <w:szCs w:val="21"/>
                <w:highlight w:val="none"/>
                <w:lang w:val="en-US" w:eastAsia="zh-CN"/>
              </w:rPr>
              <w:t>t/a</w:t>
            </w:r>
          </w:p>
        </w:tc>
      </w:tr>
      <w:tr w14:paraId="61E919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tcPr>
          <w:p w14:paraId="3157DC1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kern w:val="21"/>
                <w:sz w:val="21"/>
                <w:szCs w:val="21"/>
              </w:rPr>
            </w:pPr>
          </w:p>
        </w:tc>
        <w:tc>
          <w:tcPr>
            <w:tcW w:w="1190" w:type="dxa"/>
            <w:tcBorders>
              <w:tl2br w:val="nil"/>
              <w:tr2bl w:val="nil"/>
            </w:tcBorders>
            <w:shd w:val="clear" w:color="auto" w:fill="auto"/>
            <w:vAlign w:val="center"/>
          </w:tcPr>
          <w:p w14:paraId="64DA8E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b w:val="0"/>
                <w:bCs/>
                <w:sz w:val="21"/>
                <w:szCs w:val="21"/>
                <w:vertAlign w:val="baseline"/>
                <w:lang w:val="en-US" w:eastAsia="zh-CN"/>
              </w:rPr>
              <w:t>沾染含油污泥的废手套、废抹布</w:t>
            </w:r>
          </w:p>
        </w:tc>
        <w:tc>
          <w:tcPr>
            <w:tcW w:w="1609" w:type="dxa"/>
            <w:tcBorders>
              <w:tl2br w:val="nil"/>
              <w:tr2bl w:val="nil"/>
            </w:tcBorders>
            <w:shd w:val="clear" w:color="auto" w:fill="auto"/>
            <w:vAlign w:val="center"/>
          </w:tcPr>
          <w:p w14:paraId="3E46CAEA">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vAlign w:val="center"/>
          </w:tcPr>
          <w:p w14:paraId="0D1696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vAlign w:val="center"/>
          </w:tcPr>
          <w:p w14:paraId="7F777C36">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vAlign w:val="center"/>
          </w:tcPr>
          <w:p w14:paraId="56FB2D4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0.01t/a</w:t>
            </w:r>
          </w:p>
        </w:tc>
        <w:tc>
          <w:tcPr>
            <w:tcW w:w="1702" w:type="dxa"/>
            <w:tcBorders>
              <w:tl2br w:val="nil"/>
              <w:tr2bl w:val="nil"/>
            </w:tcBorders>
            <w:vAlign w:val="center"/>
          </w:tcPr>
          <w:p w14:paraId="32481D87">
            <w:pPr>
              <w:pStyle w:val="93"/>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14:paraId="7645267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0.01t/a</w:t>
            </w:r>
          </w:p>
        </w:tc>
        <w:tc>
          <w:tcPr>
            <w:tcW w:w="1451" w:type="dxa"/>
            <w:tcBorders>
              <w:tl2br w:val="nil"/>
              <w:tr2bl w:val="nil"/>
            </w:tcBorders>
            <w:shd w:val="clear" w:color="auto" w:fill="auto"/>
            <w:vAlign w:val="center"/>
          </w:tcPr>
          <w:p w14:paraId="6E073E5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kern w:val="0"/>
                <w:sz w:val="21"/>
                <w:szCs w:val="21"/>
                <w:highlight w:val="none"/>
                <w:lang w:val="en-US" w:eastAsia="zh-CN"/>
              </w:rPr>
              <w:t>0.01t/a</w:t>
            </w:r>
          </w:p>
        </w:tc>
      </w:tr>
    </w:tbl>
    <w:p w14:paraId="7E825643">
      <w:pPr>
        <w:outlineLvl w:val="0"/>
        <w:rPr>
          <w:snapToGrid w:val="0"/>
          <w:spacing w:val="-6"/>
          <w:kern w:val="21"/>
          <w:szCs w:val="21"/>
        </w:rPr>
      </w:pPr>
      <w:bookmarkStart w:id="20" w:name="_GoBack"/>
      <w:bookmarkEnd w:id="20"/>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bookmarkEnd w:id="19"/>
    </w:p>
    <w:p w14:paraId="73920A12"/>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美黑简体">
    <w:altName w:val="宋体"/>
    <w:panose1 w:val="00000000000000000000"/>
    <w:charset w:val="00"/>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79D2">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4F36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stgcsBAACd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xKp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bbLYHLAQAAnQMAAA4AAAAAAAAAAQAgAAAAHgEAAGRycy9lMm9E&#10;b2MueG1sUEsFBgAAAAAGAAYAWQEAAFsFAAAAAA==&#10;">
              <v:fill on="f" focussize="0,0"/>
              <v:stroke on="f"/>
              <v:imagedata o:title=""/>
              <o:lock v:ext="edit" aspectratio="f"/>
              <v:textbox inset="0mm,0mm,0mm,0mm" style="mso-fit-shape-to-text:t;">
                <w:txbxContent>
                  <w:p w14:paraId="5CE4F36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8473">
    <w:pPr>
      <w:pStyle w:val="1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3D35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jlbcsBAACd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o5W3LAQAAnQMAAA4AAAAAAAAAAQAgAAAAHgEAAGRycy9lMm9E&#10;b2MueG1sUEsFBgAAAAAGAAYAWQEAAFsFAAAAAA==&#10;">
              <v:fill on="f" focussize="0,0"/>
              <v:stroke on="f"/>
              <v:imagedata o:title=""/>
              <o:lock v:ext="edit" aspectratio="f"/>
              <v:textbox inset="0mm,0mm,0mm,0mm" style="mso-fit-shape-to-text:t;">
                <w:txbxContent>
                  <w:p w14:paraId="0983D35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6175D">
    <w:pPr>
      <w:pStyle w:val="20"/>
      <w:spacing w:line="240" w:lineRule="auto"/>
      <w:rPr>
        <w:rFonts w:hint="eastAsia"/>
        <w:lang w:val="en-US" w:eastAsia="zh-CN"/>
      </w:rPr>
    </w:pPr>
    <w:r>
      <w:rPr>
        <w:rFonts w:hint="eastAsia"/>
        <w:szCs w:val="21"/>
        <w:lang w:val="en-US" w:eastAsia="zh-CN"/>
      </w:rPr>
      <w:t>新疆鼎棉农业科技有限公司棉花种子生产线建设项目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60F49"/>
    <w:multiLevelType w:val="singleLevel"/>
    <w:tmpl w:val="97360F49"/>
    <w:lvl w:ilvl="0" w:tentative="0">
      <w:start w:val="2"/>
      <w:numFmt w:val="decimal"/>
      <w:suff w:val="nothing"/>
      <w:lvlText w:val="%1、"/>
      <w:lvlJc w:val="left"/>
    </w:lvl>
  </w:abstractNum>
  <w:abstractNum w:abstractNumId="1">
    <w:nsid w:val="BFDD47A2"/>
    <w:multiLevelType w:val="singleLevel"/>
    <w:tmpl w:val="BFDD47A2"/>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2">
    <w:nsid w:val="E50FE432"/>
    <w:multiLevelType w:val="singleLevel"/>
    <w:tmpl w:val="E50FE432"/>
    <w:lvl w:ilvl="0" w:tentative="0">
      <w:start w:val="6"/>
      <w:numFmt w:val="decimal"/>
      <w:suff w:val="nothing"/>
      <w:lvlText w:val="%1、"/>
      <w:lvlJc w:val="left"/>
    </w:lvl>
  </w:abstractNum>
  <w:abstractNum w:abstractNumId="3">
    <w:nsid w:val="F12B7BBF"/>
    <w:multiLevelType w:val="singleLevel"/>
    <w:tmpl w:val="F12B7BBF"/>
    <w:lvl w:ilvl="0" w:tentative="0">
      <w:start w:val="2"/>
      <w:numFmt w:val="decimal"/>
      <w:suff w:val="nothing"/>
      <w:lvlText w:val="%1、"/>
      <w:lvlJc w:val="left"/>
    </w:lvl>
  </w:abstractNum>
  <w:abstractNum w:abstractNumId="4">
    <w:nsid w:val="00000007"/>
    <w:multiLevelType w:val="singleLevel"/>
    <w:tmpl w:val="00000007"/>
    <w:lvl w:ilvl="0" w:tentative="0">
      <w:start w:val="1"/>
      <w:numFmt w:val="decimal"/>
      <w:pStyle w:val="98"/>
      <w:lvlText w:val="%1."/>
      <w:lvlJc w:val="left"/>
      <w:pPr>
        <w:tabs>
          <w:tab w:val="left" w:pos="1200"/>
        </w:tabs>
        <w:ind w:left="1200" w:hanging="360"/>
      </w:pPr>
    </w:lvl>
  </w:abstractNum>
  <w:abstractNum w:abstractNumId="5">
    <w:nsid w:val="2EE8D88B"/>
    <w:multiLevelType w:val="multilevel"/>
    <w:tmpl w:val="2EE8D88B"/>
    <w:lvl w:ilvl="0" w:tentative="0">
      <w:start w:val="1"/>
      <w:numFmt w:val="decimal"/>
      <w:lvlText w:val="%1"/>
      <w:lvlJc w:val="left"/>
      <w:pPr>
        <w:tabs>
          <w:tab w:val="left" w:pos="0"/>
        </w:tabs>
        <w:ind w:left="420" w:firstLine="0"/>
      </w:pPr>
      <w:rPr>
        <w:rFonts w:hint="eastAsia"/>
      </w:rPr>
    </w:lvl>
    <w:lvl w:ilvl="1" w:tentative="0">
      <w:start w:val="1"/>
      <w:numFmt w:val="decimal"/>
      <w:lvlText w:val="%1.%2"/>
      <w:lvlJc w:val="left"/>
      <w:pPr>
        <w:tabs>
          <w:tab w:val="left" w:pos="0"/>
        </w:tabs>
        <w:ind w:left="576" w:hanging="576"/>
      </w:pPr>
      <w:rPr>
        <w:rFonts w:hint="default" w:ascii="Times New Roman" w:hAnsi="Times New Roman" w:cs="Times New Roman"/>
        <w:b w:val="0"/>
        <w:color w:val="auto"/>
        <w:sz w:val="24"/>
        <w:szCs w:val="24"/>
      </w:rPr>
    </w:lvl>
    <w:lvl w:ilvl="2" w:tentative="0">
      <w:start w:val="1"/>
      <w:numFmt w:val="decimal"/>
      <w:pStyle w:val="7"/>
      <w:lvlText w:val="%1.%2.%3"/>
      <w:lvlJc w:val="left"/>
      <w:pPr>
        <w:tabs>
          <w:tab w:val="left" w:pos="0"/>
        </w:tabs>
        <w:ind w:left="1133" w:firstLine="142"/>
      </w:pPr>
      <w:rPr>
        <w:rFonts w:hint="eastAsia"/>
      </w:rPr>
    </w:lvl>
    <w:lvl w:ilvl="3" w:tentative="0">
      <w:start w:val="1"/>
      <w:numFmt w:val="decimal"/>
      <w:lvlText w:val="%1.%2.%3.%4"/>
      <w:lvlJc w:val="left"/>
      <w:pPr>
        <w:tabs>
          <w:tab w:val="left" w:pos="0"/>
        </w:tabs>
        <w:ind w:left="1844" w:hanging="1844"/>
      </w:pPr>
      <w:rPr>
        <w:rFonts w:hint="eastAsia"/>
      </w:rPr>
    </w:lvl>
    <w:lvl w:ilvl="4" w:tentative="0">
      <w:start w:val="1"/>
      <w:numFmt w:val="decimal"/>
      <w:lvlText w:val="%1.%2.%3.%4.%5"/>
      <w:lvlJc w:val="left"/>
      <w:pPr>
        <w:tabs>
          <w:tab w:val="left" w:pos="0"/>
        </w:tabs>
        <w:ind w:left="1008" w:hanging="1008"/>
      </w:pPr>
      <w:rPr>
        <w:rFonts w:hint="eastAsia"/>
      </w:rPr>
    </w:lvl>
    <w:lvl w:ilvl="5" w:tentative="0">
      <w:start w:val="1"/>
      <w:numFmt w:val="decimal"/>
      <w:lvlText w:val="%1.%2.%3.%4.%5.%6"/>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jNhNmJiNzNmOGMxODNhOGJhZDk1MDYxMDZkMGQifQ=="/>
  </w:docVars>
  <w:rsids>
    <w:rsidRoot w:val="00172A27"/>
    <w:rsid w:val="000060B3"/>
    <w:rsid w:val="0001794D"/>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B68A2"/>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49DA"/>
    <w:rsid w:val="001A6F61"/>
    <w:rsid w:val="001B72B8"/>
    <w:rsid w:val="001C69B3"/>
    <w:rsid w:val="001D5595"/>
    <w:rsid w:val="001D7874"/>
    <w:rsid w:val="001D7F22"/>
    <w:rsid w:val="001E54F6"/>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251E"/>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87442"/>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51EB"/>
    <w:rsid w:val="00836C7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72716"/>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11A39"/>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161D2E"/>
    <w:rsid w:val="01186EF0"/>
    <w:rsid w:val="011A30DE"/>
    <w:rsid w:val="01290F7E"/>
    <w:rsid w:val="015D1E09"/>
    <w:rsid w:val="01800414"/>
    <w:rsid w:val="019201E2"/>
    <w:rsid w:val="0196601E"/>
    <w:rsid w:val="01C6143B"/>
    <w:rsid w:val="01E11C7E"/>
    <w:rsid w:val="01FA6396"/>
    <w:rsid w:val="02494ECD"/>
    <w:rsid w:val="024D588A"/>
    <w:rsid w:val="02697903"/>
    <w:rsid w:val="02A7595B"/>
    <w:rsid w:val="02BA3BDC"/>
    <w:rsid w:val="02D85C5A"/>
    <w:rsid w:val="02F96569"/>
    <w:rsid w:val="02FC2281"/>
    <w:rsid w:val="03375A7F"/>
    <w:rsid w:val="03702BDA"/>
    <w:rsid w:val="038A131C"/>
    <w:rsid w:val="03B877E8"/>
    <w:rsid w:val="03EA7B21"/>
    <w:rsid w:val="03FD2384"/>
    <w:rsid w:val="042D4DE1"/>
    <w:rsid w:val="05CD433F"/>
    <w:rsid w:val="05F83EAE"/>
    <w:rsid w:val="060B76AA"/>
    <w:rsid w:val="062D1F27"/>
    <w:rsid w:val="06347547"/>
    <w:rsid w:val="063E7D85"/>
    <w:rsid w:val="06416374"/>
    <w:rsid w:val="066F546B"/>
    <w:rsid w:val="069D140E"/>
    <w:rsid w:val="06E10CF9"/>
    <w:rsid w:val="071E7209"/>
    <w:rsid w:val="072620A7"/>
    <w:rsid w:val="07293586"/>
    <w:rsid w:val="07295285"/>
    <w:rsid w:val="073C1416"/>
    <w:rsid w:val="075C73C2"/>
    <w:rsid w:val="07636392"/>
    <w:rsid w:val="07770C56"/>
    <w:rsid w:val="07987C37"/>
    <w:rsid w:val="080B3400"/>
    <w:rsid w:val="0873339A"/>
    <w:rsid w:val="088C7FCD"/>
    <w:rsid w:val="08D33F03"/>
    <w:rsid w:val="08FC7EAF"/>
    <w:rsid w:val="090901F8"/>
    <w:rsid w:val="092217DD"/>
    <w:rsid w:val="09334E76"/>
    <w:rsid w:val="093A7294"/>
    <w:rsid w:val="0975046F"/>
    <w:rsid w:val="098360BB"/>
    <w:rsid w:val="09B63DDC"/>
    <w:rsid w:val="09F52124"/>
    <w:rsid w:val="0A084E2B"/>
    <w:rsid w:val="0A1E3055"/>
    <w:rsid w:val="0A2261FA"/>
    <w:rsid w:val="0A263993"/>
    <w:rsid w:val="0A2D3AC2"/>
    <w:rsid w:val="0A491F0E"/>
    <w:rsid w:val="0A7C3445"/>
    <w:rsid w:val="0A86004A"/>
    <w:rsid w:val="0AA755DF"/>
    <w:rsid w:val="0ADE7098"/>
    <w:rsid w:val="0AFB3C30"/>
    <w:rsid w:val="0B033BDE"/>
    <w:rsid w:val="0B120D44"/>
    <w:rsid w:val="0B521452"/>
    <w:rsid w:val="0B817E49"/>
    <w:rsid w:val="0BB9744D"/>
    <w:rsid w:val="0BD27BF6"/>
    <w:rsid w:val="0BF92A35"/>
    <w:rsid w:val="0C0056CB"/>
    <w:rsid w:val="0C0D3381"/>
    <w:rsid w:val="0C1E558E"/>
    <w:rsid w:val="0C280E4C"/>
    <w:rsid w:val="0C3B3C7D"/>
    <w:rsid w:val="0C6658EF"/>
    <w:rsid w:val="0CAB2EAE"/>
    <w:rsid w:val="0CE65E96"/>
    <w:rsid w:val="0D082554"/>
    <w:rsid w:val="0D16044D"/>
    <w:rsid w:val="0D4072FD"/>
    <w:rsid w:val="0D621C7D"/>
    <w:rsid w:val="0DA10EFF"/>
    <w:rsid w:val="0DE74EA1"/>
    <w:rsid w:val="0DE819AF"/>
    <w:rsid w:val="0DF36D23"/>
    <w:rsid w:val="0E21622C"/>
    <w:rsid w:val="0E4C5316"/>
    <w:rsid w:val="0E6822C1"/>
    <w:rsid w:val="0E73034D"/>
    <w:rsid w:val="0F025580"/>
    <w:rsid w:val="0F13775A"/>
    <w:rsid w:val="0F5F45FE"/>
    <w:rsid w:val="0F641C69"/>
    <w:rsid w:val="0F657030"/>
    <w:rsid w:val="0F9A112B"/>
    <w:rsid w:val="0F9A6525"/>
    <w:rsid w:val="0FC279BF"/>
    <w:rsid w:val="101E1E6D"/>
    <w:rsid w:val="105A2DDD"/>
    <w:rsid w:val="106D2F64"/>
    <w:rsid w:val="10B63710"/>
    <w:rsid w:val="10F10820"/>
    <w:rsid w:val="10FD5CBD"/>
    <w:rsid w:val="11016249"/>
    <w:rsid w:val="111C2F7A"/>
    <w:rsid w:val="1123081C"/>
    <w:rsid w:val="11665CA1"/>
    <w:rsid w:val="11B65E5F"/>
    <w:rsid w:val="12335D9F"/>
    <w:rsid w:val="125867D7"/>
    <w:rsid w:val="128919A9"/>
    <w:rsid w:val="12DB2E9D"/>
    <w:rsid w:val="12F157AA"/>
    <w:rsid w:val="12FA2B1E"/>
    <w:rsid w:val="13044AF4"/>
    <w:rsid w:val="13784E57"/>
    <w:rsid w:val="13951726"/>
    <w:rsid w:val="13BC7FB1"/>
    <w:rsid w:val="14131750"/>
    <w:rsid w:val="14396509"/>
    <w:rsid w:val="1442458B"/>
    <w:rsid w:val="145D1C03"/>
    <w:rsid w:val="146767FF"/>
    <w:rsid w:val="148A33F9"/>
    <w:rsid w:val="14965068"/>
    <w:rsid w:val="14DD2C3C"/>
    <w:rsid w:val="14F645EC"/>
    <w:rsid w:val="15076106"/>
    <w:rsid w:val="151805FE"/>
    <w:rsid w:val="15693E72"/>
    <w:rsid w:val="158C3563"/>
    <w:rsid w:val="15A02D8B"/>
    <w:rsid w:val="16087E1D"/>
    <w:rsid w:val="160F25DB"/>
    <w:rsid w:val="16255DEA"/>
    <w:rsid w:val="16995F6D"/>
    <w:rsid w:val="16BA6D54"/>
    <w:rsid w:val="17291729"/>
    <w:rsid w:val="1753508C"/>
    <w:rsid w:val="176A09FA"/>
    <w:rsid w:val="17701D14"/>
    <w:rsid w:val="17735226"/>
    <w:rsid w:val="178F417E"/>
    <w:rsid w:val="17AB27E4"/>
    <w:rsid w:val="18747F06"/>
    <w:rsid w:val="189F624C"/>
    <w:rsid w:val="18FB66E5"/>
    <w:rsid w:val="192920CE"/>
    <w:rsid w:val="19642E83"/>
    <w:rsid w:val="19710B0C"/>
    <w:rsid w:val="19A26AB0"/>
    <w:rsid w:val="1A1C66C0"/>
    <w:rsid w:val="1A3C04E4"/>
    <w:rsid w:val="1A42393B"/>
    <w:rsid w:val="1A644AB4"/>
    <w:rsid w:val="1A655CC0"/>
    <w:rsid w:val="1A7F161B"/>
    <w:rsid w:val="1AAC2E59"/>
    <w:rsid w:val="1AAD45DE"/>
    <w:rsid w:val="1AC840ED"/>
    <w:rsid w:val="1ADA4009"/>
    <w:rsid w:val="1B046F80"/>
    <w:rsid w:val="1B3267B5"/>
    <w:rsid w:val="1B40161D"/>
    <w:rsid w:val="1B441859"/>
    <w:rsid w:val="1B454E8E"/>
    <w:rsid w:val="1B6606B1"/>
    <w:rsid w:val="1B6B6879"/>
    <w:rsid w:val="1B8A5958"/>
    <w:rsid w:val="1BC962B3"/>
    <w:rsid w:val="1BD864A4"/>
    <w:rsid w:val="1BE86478"/>
    <w:rsid w:val="1C3333A8"/>
    <w:rsid w:val="1C5E7925"/>
    <w:rsid w:val="1C756E03"/>
    <w:rsid w:val="1C9B5ADD"/>
    <w:rsid w:val="1CBC2C02"/>
    <w:rsid w:val="1CC16130"/>
    <w:rsid w:val="1CFD070F"/>
    <w:rsid w:val="1D4A2671"/>
    <w:rsid w:val="1D5F6196"/>
    <w:rsid w:val="1D6132A5"/>
    <w:rsid w:val="1D62622E"/>
    <w:rsid w:val="1D8E56D5"/>
    <w:rsid w:val="1D950251"/>
    <w:rsid w:val="1DA4489F"/>
    <w:rsid w:val="1DBB6E04"/>
    <w:rsid w:val="1DC87878"/>
    <w:rsid w:val="1DE8709C"/>
    <w:rsid w:val="1E1C7F3F"/>
    <w:rsid w:val="1E1E1706"/>
    <w:rsid w:val="1E7A43DA"/>
    <w:rsid w:val="1E831B69"/>
    <w:rsid w:val="1EA370D8"/>
    <w:rsid w:val="1EB84F5C"/>
    <w:rsid w:val="1EDA5344"/>
    <w:rsid w:val="1EDE7785"/>
    <w:rsid w:val="1EE62D9C"/>
    <w:rsid w:val="1F22683C"/>
    <w:rsid w:val="1F291E28"/>
    <w:rsid w:val="1F49694B"/>
    <w:rsid w:val="1F543D23"/>
    <w:rsid w:val="1F9C3471"/>
    <w:rsid w:val="1FC77319"/>
    <w:rsid w:val="1FE7539E"/>
    <w:rsid w:val="20197FAC"/>
    <w:rsid w:val="201A362B"/>
    <w:rsid w:val="20266DB8"/>
    <w:rsid w:val="20547378"/>
    <w:rsid w:val="20671BE0"/>
    <w:rsid w:val="20963CB8"/>
    <w:rsid w:val="20A26336"/>
    <w:rsid w:val="20A81A1B"/>
    <w:rsid w:val="20B07FB6"/>
    <w:rsid w:val="20B646FB"/>
    <w:rsid w:val="20EF156B"/>
    <w:rsid w:val="213B74B1"/>
    <w:rsid w:val="215A2310"/>
    <w:rsid w:val="21BA76AF"/>
    <w:rsid w:val="21D50045"/>
    <w:rsid w:val="21DE318A"/>
    <w:rsid w:val="21EF5B80"/>
    <w:rsid w:val="21F6044E"/>
    <w:rsid w:val="21FD3E53"/>
    <w:rsid w:val="224767FD"/>
    <w:rsid w:val="22576990"/>
    <w:rsid w:val="22C95DFC"/>
    <w:rsid w:val="22F47480"/>
    <w:rsid w:val="232B179A"/>
    <w:rsid w:val="23911E22"/>
    <w:rsid w:val="23A272FC"/>
    <w:rsid w:val="23B74A16"/>
    <w:rsid w:val="23CA33B7"/>
    <w:rsid w:val="23DE1C48"/>
    <w:rsid w:val="240210CD"/>
    <w:rsid w:val="24382B96"/>
    <w:rsid w:val="2465437D"/>
    <w:rsid w:val="247268FB"/>
    <w:rsid w:val="24BF09F7"/>
    <w:rsid w:val="24C31EF3"/>
    <w:rsid w:val="252D53FE"/>
    <w:rsid w:val="254774AC"/>
    <w:rsid w:val="257E7DF0"/>
    <w:rsid w:val="258202C6"/>
    <w:rsid w:val="25B56DD4"/>
    <w:rsid w:val="25E47C5B"/>
    <w:rsid w:val="25EC2D81"/>
    <w:rsid w:val="25F5515A"/>
    <w:rsid w:val="260B62D1"/>
    <w:rsid w:val="26151358"/>
    <w:rsid w:val="2628070A"/>
    <w:rsid w:val="26567418"/>
    <w:rsid w:val="2661634B"/>
    <w:rsid w:val="26A809C3"/>
    <w:rsid w:val="26C849E5"/>
    <w:rsid w:val="26EB35B2"/>
    <w:rsid w:val="26F31C29"/>
    <w:rsid w:val="277057A2"/>
    <w:rsid w:val="27D03E7C"/>
    <w:rsid w:val="282D1C3E"/>
    <w:rsid w:val="28906419"/>
    <w:rsid w:val="28991FC1"/>
    <w:rsid w:val="289E15E7"/>
    <w:rsid w:val="28E11E34"/>
    <w:rsid w:val="28E246C7"/>
    <w:rsid w:val="29206EB8"/>
    <w:rsid w:val="29214371"/>
    <w:rsid w:val="29595666"/>
    <w:rsid w:val="29874881"/>
    <w:rsid w:val="29C6007A"/>
    <w:rsid w:val="29CD2261"/>
    <w:rsid w:val="29E325E0"/>
    <w:rsid w:val="29F26DA5"/>
    <w:rsid w:val="2A0A7B10"/>
    <w:rsid w:val="2A156DB9"/>
    <w:rsid w:val="2A331DAD"/>
    <w:rsid w:val="2A3736EC"/>
    <w:rsid w:val="2A3800B8"/>
    <w:rsid w:val="2A452503"/>
    <w:rsid w:val="2AB00FFB"/>
    <w:rsid w:val="2AD21BBF"/>
    <w:rsid w:val="2B63012E"/>
    <w:rsid w:val="2B8A3235"/>
    <w:rsid w:val="2BA14AA2"/>
    <w:rsid w:val="2BA936A8"/>
    <w:rsid w:val="2BCF3D57"/>
    <w:rsid w:val="2BFE7ED3"/>
    <w:rsid w:val="2C315A5A"/>
    <w:rsid w:val="2C367325"/>
    <w:rsid w:val="2C432832"/>
    <w:rsid w:val="2C4B1C25"/>
    <w:rsid w:val="2CBF3CF4"/>
    <w:rsid w:val="2D9917D3"/>
    <w:rsid w:val="2D9E56F5"/>
    <w:rsid w:val="2DFB7085"/>
    <w:rsid w:val="2E044710"/>
    <w:rsid w:val="2E4976B9"/>
    <w:rsid w:val="2E5F4307"/>
    <w:rsid w:val="2E667F96"/>
    <w:rsid w:val="2E79337C"/>
    <w:rsid w:val="2E8226AB"/>
    <w:rsid w:val="2EB01164"/>
    <w:rsid w:val="2EBF1AC9"/>
    <w:rsid w:val="2F2734B5"/>
    <w:rsid w:val="2F6D179B"/>
    <w:rsid w:val="2FBC77EB"/>
    <w:rsid w:val="2FC812C0"/>
    <w:rsid w:val="2FD065E6"/>
    <w:rsid w:val="2FD7245D"/>
    <w:rsid w:val="2FD96870"/>
    <w:rsid w:val="2FEC4655"/>
    <w:rsid w:val="303F34DB"/>
    <w:rsid w:val="30443381"/>
    <w:rsid w:val="30576D0D"/>
    <w:rsid w:val="30580BC9"/>
    <w:rsid w:val="306653AC"/>
    <w:rsid w:val="310014E9"/>
    <w:rsid w:val="311E2ED7"/>
    <w:rsid w:val="315619EE"/>
    <w:rsid w:val="315C449C"/>
    <w:rsid w:val="31AA3F60"/>
    <w:rsid w:val="31AF719A"/>
    <w:rsid w:val="31B82709"/>
    <w:rsid w:val="31C472B1"/>
    <w:rsid w:val="31D05482"/>
    <w:rsid w:val="320329AC"/>
    <w:rsid w:val="32400B34"/>
    <w:rsid w:val="327318E0"/>
    <w:rsid w:val="329E6876"/>
    <w:rsid w:val="32AE5892"/>
    <w:rsid w:val="32B65CD7"/>
    <w:rsid w:val="32EA7618"/>
    <w:rsid w:val="32F02860"/>
    <w:rsid w:val="330B7E2F"/>
    <w:rsid w:val="331D5572"/>
    <w:rsid w:val="33294842"/>
    <w:rsid w:val="333015F2"/>
    <w:rsid w:val="334B6320"/>
    <w:rsid w:val="334C478A"/>
    <w:rsid w:val="33D934D4"/>
    <w:rsid w:val="33EC12E9"/>
    <w:rsid w:val="33FE2F6A"/>
    <w:rsid w:val="340E07E5"/>
    <w:rsid w:val="34235BF7"/>
    <w:rsid w:val="35186C85"/>
    <w:rsid w:val="358C5FA8"/>
    <w:rsid w:val="35BE0202"/>
    <w:rsid w:val="35C15DF1"/>
    <w:rsid w:val="35E45D02"/>
    <w:rsid w:val="36074A7F"/>
    <w:rsid w:val="360802BE"/>
    <w:rsid w:val="362C172B"/>
    <w:rsid w:val="36923549"/>
    <w:rsid w:val="36AE36FA"/>
    <w:rsid w:val="36B75FBF"/>
    <w:rsid w:val="36BD0C45"/>
    <w:rsid w:val="37604F68"/>
    <w:rsid w:val="37E00298"/>
    <w:rsid w:val="38212777"/>
    <w:rsid w:val="38777FED"/>
    <w:rsid w:val="38910D12"/>
    <w:rsid w:val="38B302F9"/>
    <w:rsid w:val="38F12CD3"/>
    <w:rsid w:val="38F94775"/>
    <w:rsid w:val="392971ED"/>
    <w:rsid w:val="392A310B"/>
    <w:rsid w:val="39325651"/>
    <w:rsid w:val="39511B6E"/>
    <w:rsid w:val="39D578AC"/>
    <w:rsid w:val="3A0D2C7C"/>
    <w:rsid w:val="3A3E7269"/>
    <w:rsid w:val="3A872856"/>
    <w:rsid w:val="3AD97982"/>
    <w:rsid w:val="3B3763D1"/>
    <w:rsid w:val="3B6D2E72"/>
    <w:rsid w:val="3BA321AC"/>
    <w:rsid w:val="3BAF62A7"/>
    <w:rsid w:val="3BF27565"/>
    <w:rsid w:val="3C2F6E1E"/>
    <w:rsid w:val="3C3B12DC"/>
    <w:rsid w:val="3C4F64BA"/>
    <w:rsid w:val="3C55616B"/>
    <w:rsid w:val="3C893637"/>
    <w:rsid w:val="3C8A1D00"/>
    <w:rsid w:val="3CD64012"/>
    <w:rsid w:val="3CDA245A"/>
    <w:rsid w:val="3CE018DE"/>
    <w:rsid w:val="3D1E06B7"/>
    <w:rsid w:val="3D29776B"/>
    <w:rsid w:val="3DD82DF2"/>
    <w:rsid w:val="3E4E4A4E"/>
    <w:rsid w:val="3EC57823"/>
    <w:rsid w:val="3EDA0523"/>
    <w:rsid w:val="3EFA32BC"/>
    <w:rsid w:val="3F6342D6"/>
    <w:rsid w:val="3F877AC9"/>
    <w:rsid w:val="3F8D3CD0"/>
    <w:rsid w:val="3FB340A6"/>
    <w:rsid w:val="3FB50216"/>
    <w:rsid w:val="3FFB41BC"/>
    <w:rsid w:val="4019436D"/>
    <w:rsid w:val="40214A64"/>
    <w:rsid w:val="4027498D"/>
    <w:rsid w:val="406978D7"/>
    <w:rsid w:val="407452E2"/>
    <w:rsid w:val="407A6407"/>
    <w:rsid w:val="40867719"/>
    <w:rsid w:val="40BC4452"/>
    <w:rsid w:val="40D06E7B"/>
    <w:rsid w:val="4100206D"/>
    <w:rsid w:val="413E2A25"/>
    <w:rsid w:val="41603F30"/>
    <w:rsid w:val="416E0205"/>
    <w:rsid w:val="416E0348"/>
    <w:rsid w:val="419C6EE8"/>
    <w:rsid w:val="41AD1111"/>
    <w:rsid w:val="41D52F1C"/>
    <w:rsid w:val="4200449D"/>
    <w:rsid w:val="422525E9"/>
    <w:rsid w:val="423A3BCC"/>
    <w:rsid w:val="424E57D2"/>
    <w:rsid w:val="42532947"/>
    <w:rsid w:val="426D301F"/>
    <w:rsid w:val="427829C1"/>
    <w:rsid w:val="42B10A72"/>
    <w:rsid w:val="42B26C49"/>
    <w:rsid w:val="433A6FE6"/>
    <w:rsid w:val="43436E6D"/>
    <w:rsid w:val="43480868"/>
    <w:rsid w:val="4350713C"/>
    <w:rsid w:val="436653E0"/>
    <w:rsid w:val="43976ABE"/>
    <w:rsid w:val="439D4CF0"/>
    <w:rsid w:val="43B86002"/>
    <w:rsid w:val="43C4431A"/>
    <w:rsid w:val="43C75263"/>
    <w:rsid w:val="43C875F7"/>
    <w:rsid w:val="43F24E49"/>
    <w:rsid w:val="44323074"/>
    <w:rsid w:val="447B2004"/>
    <w:rsid w:val="44883190"/>
    <w:rsid w:val="44AB3C9D"/>
    <w:rsid w:val="44B951CC"/>
    <w:rsid w:val="44CD14E0"/>
    <w:rsid w:val="44F20B0B"/>
    <w:rsid w:val="44FB3D5B"/>
    <w:rsid w:val="45187590"/>
    <w:rsid w:val="452B127E"/>
    <w:rsid w:val="452E5F4C"/>
    <w:rsid w:val="454A2974"/>
    <w:rsid w:val="45612018"/>
    <w:rsid w:val="456E3C0C"/>
    <w:rsid w:val="458946E9"/>
    <w:rsid w:val="45A47C0E"/>
    <w:rsid w:val="45E90073"/>
    <w:rsid w:val="46165569"/>
    <w:rsid w:val="462B72EB"/>
    <w:rsid w:val="464F067D"/>
    <w:rsid w:val="46577FD6"/>
    <w:rsid w:val="466C6422"/>
    <w:rsid w:val="46737DFE"/>
    <w:rsid w:val="46AB7443"/>
    <w:rsid w:val="46AF2FD7"/>
    <w:rsid w:val="46D955A7"/>
    <w:rsid w:val="47133957"/>
    <w:rsid w:val="47A07E0C"/>
    <w:rsid w:val="47FC66C2"/>
    <w:rsid w:val="483B7CF1"/>
    <w:rsid w:val="485338EE"/>
    <w:rsid w:val="4870272E"/>
    <w:rsid w:val="48BF75E9"/>
    <w:rsid w:val="493429A5"/>
    <w:rsid w:val="49697991"/>
    <w:rsid w:val="497A5993"/>
    <w:rsid w:val="49B57230"/>
    <w:rsid w:val="49D86012"/>
    <w:rsid w:val="49DC7715"/>
    <w:rsid w:val="4A023139"/>
    <w:rsid w:val="4A070F56"/>
    <w:rsid w:val="4A7B576F"/>
    <w:rsid w:val="4A885C7E"/>
    <w:rsid w:val="4AE16C7E"/>
    <w:rsid w:val="4AF561A9"/>
    <w:rsid w:val="4B863FDA"/>
    <w:rsid w:val="4B963850"/>
    <w:rsid w:val="4B970EFF"/>
    <w:rsid w:val="4BB70690"/>
    <w:rsid w:val="4BFF18AE"/>
    <w:rsid w:val="4C3006E4"/>
    <w:rsid w:val="4C425C81"/>
    <w:rsid w:val="4C4A0649"/>
    <w:rsid w:val="4C7E5ECA"/>
    <w:rsid w:val="4C83232E"/>
    <w:rsid w:val="4C876AA5"/>
    <w:rsid w:val="4CBE185E"/>
    <w:rsid w:val="4CF71088"/>
    <w:rsid w:val="4D0E00FB"/>
    <w:rsid w:val="4D176606"/>
    <w:rsid w:val="4DA21B10"/>
    <w:rsid w:val="4DE7074A"/>
    <w:rsid w:val="4DEC4FB0"/>
    <w:rsid w:val="4DEF143D"/>
    <w:rsid w:val="4E075D8A"/>
    <w:rsid w:val="4E3D0FF5"/>
    <w:rsid w:val="4E62575A"/>
    <w:rsid w:val="4E772300"/>
    <w:rsid w:val="4EC00FAD"/>
    <w:rsid w:val="4EDF2227"/>
    <w:rsid w:val="4F2F1BE6"/>
    <w:rsid w:val="4F396CF6"/>
    <w:rsid w:val="4F54304E"/>
    <w:rsid w:val="4F5E60F2"/>
    <w:rsid w:val="4F626D03"/>
    <w:rsid w:val="4F92316F"/>
    <w:rsid w:val="4F9843DC"/>
    <w:rsid w:val="4FC62A8C"/>
    <w:rsid w:val="4FE20F0D"/>
    <w:rsid w:val="4FE51552"/>
    <w:rsid w:val="4FF51A5F"/>
    <w:rsid w:val="4FF637AB"/>
    <w:rsid w:val="50140540"/>
    <w:rsid w:val="50201213"/>
    <w:rsid w:val="50504C4B"/>
    <w:rsid w:val="509C6E7C"/>
    <w:rsid w:val="50C92E9D"/>
    <w:rsid w:val="50F12627"/>
    <w:rsid w:val="515F1555"/>
    <w:rsid w:val="5162104E"/>
    <w:rsid w:val="51E61F08"/>
    <w:rsid w:val="5267101A"/>
    <w:rsid w:val="527649FB"/>
    <w:rsid w:val="528E02B3"/>
    <w:rsid w:val="52A97DC8"/>
    <w:rsid w:val="52D422EE"/>
    <w:rsid w:val="52DD14BC"/>
    <w:rsid w:val="52EA4E4F"/>
    <w:rsid w:val="52F377BA"/>
    <w:rsid w:val="531522A7"/>
    <w:rsid w:val="534E6967"/>
    <w:rsid w:val="53642E55"/>
    <w:rsid w:val="5388190F"/>
    <w:rsid w:val="538E02A6"/>
    <w:rsid w:val="53A039CC"/>
    <w:rsid w:val="53A1505A"/>
    <w:rsid w:val="53D72D4F"/>
    <w:rsid w:val="53EA7771"/>
    <w:rsid w:val="53EE7648"/>
    <w:rsid w:val="54063E08"/>
    <w:rsid w:val="540C660E"/>
    <w:rsid w:val="543437E8"/>
    <w:rsid w:val="54406F29"/>
    <w:rsid w:val="54AF373D"/>
    <w:rsid w:val="54DE35A2"/>
    <w:rsid w:val="54ED6E78"/>
    <w:rsid w:val="54F73313"/>
    <w:rsid w:val="54F80955"/>
    <w:rsid w:val="55294F4C"/>
    <w:rsid w:val="554C108B"/>
    <w:rsid w:val="554E7006"/>
    <w:rsid w:val="555170A7"/>
    <w:rsid w:val="5587536D"/>
    <w:rsid w:val="559B174B"/>
    <w:rsid w:val="55C723EE"/>
    <w:rsid w:val="55CE0CF4"/>
    <w:rsid w:val="561B5ABA"/>
    <w:rsid w:val="562C35E1"/>
    <w:rsid w:val="562E761D"/>
    <w:rsid w:val="564B445B"/>
    <w:rsid w:val="56724756"/>
    <w:rsid w:val="567A3DF2"/>
    <w:rsid w:val="569F71F7"/>
    <w:rsid w:val="56B22A9C"/>
    <w:rsid w:val="574D0D94"/>
    <w:rsid w:val="57650731"/>
    <w:rsid w:val="57792E07"/>
    <w:rsid w:val="57B72A76"/>
    <w:rsid w:val="57C3426C"/>
    <w:rsid w:val="57CE1F93"/>
    <w:rsid w:val="57FF21E5"/>
    <w:rsid w:val="58843D6C"/>
    <w:rsid w:val="588743D1"/>
    <w:rsid w:val="5887701A"/>
    <w:rsid w:val="58D30811"/>
    <w:rsid w:val="58F026D9"/>
    <w:rsid w:val="590076C4"/>
    <w:rsid w:val="592025B4"/>
    <w:rsid w:val="59583C36"/>
    <w:rsid w:val="5971107E"/>
    <w:rsid w:val="59764D0D"/>
    <w:rsid w:val="59C0439F"/>
    <w:rsid w:val="59C439C9"/>
    <w:rsid w:val="59D26E6D"/>
    <w:rsid w:val="59DE5845"/>
    <w:rsid w:val="5A1468D1"/>
    <w:rsid w:val="5A66627C"/>
    <w:rsid w:val="5A7616BE"/>
    <w:rsid w:val="5AB87F3A"/>
    <w:rsid w:val="5ABE2233"/>
    <w:rsid w:val="5AC2169F"/>
    <w:rsid w:val="5AE54792"/>
    <w:rsid w:val="5B222411"/>
    <w:rsid w:val="5BC16969"/>
    <w:rsid w:val="5BDF5D95"/>
    <w:rsid w:val="5BFE7528"/>
    <w:rsid w:val="5C155E00"/>
    <w:rsid w:val="5C467A97"/>
    <w:rsid w:val="5CC1734A"/>
    <w:rsid w:val="5CE172C2"/>
    <w:rsid w:val="5CE37FC0"/>
    <w:rsid w:val="5D2655F9"/>
    <w:rsid w:val="5D567DF8"/>
    <w:rsid w:val="5D9334C1"/>
    <w:rsid w:val="5DDF07A4"/>
    <w:rsid w:val="5DE33A9B"/>
    <w:rsid w:val="5DFC788B"/>
    <w:rsid w:val="5E03603C"/>
    <w:rsid w:val="5E0D24F0"/>
    <w:rsid w:val="5E1A22A0"/>
    <w:rsid w:val="5E2467F1"/>
    <w:rsid w:val="5E4D7F51"/>
    <w:rsid w:val="5E6F3D3D"/>
    <w:rsid w:val="5EEC13F9"/>
    <w:rsid w:val="5F1A2B43"/>
    <w:rsid w:val="5F1E4A37"/>
    <w:rsid w:val="5F355A6D"/>
    <w:rsid w:val="5F5553F3"/>
    <w:rsid w:val="5F852F88"/>
    <w:rsid w:val="5FB837BB"/>
    <w:rsid w:val="5FCB5FC0"/>
    <w:rsid w:val="5FEC3062"/>
    <w:rsid w:val="5FF61EB8"/>
    <w:rsid w:val="60251BBC"/>
    <w:rsid w:val="608A5EC3"/>
    <w:rsid w:val="60B32F84"/>
    <w:rsid w:val="60CC405A"/>
    <w:rsid w:val="60D50729"/>
    <w:rsid w:val="60F375C4"/>
    <w:rsid w:val="61036AD3"/>
    <w:rsid w:val="61291238"/>
    <w:rsid w:val="61410D86"/>
    <w:rsid w:val="61447E20"/>
    <w:rsid w:val="61AA53EA"/>
    <w:rsid w:val="61E215D8"/>
    <w:rsid w:val="61ED5958"/>
    <w:rsid w:val="61EF4744"/>
    <w:rsid w:val="621B3775"/>
    <w:rsid w:val="62364782"/>
    <w:rsid w:val="62845FBE"/>
    <w:rsid w:val="62A24EF4"/>
    <w:rsid w:val="62C001B9"/>
    <w:rsid w:val="630F26B0"/>
    <w:rsid w:val="63694899"/>
    <w:rsid w:val="6394356A"/>
    <w:rsid w:val="63AE73FC"/>
    <w:rsid w:val="63B079EF"/>
    <w:rsid w:val="63B7097B"/>
    <w:rsid w:val="63C61B2C"/>
    <w:rsid w:val="63D40BE9"/>
    <w:rsid w:val="64102431"/>
    <w:rsid w:val="64132A8F"/>
    <w:rsid w:val="641C15A0"/>
    <w:rsid w:val="64A5243A"/>
    <w:rsid w:val="64F46001"/>
    <w:rsid w:val="64F531DE"/>
    <w:rsid w:val="650568E8"/>
    <w:rsid w:val="65373578"/>
    <w:rsid w:val="65E26CA4"/>
    <w:rsid w:val="66253A4B"/>
    <w:rsid w:val="669C24AC"/>
    <w:rsid w:val="66A31A8D"/>
    <w:rsid w:val="66C355F8"/>
    <w:rsid w:val="671F124A"/>
    <w:rsid w:val="67263A62"/>
    <w:rsid w:val="674C14F0"/>
    <w:rsid w:val="67795889"/>
    <w:rsid w:val="677A33C6"/>
    <w:rsid w:val="67BC1846"/>
    <w:rsid w:val="67C51AB9"/>
    <w:rsid w:val="67FF0373"/>
    <w:rsid w:val="681271F9"/>
    <w:rsid w:val="681F6961"/>
    <w:rsid w:val="68610A2F"/>
    <w:rsid w:val="68805514"/>
    <w:rsid w:val="68E36DED"/>
    <w:rsid w:val="69286C5D"/>
    <w:rsid w:val="692C7602"/>
    <w:rsid w:val="69316E2F"/>
    <w:rsid w:val="694E2071"/>
    <w:rsid w:val="69766163"/>
    <w:rsid w:val="697A3B33"/>
    <w:rsid w:val="69870CF5"/>
    <w:rsid w:val="699F1DFD"/>
    <w:rsid w:val="69D44760"/>
    <w:rsid w:val="6A0749F6"/>
    <w:rsid w:val="6A4D20CD"/>
    <w:rsid w:val="6A520EC7"/>
    <w:rsid w:val="6ABD740F"/>
    <w:rsid w:val="6AED4854"/>
    <w:rsid w:val="6AF87E20"/>
    <w:rsid w:val="6B2C3238"/>
    <w:rsid w:val="6B322639"/>
    <w:rsid w:val="6B3D6961"/>
    <w:rsid w:val="6B5548E1"/>
    <w:rsid w:val="6B715CB5"/>
    <w:rsid w:val="6B835C69"/>
    <w:rsid w:val="6BD40E11"/>
    <w:rsid w:val="6BDD7340"/>
    <w:rsid w:val="6C0F21FB"/>
    <w:rsid w:val="6C492669"/>
    <w:rsid w:val="6C583F3C"/>
    <w:rsid w:val="6C636C38"/>
    <w:rsid w:val="6C982CEA"/>
    <w:rsid w:val="6D0272BB"/>
    <w:rsid w:val="6D777DA5"/>
    <w:rsid w:val="6DB34098"/>
    <w:rsid w:val="6DB545B6"/>
    <w:rsid w:val="6DBC2D7B"/>
    <w:rsid w:val="6DE02FB4"/>
    <w:rsid w:val="6E007687"/>
    <w:rsid w:val="6E4734EE"/>
    <w:rsid w:val="6E514CED"/>
    <w:rsid w:val="6E6F3F6F"/>
    <w:rsid w:val="6E7666D4"/>
    <w:rsid w:val="6E981E8A"/>
    <w:rsid w:val="6EB563D5"/>
    <w:rsid w:val="6ED92677"/>
    <w:rsid w:val="6EE44E6B"/>
    <w:rsid w:val="6EE61B88"/>
    <w:rsid w:val="6EEC43D6"/>
    <w:rsid w:val="6EFB23ED"/>
    <w:rsid w:val="6F225983"/>
    <w:rsid w:val="6F584ECD"/>
    <w:rsid w:val="6F880BED"/>
    <w:rsid w:val="6F8A2369"/>
    <w:rsid w:val="6FDD600F"/>
    <w:rsid w:val="6FFC5590"/>
    <w:rsid w:val="70367FE4"/>
    <w:rsid w:val="704177B9"/>
    <w:rsid w:val="706555E9"/>
    <w:rsid w:val="706D1DD0"/>
    <w:rsid w:val="70856B87"/>
    <w:rsid w:val="708A6F49"/>
    <w:rsid w:val="70D527EE"/>
    <w:rsid w:val="70D70CB1"/>
    <w:rsid w:val="70F21646"/>
    <w:rsid w:val="70F537D8"/>
    <w:rsid w:val="711E68DF"/>
    <w:rsid w:val="715B5300"/>
    <w:rsid w:val="7174279C"/>
    <w:rsid w:val="71D27F8A"/>
    <w:rsid w:val="71E51A23"/>
    <w:rsid w:val="720667CF"/>
    <w:rsid w:val="72553024"/>
    <w:rsid w:val="72667983"/>
    <w:rsid w:val="727D7FB6"/>
    <w:rsid w:val="72996F54"/>
    <w:rsid w:val="72A11B58"/>
    <w:rsid w:val="72C441C3"/>
    <w:rsid w:val="72EB7997"/>
    <w:rsid w:val="73004895"/>
    <w:rsid w:val="73122968"/>
    <w:rsid w:val="731F5D5E"/>
    <w:rsid w:val="73283744"/>
    <w:rsid w:val="733058B6"/>
    <w:rsid w:val="736273BE"/>
    <w:rsid w:val="737F1306"/>
    <w:rsid w:val="739E1E6F"/>
    <w:rsid w:val="73C51AD5"/>
    <w:rsid w:val="741E793C"/>
    <w:rsid w:val="745E3944"/>
    <w:rsid w:val="74D62F18"/>
    <w:rsid w:val="75184999"/>
    <w:rsid w:val="75596A9F"/>
    <w:rsid w:val="758765B5"/>
    <w:rsid w:val="75C67560"/>
    <w:rsid w:val="75DC4673"/>
    <w:rsid w:val="7622152B"/>
    <w:rsid w:val="7635099D"/>
    <w:rsid w:val="76740596"/>
    <w:rsid w:val="767E687A"/>
    <w:rsid w:val="77762421"/>
    <w:rsid w:val="77A340BA"/>
    <w:rsid w:val="77B56B1F"/>
    <w:rsid w:val="77BC5ADC"/>
    <w:rsid w:val="77D76ED3"/>
    <w:rsid w:val="77F24622"/>
    <w:rsid w:val="780F09F4"/>
    <w:rsid w:val="78674983"/>
    <w:rsid w:val="78682384"/>
    <w:rsid w:val="78A90480"/>
    <w:rsid w:val="78B60C2C"/>
    <w:rsid w:val="792E1F68"/>
    <w:rsid w:val="7A364017"/>
    <w:rsid w:val="7A3F2D7C"/>
    <w:rsid w:val="7A545F81"/>
    <w:rsid w:val="7A5F2933"/>
    <w:rsid w:val="7A8265E1"/>
    <w:rsid w:val="7AB77105"/>
    <w:rsid w:val="7B485B8B"/>
    <w:rsid w:val="7B5A1E86"/>
    <w:rsid w:val="7B686D42"/>
    <w:rsid w:val="7B823FE2"/>
    <w:rsid w:val="7B841746"/>
    <w:rsid w:val="7B9318AB"/>
    <w:rsid w:val="7BB5038B"/>
    <w:rsid w:val="7C0E3C6F"/>
    <w:rsid w:val="7C3C4038"/>
    <w:rsid w:val="7C6C5AC7"/>
    <w:rsid w:val="7C764516"/>
    <w:rsid w:val="7C7C38A2"/>
    <w:rsid w:val="7CAD6954"/>
    <w:rsid w:val="7CC6544B"/>
    <w:rsid w:val="7CDB0363"/>
    <w:rsid w:val="7D0239FF"/>
    <w:rsid w:val="7D532081"/>
    <w:rsid w:val="7D5E40CD"/>
    <w:rsid w:val="7D6A2A1C"/>
    <w:rsid w:val="7D8132B5"/>
    <w:rsid w:val="7D8F2E69"/>
    <w:rsid w:val="7DCD56F2"/>
    <w:rsid w:val="7DDC0575"/>
    <w:rsid w:val="7E126DAB"/>
    <w:rsid w:val="7E225451"/>
    <w:rsid w:val="7E4B18FA"/>
    <w:rsid w:val="7E502BE9"/>
    <w:rsid w:val="7E6C33DC"/>
    <w:rsid w:val="7EFD0CAB"/>
    <w:rsid w:val="7F001CE7"/>
    <w:rsid w:val="7F370B6C"/>
    <w:rsid w:val="7F6025DA"/>
    <w:rsid w:val="7F692720"/>
    <w:rsid w:val="7FB37F2F"/>
    <w:rsid w:val="7FE47E50"/>
    <w:rsid w:val="7FE73E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ocked="1"/>
    <w:lsdException w:qFormat="1"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nhideWhenUsed="0" w:uiPriority="0" w:semiHidden="0" w:name="Note Heading" w:locked="1"/>
    <w:lsdException w:qFormat="1" w:uiPriority="99" w:semiHidden="0" w:name="Body Text 2" w:locked="1"/>
    <w:lsdException w:qFormat="1"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99"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locked/>
    <w:uiPriority w:val="99"/>
    <w:pPr>
      <w:keepNext/>
      <w:overflowPunct w:val="0"/>
      <w:snapToGrid w:val="0"/>
      <w:spacing w:line="360" w:lineRule="auto"/>
      <w:ind w:left="0" w:firstLine="0"/>
      <w:jc w:val="center"/>
      <w:outlineLvl w:val="0"/>
    </w:pPr>
    <w:rPr>
      <w:rFonts w:ascii="Times New Roman" w:hAnsi="Times New Roman" w:eastAsia="黑体"/>
      <w:bCs/>
      <w:color w:val="000000"/>
      <w:kern w:val="44"/>
      <w:sz w:val="30"/>
      <w:szCs w:val="30"/>
    </w:rPr>
  </w:style>
  <w:style w:type="paragraph" w:styleId="6">
    <w:name w:val="heading 2"/>
    <w:basedOn w:val="1"/>
    <w:next w:val="1"/>
    <w:qFormat/>
    <w:locked/>
    <w:uiPriority w:val="0"/>
    <w:pPr>
      <w:keepNext/>
      <w:keepLines/>
      <w:ind w:firstLine="0" w:firstLineChars="0"/>
      <w:outlineLvl w:val="1"/>
    </w:pPr>
    <w:rPr>
      <w:b/>
      <w:bCs/>
      <w:szCs w:val="32"/>
    </w:rPr>
  </w:style>
  <w:style w:type="paragraph" w:styleId="7">
    <w:name w:val="heading 3"/>
    <w:basedOn w:val="1"/>
    <w:next w:val="1"/>
    <w:qFormat/>
    <w:locked/>
    <w:uiPriority w:val="0"/>
    <w:pPr>
      <w:keepNext/>
      <w:keepLines/>
      <w:numPr>
        <w:ilvl w:val="2"/>
        <w:numId w:val="1"/>
      </w:numPr>
      <w:spacing w:before="260" w:after="260" w:line="360" w:lineRule="auto"/>
      <w:outlineLvl w:val="2"/>
    </w:pPr>
    <w:rPr>
      <w:rFonts w:ascii="方正美黑简体" w:eastAsia="方正美黑简体"/>
      <w:bCs/>
      <w:sz w:val="28"/>
      <w:szCs w:val="32"/>
    </w:rPr>
  </w:style>
  <w:style w:type="paragraph" w:styleId="8">
    <w:name w:val="heading 4"/>
    <w:basedOn w:val="1"/>
    <w:next w:val="1"/>
    <w:qFormat/>
    <w:locked/>
    <w:uiPriority w:val="0"/>
    <w:pPr>
      <w:spacing w:line="240" w:lineRule="auto"/>
      <w:ind w:firstLine="600" w:firstLineChars="200"/>
      <w:outlineLvl w:val="3"/>
    </w:pPr>
    <w:rPr>
      <w:rFonts w:ascii="Times New Roman" w:hAnsi="Times New Roman" w:eastAsia="宋体"/>
      <w:b/>
      <w:bCs/>
      <w:sz w:val="21"/>
      <w:szCs w:val="28"/>
    </w:rPr>
  </w:style>
  <w:style w:type="character" w:default="1" w:styleId="37">
    <w:name w:val="Default Paragraph Font"/>
    <w:semiHidden/>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locked/>
    <w:uiPriority w:val="0"/>
    <w:pPr>
      <w:ind w:firstLine="420" w:firstLineChars="200"/>
    </w:pPr>
  </w:style>
  <w:style w:type="paragraph" w:customStyle="1" w:styleId="3">
    <w:name w:val="Char Char Char Char Char Char Char Char Char1 Char"/>
    <w:basedOn w:val="1"/>
    <w:next w:val="4"/>
    <w:qFormat/>
    <w:uiPriority w:val="0"/>
    <w:pPr>
      <w:spacing w:line="360" w:lineRule="auto"/>
      <w:ind w:firstLine="200" w:firstLineChars="200"/>
    </w:pPr>
    <w:rPr>
      <w:rFonts w:hAnsi="宋体" w:cs="宋体"/>
      <w:spacing w:val="0"/>
      <w:sz w:val="24"/>
      <w:szCs w:val="24"/>
    </w:rPr>
  </w:style>
  <w:style w:type="paragraph" w:customStyle="1" w:styleId="4">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9">
    <w:name w:val="caption"/>
    <w:basedOn w:val="1"/>
    <w:next w:val="1"/>
    <w:unhideWhenUsed/>
    <w:qFormat/>
    <w:locked/>
    <w:uiPriority w:val="0"/>
    <w:pPr>
      <w:ind w:firstLine="0" w:firstLineChars="0"/>
      <w:jc w:val="center"/>
    </w:pPr>
    <w:rPr>
      <w:rFonts w:ascii="黑体" w:hAnsi="黑体" w:eastAsia="黑体" w:cstheme="majorBidi"/>
      <w:b/>
    </w:rPr>
  </w:style>
  <w:style w:type="paragraph" w:styleId="10">
    <w:name w:val="annotation text"/>
    <w:basedOn w:val="1"/>
    <w:link w:val="46"/>
    <w:semiHidden/>
    <w:qFormat/>
    <w:uiPriority w:val="0"/>
    <w:pPr>
      <w:jc w:val="left"/>
    </w:pPr>
    <w:rPr>
      <w:kern w:val="0"/>
      <w:sz w:val="24"/>
      <w:szCs w:val="20"/>
    </w:rPr>
  </w:style>
  <w:style w:type="paragraph" w:styleId="11">
    <w:name w:val="Body Text 3"/>
    <w:basedOn w:val="1"/>
    <w:qFormat/>
    <w:locked/>
    <w:uiPriority w:val="0"/>
    <w:pPr>
      <w:spacing w:line="560" w:lineRule="exact"/>
    </w:pPr>
    <w:rPr>
      <w:rFonts w:ascii="宋体"/>
      <w:sz w:val="28"/>
    </w:rPr>
  </w:style>
  <w:style w:type="paragraph" w:styleId="12">
    <w:name w:val="Body Text"/>
    <w:basedOn w:val="1"/>
    <w:next w:val="1"/>
    <w:link w:val="45"/>
    <w:qFormat/>
    <w:uiPriority w:val="0"/>
    <w:pPr>
      <w:widowControl/>
      <w:snapToGrid w:val="0"/>
      <w:spacing w:before="60" w:after="160" w:line="259" w:lineRule="auto"/>
      <w:ind w:right="113"/>
    </w:pPr>
    <w:rPr>
      <w:kern w:val="0"/>
      <w:sz w:val="18"/>
      <w:szCs w:val="20"/>
    </w:rPr>
  </w:style>
  <w:style w:type="paragraph" w:styleId="13">
    <w:name w:val="Body Text Indent"/>
    <w:basedOn w:val="1"/>
    <w:next w:val="8"/>
    <w:qFormat/>
    <w:uiPriority w:val="0"/>
    <w:pPr>
      <w:spacing w:after="120"/>
      <w:ind w:left="420" w:leftChars="200"/>
    </w:pPr>
    <w:rPr>
      <w:kern w:val="0"/>
      <w:sz w:val="24"/>
      <w:szCs w:val="20"/>
    </w:rPr>
  </w:style>
  <w:style w:type="paragraph" w:styleId="14">
    <w:name w:val="Block Text"/>
    <w:basedOn w:val="1"/>
    <w:qFormat/>
    <w:locked/>
    <w:uiPriority w:val="99"/>
    <w:pPr>
      <w:ind w:left="-70" w:leftChars="-33" w:rightChars="-51"/>
      <w:jc w:val="center"/>
    </w:pPr>
    <w:rPr>
      <w:rFonts w:ascii="Arial" w:hAnsi="Arial"/>
      <w:sz w:val="24"/>
    </w:rPr>
  </w:style>
  <w:style w:type="paragraph" w:styleId="15">
    <w:name w:val="Plain Text"/>
    <w:basedOn w:val="1"/>
    <w:next w:val="11"/>
    <w:qFormat/>
    <w:locked/>
    <w:uiPriority w:val="0"/>
    <w:rPr>
      <w:rFonts w:ascii="宋体" w:hAnsi="Courier New" w:eastAsia="Times New Roman"/>
      <w:kern w:val="0"/>
      <w:sz w:val="20"/>
      <w:szCs w:val="21"/>
    </w:rPr>
  </w:style>
  <w:style w:type="paragraph" w:styleId="16">
    <w:name w:val="List Bullet 5"/>
    <w:basedOn w:val="1"/>
    <w:qFormat/>
    <w:locked/>
    <w:uiPriority w:val="0"/>
    <w:pPr>
      <w:numPr>
        <w:ilvl w:val="0"/>
        <w:numId w:val="2"/>
      </w:numPr>
    </w:pPr>
  </w:style>
  <w:style w:type="paragraph" w:styleId="17">
    <w:name w:val="Date"/>
    <w:basedOn w:val="1"/>
    <w:next w:val="1"/>
    <w:link w:val="47"/>
    <w:qFormat/>
    <w:uiPriority w:val="0"/>
    <w:pPr>
      <w:ind w:left="100" w:leftChars="2500"/>
    </w:pPr>
    <w:rPr>
      <w:kern w:val="0"/>
      <w:sz w:val="24"/>
      <w:szCs w:val="20"/>
    </w:rPr>
  </w:style>
  <w:style w:type="paragraph" w:styleId="18">
    <w:name w:val="Balloon Text"/>
    <w:basedOn w:val="1"/>
    <w:link w:val="53"/>
    <w:semiHidden/>
    <w:qFormat/>
    <w:uiPriority w:val="0"/>
    <w:rPr>
      <w:kern w:val="0"/>
      <w:sz w:val="18"/>
      <w:szCs w:val="20"/>
    </w:rPr>
  </w:style>
  <w:style w:type="paragraph" w:styleId="19">
    <w:name w:val="footer"/>
    <w:basedOn w:val="1"/>
    <w:next w:val="1"/>
    <w:link w:val="49"/>
    <w:qFormat/>
    <w:uiPriority w:val="99"/>
    <w:pPr>
      <w:tabs>
        <w:tab w:val="center" w:pos="4153"/>
        <w:tab w:val="right" w:pos="8306"/>
      </w:tabs>
      <w:snapToGrid w:val="0"/>
      <w:jc w:val="left"/>
    </w:pPr>
    <w:rPr>
      <w:kern w:val="0"/>
      <w:sz w:val="18"/>
      <w:szCs w:val="20"/>
    </w:rPr>
  </w:style>
  <w:style w:type="paragraph" w:styleId="20">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39"/>
    <w:rPr>
      <w:b/>
    </w:rPr>
  </w:style>
  <w:style w:type="paragraph" w:styleId="22">
    <w:name w:val="List Continue 4"/>
    <w:basedOn w:val="1"/>
    <w:next w:val="1"/>
    <w:qFormat/>
    <w:locked/>
    <w:uiPriority w:val="0"/>
    <w:pPr>
      <w:widowControl w:val="0"/>
      <w:autoSpaceDE/>
      <w:autoSpaceDN/>
      <w:spacing w:before="0" w:after="120" w:line="360" w:lineRule="auto"/>
      <w:ind w:left="1680" w:firstLine="480"/>
      <w:jc w:val="both"/>
    </w:pPr>
    <w:rPr>
      <w:rFonts w:ascii="宋体" w:eastAsia="宋体"/>
      <w:sz w:val="24"/>
    </w:rPr>
  </w:style>
  <w:style w:type="paragraph" w:styleId="23">
    <w:name w:val="index heading"/>
    <w:basedOn w:val="1"/>
    <w:next w:val="24"/>
    <w:semiHidden/>
    <w:qFormat/>
    <w:locked/>
    <w:uiPriority w:val="0"/>
    <w:rPr>
      <w:rFonts w:ascii="Arial" w:hAnsi="Arial" w:cs="Arial"/>
      <w:b/>
      <w:bCs/>
    </w:rPr>
  </w:style>
  <w:style w:type="paragraph" w:styleId="24">
    <w:name w:val="index 1"/>
    <w:basedOn w:val="1"/>
    <w:next w:val="1"/>
    <w:semiHidden/>
    <w:qFormat/>
    <w:locked/>
    <w:uiPriority w:val="0"/>
    <w:pPr>
      <w:spacing w:line="360" w:lineRule="auto"/>
    </w:pPr>
    <w:rPr>
      <w:rFonts w:ascii="黑体" w:hAnsi="宋体" w:eastAsia="黑体"/>
      <w:sz w:val="24"/>
    </w:rPr>
  </w:style>
  <w:style w:type="paragraph" w:styleId="25">
    <w:name w:val="List"/>
    <w:basedOn w:val="1"/>
    <w:next w:val="1"/>
    <w:unhideWhenUsed/>
    <w:qFormat/>
    <w:locked/>
    <w:uiPriority w:val="99"/>
    <w:pPr>
      <w:ind w:left="200" w:hanging="200" w:hangingChars="200"/>
      <w:contextualSpacing/>
    </w:pPr>
  </w:style>
  <w:style w:type="paragraph" w:styleId="26">
    <w:name w:val="Body Text Indent 3"/>
    <w:basedOn w:val="1"/>
    <w:qFormat/>
    <w:locked/>
    <w:uiPriority w:val="0"/>
    <w:pPr>
      <w:spacing w:line="500" w:lineRule="exact"/>
      <w:ind w:firstLine="200" w:firstLineChars="200"/>
    </w:pPr>
    <w:rPr>
      <w:rFonts w:eastAsia="方正仿宋简体"/>
      <w:sz w:val="28"/>
    </w:rPr>
  </w:style>
  <w:style w:type="paragraph" w:styleId="27">
    <w:name w:val="table of figures"/>
    <w:basedOn w:val="1"/>
    <w:next w:val="1"/>
    <w:unhideWhenUsed/>
    <w:qFormat/>
    <w:locked/>
    <w:uiPriority w:val="99"/>
    <w:pPr>
      <w:jc w:val="center"/>
    </w:pPr>
    <w:rPr>
      <w:sz w:val="24"/>
    </w:rPr>
  </w:style>
  <w:style w:type="paragraph" w:styleId="28">
    <w:name w:val="Body Text 2"/>
    <w:basedOn w:val="1"/>
    <w:unhideWhenUsed/>
    <w:qFormat/>
    <w:locked/>
    <w:uiPriority w:val="99"/>
    <w:pPr>
      <w:spacing w:after="120" w:line="480" w:lineRule="auto"/>
    </w:pPr>
  </w:style>
  <w:style w:type="paragraph" w:styleId="29">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link w:val="51"/>
    <w:qFormat/>
    <w:uiPriority w:val="0"/>
    <w:pPr>
      <w:widowControl/>
      <w:spacing w:before="100" w:beforeAutospacing="1" w:after="100" w:afterAutospacing="1"/>
      <w:jc w:val="left"/>
    </w:pPr>
    <w:rPr>
      <w:rFonts w:ascii="宋体" w:hAnsi="宋体"/>
      <w:kern w:val="0"/>
      <w:sz w:val="24"/>
      <w:szCs w:val="20"/>
    </w:rPr>
  </w:style>
  <w:style w:type="paragraph" w:styleId="31">
    <w:name w:val="Title"/>
    <w:basedOn w:val="1"/>
    <w:next w:val="1"/>
    <w:qFormat/>
    <w:locked/>
    <w:uiPriority w:val="0"/>
    <w:pPr>
      <w:spacing w:line="240" w:lineRule="auto"/>
      <w:jc w:val="left"/>
    </w:pPr>
    <w:rPr>
      <w:rFonts w:ascii="Times New Roman" w:hAnsi="Times New Roman"/>
      <w:b/>
      <w:bCs/>
      <w:color w:val="000000"/>
      <w:szCs w:val="20"/>
    </w:rPr>
  </w:style>
  <w:style w:type="paragraph" w:styleId="32">
    <w:name w:val="annotation subject"/>
    <w:basedOn w:val="10"/>
    <w:next w:val="10"/>
    <w:link w:val="52"/>
    <w:qFormat/>
    <w:uiPriority w:val="0"/>
    <w:rPr>
      <w:b/>
      <w:sz w:val="24"/>
      <w:szCs w:val="20"/>
    </w:rPr>
  </w:style>
  <w:style w:type="paragraph" w:styleId="33">
    <w:name w:val="Body Text First Indent"/>
    <w:basedOn w:val="12"/>
    <w:qFormat/>
    <w:locked/>
    <w:uiPriority w:val="0"/>
    <w:pPr>
      <w:adjustRightInd w:val="0"/>
      <w:spacing w:before="50" w:beforeLines="50" w:after="0" w:line="360" w:lineRule="auto"/>
      <w:ind w:firstLine="200" w:firstLineChars="200"/>
    </w:pPr>
    <w:rPr>
      <w:sz w:val="24"/>
    </w:rPr>
  </w:style>
  <w:style w:type="paragraph" w:styleId="34">
    <w:name w:val="Body Text First Indent 2"/>
    <w:basedOn w:val="13"/>
    <w:next w:val="1"/>
    <w:qFormat/>
    <w:uiPriority w:val="0"/>
    <w:pPr>
      <w:spacing w:before="0" w:after="120" w:line="240" w:lineRule="auto"/>
      <w:ind w:left="420" w:leftChars="200" w:firstLine="420"/>
    </w:pPr>
    <w:rPr>
      <w:rFonts w:eastAsia="宋体"/>
      <w:sz w:val="24"/>
    </w:rPr>
  </w:style>
  <w:style w:type="table" w:styleId="36">
    <w:name w:val="Table Grid"/>
    <w:basedOn w:val="3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locked/>
    <w:uiPriority w:val="0"/>
    <w:rPr>
      <w:b/>
      <w:bCs/>
    </w:rPr>
  </w:style>
  <w:style w:type="character" w:styleId="39">
    <w:name w:val="page number"/>
    <w:qFormat/>
    <w:locked/>
    <w:uiPriority w:val="0"/>
  </w:style>
  <w:style w:type="character" w:styleId="40">
    <w:name w:val="Hyperlink"/>
    <w:qFormat/>
    <w:locked/>
    <w:uiPriority w:val="0"/>
    <w:rPr>
      <w:color w:val="0000FF"/>
      <w:u w:val="single"/>
    </w:rPr>
  </w:style>
  <w:style w:type="character" w:styleId="41">
    <w:name w:val="annotation reference"/>
    <w:semiHidden/>
    <w:qFormat/>
    <w:uiPriority w:val="0"/>
    <w:rPr>
      <w:sz w:val="21"/>
    </w:rPr>
  </w:style>
  <w:style w:type="paragraph" w:customStyle="1" w:styleId="42">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3">
    <w:name w:val="Default"/>
    <w:basedOn w:val="44"/>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44">
    <w:name w:val="1 表头"/>
    <w:basedOn w:val="1"/>
    <w:qFormat/>
    <w:uiPriority w:val="0"/>
    <w:pPr>
      <w:adjustRightInd w:val="0"/>
      <w:snapToGrid w:val="0"/>
      <w:spacing w:line="240" w:lineRule="auto"/>
      <w:ind w:firstLine="0" w:firstLineChars="0"/>
      <w:jc w:val="center"/>
    </w:pPr>
    <w:rPr>
      <w:b/>
      <w:color w:val="000000"/>
      <w:sz w:val="21"/>
      <w:szCs w:val="21"/>
    </w:rPr>
  </w:style>
  <w:style w:type="character" w:customStyle="1" w:styleId="45">
    <w:name w:val="正文文本 字符"/>
    <w:link w:val="12"/>
    <w:qFormat/>
    <w:locked/>
    <w:uiPriority w:val="0"/>
    <w:rPr>
      <w:sz w:val="18"/>
    </w:rPr>
  </w:style>
  <w:style w:type="character" w:customStyle="1" w:styleId="46">
    <w:name w:val="批注文字 字符"/>
    <w:link w:val="10"/>
    <w:qFormat/>
    <w:locked/>
    <w:uiPriority w:val="0"/>
    <w:rPr>
      <w:rFonts w:ascii="Times New Roman" w:hAnsi="Times New Roman" w:eastAsia="宋体"/>
      <w:sz w:val="24"/>
    </w:rPr>
  </w:style>
  <w:style w:type="character" w:customStyle="1" w:styleId="47">
    <w:name w:val="日期 字符"/>
    <w:link w:val="17"/>
    <w:qFormat/>
    <w:locked/>
    <w:uiPriority w:val="0"/>
    <w:rPr>
      <w:rFonts w:ascii="Times New Roman" w:hAnsi="Times New Roman" w:eastAsia="宋体"/>
      <w:sz w:val="24"/>
    </w:rPr>
  </w:style>
  <w:style w:type="character" w:customStyle="1" w:styleId="48">
    <w:name w:val="批注框文本 Char"/>
    <w:basedOn w:val="37"/>
    <w:link w:val="18"/>
    <w:qFormat/>
    <w:uiPriority w:val="0"/>
  </w:style>
  <w:style w:type="character" w:customStyle="1" w:styleId="49">
    <w:name w:val="页脚 字符1"/>
    <w:link w:val="19"/>
    <w:qFormat/>
    <w:locked/>
    <w:uiPriority w:val="99"/>
    <w:rPr>
      <w:sz w:val="18"/>
    </w:rPr>
  </w:style>
  <w:style w:type="character" w:customStyle="1" w:styleId="50">
    <w:name w:val="页眉 字符"/>
    <w:link w:val="20"/>
    <w:qFormat/>
    <w:locked/>
    <w:uiPriority w:val="0"/>
    <w:rPr>
      <w:sz w:val="18"/>
    </w:rPr>
  </w:style>
  <w:style w:type="character" w:customStyle="1" w:styleId="51">
    <w:name w:val="普通(网站) 字符"/>
    <w:link w:val="30"/>
    <w:qFormat/>
    <w:locked/>
    <w:uiPriority w:val="0"/>
    <w:rPr>
      <w:rFonts w:ascii="宋体" w:hAnsi="宋体" w:eastAsia="宋体"/>
      <w:sz w:val="24"/>
    </w:rPr>
  </w:style>
  <w:style w:type="character" w:customStyle="1" w:styleId="52">
    <w:name w:val="批注主题 字符"/>
    <w:link w:val="32"/>
    <w:semiHidden/>
    <w:qFormat/>
    <w:locked/>
    <w:uiPriority w:val="0"/>
    <w:rPr>
      <w:rFonts w:ascii="Times New Roman" w:hAnsi="Times New Roman" w:eastAsia="宋体"/>
      <w:b/>
      <w:kern w:val="2"/>
      <w:sz w:val="24"/>
    </w:rPr>
  </w:style>
  <w:style w:type="character" w:customStyle="1" w:styleId="53">
    <w:name w:val="批注框文本 字符"/>
    <w:link w:val="18"/>
    <w:semiHidden/>
    <w:qFormat/>
    <w:locked/>
    <w:uiPriority w:val="0"/>
    <w:rPr>
      <w:rFonts w:ascii="Times New Roman" w:hAnsi="Times New Roman" w:eastAsia="宋体"/>
      <w:sz w:val="18"/>
    </w:rPr>
  </w:style>
  <w:style w:type="paragraph" w:customStyle="1" w:styleId="54">
    <w:name w:val="正文1"/>
    <w:basedOn w:val="2"/>
    <w:next w:val="1"/>
    <w:qFormat/>
    <w:uiPriority w:val="0"/>
    <w:rPr>
      <w:szCs w:val="20"/>
    </w:rPr>
  </w:style>
  <w:style w:type="character" w:customStyle="1" w:styleId="55">
    <w:name w:val="页脚 字符"/>
    <w:qFormat/>
    <w:uiPriority w:val="99"/>
  </w:style>
  <w:style w:type="paragraph" w:customStyle="1" w:styleId="56">
    <w:name w:val="表头"/>
    <w:basedOn w:val="1"/>
    <w:next w:val="1"/>
    <w:qFormat/>
    <w:uiPriority w:val="0"/>
    <w:pPr>
      <w:adjustRightInd w:val="0"/>
      <w:spacing w:line="360" w:lineRule="auto"/>
      <w:ind w:firstLine="640" w:firstLineChars="200"/>
      <w:jc w:val="left"/>
      <w:textAlignment w:val="baseline"/>
    </w:pPr>
    <w:rPr>
      <w:rFonts w:ascii="Times New Roman" w:hAnsi="Times New Roman" w:eastAsia="宋体" w:cs="Times New Roman"/>
      <w:b/>
      <w:kern w:val="0"/>
      <w:szCs w:val="21"/>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表格标题"/>
    <w:basedOn w:val="1"/>
    <w:next w:val="1"/>
    <w:qFormat/>
    <w:uiPriority w:val="0"/>
    <w:pPr>
      <w:spacing w:line="360" w:lineRule="auto"/>
      <w:ind w:firstLine="2168" w:firstLineChars="600"/>
      <w:jc w:val="center"/>
    </w:pPr>
    <w:rPr>
      <w:b/>
      <w:bCs/>
      <w:szCs w:val="20"/>
    </w:rPr>
  </w:style>
  <w:style w:type="paragraph" w:customStyle="1" w:styleId="59">
    <w:name w:val="表中文字"/>
    <w:basedOn w:val="1"/>
    <w:qFormat/>
    <w:uiPriority w:val="0"/>
    <w:pPr>
      <w:tabs>
        <w:tab w:val="left" w:pos="2700"/>
      </w:tabs>
      <w:spacing w:line="240" w:lineRule="auto"/>
      <w:ind w:firstLine="0" w:firstLineChars="0"/>
      <w:jc w:val="center"/>
      <w:textAlignment w:val="center"/>
    </w:pPr>
    <w:rPr>
      <w:sz w:val="21"/>
      <w:szCs w:val="21"/>
    </w:rPr>
  </w:style>
  <w:style w:type="paragraph" w:customStyle="1" w:styleId="60">
    <w:name w:val="样式3"/>
    <w:basedOn w:val="1"/>
    <w:qFormat/>
    <w:uiPriority w:val="0"/>
    <w:rPr>
      <w:szCs w:val="21"/>
    </w:rPr>
  </w:style>
  <w:style w:type="paragraph" w:customStyle="1" w:styleId="61">
    <w:name w:val="报告正文小四"/>
    <w:basedOn w:val="1"/>
    <w:qFormat/>
    <w:uiPriority w:val="0"/>
    <w:pPr>
      <w:ind w:firstLine="200"/>
    </w:pPr>
    <w:rPr>
      <w:szCs w:val="20"/>
    </w:rPr>
  </w:style>
  <w:style w:type="paragraph" w:customStyle="1" w:styleId="62">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63">
    <w:name w:val="表格内"/>
    <w:basedOn w:val="1"/>
    <w:qFormat/>
    <w:uiPriority w:val="0"/>
    <w:pPr>
      <w:widowControl/>
      <w:adjustRightInd w:val="0"/>
      <w:snapToGrid w:val="0"/>
      <w:spacing w:after="200" w:line="360" w:lineRule="exact"/>
      <w:jc w:val="center"/>
    </w:pPr>
    <w:rPr>
      <w:rFonts w:ascii="Calibri" w:hAnsi="Calibri" w:eastAsia="微软雅黑" w:cs="Times New Roman"/>
      <w:snapToGrid w:val="0"/>
      <w:kern w:val="0"/>
      <w:sz w:val="22"/>
      <w:szCs w:val="21"/>
    </w:rPr>
  </w:style>
  <w:style w:type="paragraph" w:customStyle="1" w:styleId="64">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styleId="65">
    <w:name w:val="List Paragraph"/>
    <w:basedOn w:val="1"/>
    <w:qFormat/>
    <w:uiPriority w:val="1"/>
    <w:pPr>
      <w:ind w:left="122" w:hanging="795"/>
    </w:pPr>
    <w:rPr>
      <w:rFonts w:ascii="宋体" w:hAnsi="宋体" w:eastAsia="宋体" w:cs="宋体"/>
      <w:lang w:val="zh-CN" w:eastAsia="zh-CN" w:bidi="zh-CN"/>
    </w:rPr>
  </w:style>
  <w:style w:type="paragraph" w:customStyle="1" w:styleId="66">
    <w:name w:val="Table Paragraph"/>
    <w:basedOn w:val="1"/>
    <w:qFormat/>
    <w:uiPriority w:val="1"/>
    <w:rPr>
      <w:rFonts w:ascii="宋体" w:hAnsi="宋体" w:cs="宋体"/>
      <w:lang w:val="zh-CN" w:bidi="zh-CN"/>
    </w:rPr>
  </w:style>
  <w:style w:type="character" w:customStyle="1" w:styleId="67">
    <w:name w:val="font21"/>
    <w:qFormat/>
    <w:uiPriority w:val="0"/>
    <w:rPr>
      <w:rFonts w:hint="eastAsia" w:ascii="宋体" w:hAnsi="宋体" w:eastAsia="宋体" w:cs="宋体"/>
      <w:color w:val="000000"/>
      <w:sz w:val="21"/>
      <w:szCs w:val="21"/>
      <w:u w:val="none"/>
    </w:rPr>
  </w:style>
  <w:style w:type="character" w:customStyle="1" w:styleId="68">
    <w:name w:val="font31"/>
    <w:qFormat/>
    <w:uiPriority w:val="0"/>
    <w:rPr>
      <w:rFonts w:hint="default" w:ascii="Times New Roman" w:hAnsi="Times New Roman" w:cs="Times New Roman"/>
      <w:color w:val="000000"/>
      <w:sz w:val="21"/>
      <w:szCs w:val="21"/>
      <w:u w:val="none"/>
    </w:rPr>
  </w:style>
  <w:style w:type="paragraph" w:customStyle="1" w:styleId="69">
    <w:name w:val="正文(首行缩进)"/>
    <w:basedOn w:val="1"/>
    <w:next w:val="6"/>
    <w:qFormat/>
    <w:uiPriority w:val="0"/>
    <w:pPr>
      <w:spacing w:line="360" w:lineRule="auto"/>
      <w:ind w:firstLine="480" w:firstLineChars="200"/>
    </w:pPr>
    <w:rPr>
      <w:rFonts w:eastAsia="宋体"/>
      <w:bCs/>
      <w:color w:val="000000"/>
      <w:kern w:val="24"/>
      <w:sz w:val="24"/>
      <w:szCs w:val="24"/>
    </w:rPr>
  </w:style>
  <w:style w:type="paragraph" w:customStyle="1" w:styleId="70">
    <w:name w:val="Table Text"/>
    <w:basedOn w:val="1"/>
    <w:semiHidden/>
    <w:qFormat/>
    <w:uiPriority w:val="0"/>
    <w:rPr>
      <w:rFonts w:ascii="宋体" w:hAnsi="宋体" w:eastAsia="宋体" w:cs="宋体"/>
      <w:sz w:val="20"/>
      <w:szCs w:val="20"/>
      <w:lang w:val="en-US" w:eastAsia="en-US" w:bidi="ar-SA"/>
    </w:rPr>
  </w:style>
  <w:style w:type="table" w:customStyle="1" w:styleId="71">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2">
    <w:name w:val="准 正文 左侧:  2 字符 + 首行缩进:  2 字符"/>
    <w:basedOn w:val="1"/>
    <w:qFormat/>
    <w:uiPriority w:val="0"/>
    <w:pPr>
      <w:spacing w:line="360" w:lineRule="auto"/>
      <w:ind w:firstLine="480" w:firstLineChars="200"/>
    </w:pPr>
    <w:rPr>
      <w:rFonts w:cs="宋体"/>
      <w:sz w:val="24"/>
    </w:rPr>
  </w:style>
  <w:style w:type="paragraph" w:customStyle="1" w:styleId="73">
    <w:name w:val="_Style 67"/>
    <w:unhideWhenUsed/>
    <w:qFormat/>
    <w:uiPriority w:val="99"/>
    <w:rPr>
      <w:rFonts w:ascii="Times New Roman" w:hAnsi="Times New Roman" w:eastAsia="宋体" w:cs="Times New Roman"/>
      <w:kern w:val="2"/>
      <w:sz w:val="24"/>
      <w:szCs w:val="24"/>
      <w:lang w:val="en-US" w:eastAsia="zh-CN" w:bidi="ar-SA"/>
    </w:rPr>
  </w:style>
  <w:style w:type="paragraph" w:customStyle="1" w:styleId="74">
    <w:name w:val="表格文字"/>
    <w:basedOn w:val="33"/>
    <w:next w:val="1"/>
    <w:qFormat/>
    <w:uiPriority w:val="0"/>
    <w:pPr>
      <w:jc w:val="center"/>
    </w:pPr>
    <w:rPr>
      <w:rFonts w:ascii="Calibri" w:hAnsi="Calibri"/>
      <w:szCs w:val="22"/>
    </w:rPr>
  </w:style>
  <w:style w:type="paragraph" w:customStyle="1" w:styleId="75">
    <w:name w:val="标题三！！！！！！！"/>
    <w:basedOn w:val="7"/>
    <w:qFormat/>
    <w:uiPriority w:val="0"/>
    <w:pPr>
      <w:keepNext w:val="0"/>
      <w:keepLines w:val="0"/>
      <w:adjustRightInd/>
      <w:spacing w:before="0" w:after="0" w:line="500" w:lineRule="exact"/>
      <w:textAlignment w:val="auto"/>
    </w:pPr>
    <w:rPr>
      <w:rFonts w:ascii="楷体_GB2312" w:hAnsi="楷体_GB2312" w:eastAsia="楷体_GB2312" w:cs="楷体_GB2312"/>
      <w:bCs w:val="0"/>
      <w:sz w:val="28"/>
      <w:szCs w:val="28"/>
    </w:rPr>
  </w:style>
  <w:style w:type="paragraph" w:customStyle="1" w:styleId="76">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77">
    <w:name w:val="样式 首行缩进:  2 字符1"/>
    <w:basedOn w:val="1"/>
    <w:qFormat/>
    <w:uiPriority w:val="0"/>
    <w:pPr>
      <w:adjustRightInd w:val="0"/>
      <w:snapToGrid w:val="0"/>
      <w:spacing w:line="360" w:lineRule="auto"/>
      <w:ind w:firstLine="480"/>
    </w:pPr>
    <w:rPr>
      <w:rFonts w:cs="宋体"/>
    </w:rPr>
  </w:style>
  <w:style w:type="paragraph" w:customStyle="1" w:styleId="78">
    <w:name w:val="表题"/>
    <w:basedOn w:val="1"/>
    <w:next w:val="1"/>
    <w:qFormat/>
    <w:uiPriority w:val="0"/>
    <w:pPr>
      <w:spacing w:before="50" w:beforeLines="50" w:line="240" w:lineRule="auto"/>
      <w:ind w:firstLine="0" w:firstLineChars="0"/>
      <w:jc w:val="center"/>
    </w:pPr>
    <w:rPr>
      <w:b/>
      <w:sz w:val="21"/>
    </w:rPr>
  </w:style>
  <w:style w:type="paragraph" w:customStyle="1" w:styleId="79">
    <w:name w:val="图表"/>
    <w:basedOn w:val="1"/>
    <w:qFormat/>
    <w:uiPriority w:val="0"/>
    <w:pPr>
      <w:tabs>
        <w:tab w:val="left" w:pos="1322"/>
        <w:tab w:val="center" w:pos="4635"/>
      </w:tabs>
      <w:adjustRightInd w:val="0"/>
      <w:snapToGrid w:val="0"/>
      <w:jc w:val="center"/>
      <w:outlineLvl w:val="1"/>
    </w:pPr>
    <w:rPr>
      <w:rFonts w:eastAsia="黑体"/>
      <w:b/>
      <w:snapToGrid w:val="0"/>
      <w:kern w:val="0"/>
      <w:sz w:val="22"/>
      <w:szCs w:val="22"/>
    </w:rPr>
  </w:style>
  <w:style w:type="paragraph" w:customStyle="1" w:styleId="80">
    <w:name w:val="样式1"/>
    <w:basedOn w:val="23"/>
    <w:next w:val="1"/>
    <w:qFormat/>
    <w:uiPriority w:val="0"/>
    <w:pPr>
      <w:spacing w:line="260" w:lineRule="exact"/>
      <w:ind w:left="12"/>
    </w:pPr>
  </w:style>
  <w:style w:type="paragraph" w:customStyle="1" w:styleId="81">
    <w:name w:val="样式13"/>
    <w:qFormat/>
    <w:uiPriority w:val="0"/>
    <w:pPr>
      <w:topLinePunct/>
      <w:jc w:val="both"/>
    </w:pPr>
    <w:rPr>
      <w:rFonts w:ascii="Times New Roman" w:hAnsi="Times New Roman" w:eastAsia="宋体" w:cs="Times New Roman"/>
      <w:bCs/>
      <w:color w:val="000000"/>
      <w:sz w:val="21"/>
      <w:szCs w:val="21"/>
      <w:lang w:val="en-US" w:eastAsia="zh-CN" w:bidi="ar-SA"/>
    </w:rPr>
  </w:style>
  <w:style w:type="character" w:customStyle="1" w:styleId="82">
    <w:name w:val="font11"/>
    <w:basedOn w:val="37"/>
    <w:qFormat/>
    <w:uiPriority w:val="0"/>
    <w:rPr>
      <w:rFonts w:hint="eastAsia" w:ascii="宋体" w:hAnsi="宋体" w:eastAsia="宋体" w:cs="宋体"/>
      <w:color w:val="000000"/>
      <w:sz w:val="21"/>
      <w:szCs w:val="21"/>
      <w:u w:val="none"/>
    </w:rPr>
  </w:style>
  <w:style w:type="paragraph" w:customStyle="1" w:styleId="83">
    <w:name w:val="正文2"/>
    <w:qFormat/>
    <w:uiPriority w:val="0"/>
    <w:pPr>
      <w:widowControl w:val="0"/>
      <w:autoSpaceDE w:val="0"/>
      <w:autoSpaceDN w:val="0"/>
      <w:adjustRightInd w:val="0"/>
      <w:spacing w:line="360" w:lineRule="auto"/>
      <w:ind w:firstLine="560" w:firstLineChars="200"/>
      <w:jc w:val="both"/>
    </w:pPr>
    <w:rPr>
      <w:rFonts w:ascii="Times New Roman" w:hAnsi="Times New Roman" w:eastAsia="宋体" w:cs="Times New Roman"/>
      <w:color w:val="auto"/>
      <w:sz w:val="24"/>
      <w:szCs w:val="24"/>
    </w:rPr>
  </w:style>
  <w:style w:type="paragraph" w:customStyle="1" w:styleId="84">
    <w:name w:val="表格正文"/>
    <w:qFormat/>
    <w:uiPriority w:val="0"/>
    <w:pPr>
      <w:autoSpaceDE w:val="0"/>
      <w:autoSpaceDN w:val="0"/>
      <w:adjustRightInd w:val="0"/>
      <w:jc w:val="center"/>
      <w:textAlignment w:val="baseline"/>
    </w:pPr>
    <w:rPr>
      <w:rFonts w:ascii="Times New Roman" w:hAnsi="Times New Roman" w:eastAsia="宋体" w:cs="Times New Roman"/>
      <w:kern w:val="0"/>
      <w:sz w:val="21"/>
      <w:szCs w:val="21"/>
    </w:rPr>
  </w:style>
  <w:style w:type="paragraph" w:customStyle="1" w:styleId="85">
    <w:name w:val="样式 表内容 + 行距: 固定值 28 磅"/>
    <w:basedOn w:val="86"/>
    <w:qFormat/>
    <w:uiPriority w:val="0"/>
    <w:rPr>
      <w:rFonts w:cs="宋体"/>
      <w:spacing w:val="5"/>
      <w:szCs w:val="20"/>
    </w:rPr>
  </w:style>
  <w:style w:type="paragraph" w:customStyle="1" w:styleId="86">
    <w:name w:val="表内容"/>
    <w:basedOn w:val="1"/>
    <w:next w:val="1"/>
    <w:qFormat/>
    <w:uiPriority w:val="0"/>
    <w:pPr>
      <w:jc w:val="center"/>
    </w:pPr>
    <w:rPr>
      <w:rFonts w:hAnsi="宋体"/>
    </w:rPr>
  </w:style>
  <w:style w:type="paragraph" w:customStyle="1" w:styleId="87">
    <w:name w:val="表格题"/>
    <w:basedOn w:val="1"/>
    <w:autoRedefine/>
    <w:qFormat/>
    <w:uiPriority w:val="0"/>
    <w:pPr>
      <w:jc w:val="center"/>
    </w:pPr>
    <w:rPr>
      <w:rFonts w:ascii="宋体" w:hAnsi="宋体"/>
      <w:szCs w:val="20"/>
    </w:rPr>
  </w:style>
  <w:style w:type="paragraph" w:customStyle="1" w:styleId="88">
    <w:name w:val="SpireTableThStyle1a98f599-3fdb-43b8-85d7-2c9ecaee1b3310"/>
    <w:basedOn w:val="1"/>
    <w:qFormat/>
    <w:uiPriority w:val="0"/>
    <w:pPr>
      <w:jc w:val="center"/>
    </w:pPr>
    <w:rPr>
      <w:b/>
    </w:rPr>
  </w:style>
  <w:style w:type="paragraph" w:customStyle="1" w:styleId="89">
    <w:name w:val="图"/>
    <w:basedOn w:val="90"/>
    <w:qFormat/>
    <w:uiPriority w:val="0"/>
  </w:style>
  <w:style w:type="paragraph" w:customStyle="1" w:styleId="90">
    <w:name w:val="表格内部-LYJ"/>
    <w:basedOn w:val="1"/>
    <w:qFormat/>
    <w:uiPriority w:val="0"/>
    <w:pPr>
      <w:snapToGrid/>
      <w:spacing w:line="240" w:lineRule="auto"/>
      <w:ind w:firstLine="0" w:firstLineChars="0"/>
      <w:jc w:val="center"/>
    </w:pPr>
    <w:rPr>
      <w:rFonts w:cs="Times New Roman"/>
      <w:kern w:val="24"/>
      <w:sz w:val="21"/>
      <w:szCs w:val="18"/>
    </w:rPr>
  </w:style>
  <w:style w:type="paragraph" w:customStyle="1" w:styleId="91">
    <w:name w:val="表、图名"/>
    <w:basedOn w:val="1"/>
    <w:autoRedefine/>
    <w:qFormat/>
    <w:uiPriority w:val="0"/>
    <w:pPr>
      <w:adjustRightInd w:val="0"/>
      <w:snapToGrid w:val="0"/>
      <w:spacing w:line="520" w:lineRule="exact"/>
      <w:ind w:left="-6" w:firstLine="560"/>
    </w:pPr>
    <w:rPr>
      <w:b/>
      <w:szCs w:val="20"/>
    </w:rPr>
  </w:style>
  <w:style w:type="character" w:customStyle="1" w:styleId="92">
    <w:name w:val="_Style 5"/>
    <w:autoRedefine/>
    <w:qFormat/>
    <w:uiPriority w:val="0"/>
    <w:rPr>
      <w:b/>
      <w:smallCaps/>
      <w:spacing w:val="5"/>
    </w:rPr>
  </w:style>
  <w:style w:type="paragraph" w:customStyle="1" w:styleId="93">
    <w:name w:val="表格"/>
    <w:basedOn w:val="66"/>
    <w:next w:val="94"/>
    <w:autoRedefine/>
    <w:qFormat/>
    <w:uiPriority w:val="0"/>
    <w:pPr>
      <w:adjustRightInd w:val="0"/>
      <w:snapToGrid w:val="0"/>
      <w:spacing w:beforeLines="10" w:afterLines="10" w:line="259" w:lineRule="auto"/>
      <w:jc w:val="center"/>
    </w:pPr>
    <w:rPr>
      <w:rFonts w:ascii="宋体"/>
      <w:kern w:val="0"/>
      <w:szCs w:val="20"/>
    </w:rPr>
  </w:style>
  <w:style w:type="paragraph" w:customStyle="1" w:styleId="94">
    <w:name w:val="样式 标题 2 + 首行缩进:  2 字符"/>
    <w:basedOn w:val="6"/>
    <w:next w:val="95"/>
    <w:autoRedefine/>
    <w:qFormat/>
    <w:uiPriority w:val="0"/>
    <w:pPr>
      <w:widowControl/>
      <w:autoSpaceDE/>
      <w:autoSpaceDN/>
      <w:spacing w:before="0" w:after="0" w:line="300" w:lineRule="auto"/>
      <w:ind w:left="1320" w:hanging="420"/>
      <w:outlineLvl w:val="1"/>
    </w:pPr>
    <w:rPr>
      <w:rFonts w:ascii="Times New Roman" w:eastAsia="黑体"/>
      <w:b w:val="0"/>
      <w:sz w:val="30"/>
    </w:rPr>
  </w:style>
  <w:style w:type="paragraph" w:customStyle="1" w:styleId="95">
    <w:name w:val="图号"/>
    <w:next w:val="96"/>
    <w:autoRedefine/>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96">
    <w:name w:val=" Char Char Char Char Char Char Char Char Char Char Char Char Char Char Char Char Char Char Char Char Char Char"/>
    <w:basedOn w:val="1"/>
    <w:next w:val="1"/>
    <w:autoRedefine/>
    <w:qFormat/>
    <w:uiPriority w:val="0"/>
    <w:pPr>
      <w:widowControl w:val="0"/>
      <w:autoSpaceDE/>
      <w:autoSpaceDN/>
      <w:spacing w:before="0" w:after="0" w:line="360" w:lineRule="auto"/>
      <w:ind w:left="0" w:firstLine="200"/>
    </w:pPr>
    <w:rPr>
      <w:rFonts w:ascii="宋体" w:eastAsia="宋体"/>
      <w:sz w:val="24"/>
    </w:rPr>
  </w:style>
  <w:style w:type="paragraph" w:customStyle="1" w:styleId="97">
    <w:name w:val="Body text|1"/>
    <w:basedOn w:val="1"/>
    <w:qFormat/>
    <w:uiPriority w:val="0"/>
    <w:pPr>
      <w:spacing w:after="330" w:line="480" w:lineRule="auto"/>
      <w:ind w:firstLine="400"/>
    </w:pPr>
    <w:rPr>
      <w:sz w:val="20"/>
      <w:szCs w:val="20"/>
      <w:lang w:val="zh-TW" w:eastAsia="zh-TW" w:bidi="zh-TW"/>
    </w:rPr>
  </w:style>
  <w:style w:type="paragraph" w:customStyle="1" w:styleId="98">
    <w:name w:val="List Number 31"/>
    <w:basedOn w:val="1"/>
    <w:autoRedefine/>
    <w:qFormat/>
    <w:uiPriority w:val="0"/>
    <w:pPr>
      <w:numPr>
        <w:ilvl w:val="0"/>
        <w:numId w:val="3"/>
      </w:numPr>
      <w:suppressAutoHyphens w:val="0"/>
      <w:ind w:leftChars="400" w:hangingChars="200"/>
    </w:pPr>
  </w:style>
  <w:style w:type="paragraph" w:customStyle="1" w:styleId="99">
    <w:name w:val="样式 样式 (中文) 楷体_GB2312 四号 行距: 固定值 26 磅 +"/>
    <w:basedOn w:val="1"/>
    <w:qFormat/>
    <w:uiPriority w:val="0"/>
    <w:pPr>
      <w:spacing w:line="360" w:lineRule="auto"/>
      <w:ind w:firstLine="48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M0MTYzMDE0NTY4IiwKCSJHcm91cElkIiA6ICIyMTk1NDExNyIsCgkiSW1hZ2UiIDogImlWQk9SdzBLR2dvQUFBQU5TVWhFVWdBQUJBQUFBQUszQ0FZQUFBQWJBajEwQUFBQUFYTlNSMElBcnM0YzZRQUFJQUJKUkVGVWVKenMzWGxZVk5YL0IvRDNuUVdHVFZBUkZjRXRFYkZFd0V6TkpYZk4zRnMweXlYMVcxcjBxMFJ6SXhUTFBVcHRzelJMMDVMQ0JYTzN4QVgzRkVWQUVCUlFWQkJVbEdHZm1mdjdRMlppbUJrWUVBWGkvWG9lbitEY2MrODlsN2pNUFo5N3p1Y0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U04ei9CN2grMlRJbUdNV3JBQUFBQUVsRlRrU3VRbUNDIiwKCSJUaGVtZSIgOiAiIiwKCSJUeXBlIiA6ICJmbG93IiwKCSJVc2VySWQiIDogIjEyNzczNDYiLAoJIlZlcnNpb24iIDogIjIzIgp9Cg=="/>
    </extobj>
    <extobj name="ECB019B1-382A-4266-B25C-5B523AA43C14-2">
      <extobjdata type="ECB019B1-382A-4266-B25C-5B523AA43C14" data="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5Mei9CcWRkaWFSSUhsd0dBQUFBQUVsRlRrU3VRbUNDIiwKCSJUaGVtZSIgOiAiIiwKCSJUeXBlIiA6ICJmbG93IiwKCSJWZXJzaW9uIiA6ICIiCn0K"/>
    </extobj>
    <extobj name="ECB019B1-382A-4266-B25C-5B523AA43C14-3">
      <extobjdata type="ECB019B1-382A-4266-B25C-5B523AA43C14" data="ewoJIkZpbGVJZCIgOiAiNDM0MjgzOTkzOTM1IiwKCSJHcm91cElkIiA6ICIyMTk1NDExNyIsCgkiSW1hZ2UiIDogImlWQk9SdzBLR2dvQUFBQU5TVWhFVWdBQUJKc0FBQUlpQ0FZQUFBQnY0c21hQUFBQUFYTlNSMElBcnM0YzZRQUFJQUJKUkVGVWVKenMzWGw0VEdmN0IvRHZtVE16MlNZa0VrUW9RVUpGZzFpTFZpbE5sZktpYW1zc1ZVdFY3V3A1RWJWWEc5NUVCV2xRUzYyTnJWU3RqWXBkbFlwZFNJS1VFRXZJT3BtWjgvdWp5ZnhNWnBKTWtra20rSDZ1cTFmTmM3YjdNRThtNTU3bnVSK0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新疆天运2万吨年粉剂水溶肥项目.dotx</Template>
  <Pages>55</Pages>
  <Words>13873</Words>
  <Characters>14891</Characters>
  <Lines>1</Lines>
  <Paragraphs>1</Paragraphs>
  <TotalTime>61</TotalTime>
  <ScaleCrop>false</ScaleCrop>
  <LinksUpToDate>false</LinksUpToDate>
  <CharactersWithSpaces>15098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2025-03-25T02:39:00Z</dcterms:created>
  <dc:creator>对方正在输入...... </dc:creator>
  <cp:lastModifiedBy>纯净的冰海蓝</cp:lastModifiedBy>
  <dcterms:modified xsi:type="dcterms:W3CDTF">2025-07-29T11:10:42Z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4D34D2800213412BB593AED60C727481_13</vt:lpwstr>
  </property>
  <property fmtid="{D5CDD505-2E9C-101B-9397-08002B2CF9AE}" pid="4" name="KSOTemplateDocerSaveRecord">
    <vt:lpwstr>eyJoZGlkIjoiMTI1OGJiNTcxNjU4MGFlMWYzZjFjYWM4MDVkZjczYWQiLCJ1c2VySWQiOiIxMjc3MzQ2In0=</vt:lpwstr>
  </property>
</Properties>
</file>