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jc w:val="center"/>
        <w:textAlignment w:val="auto"/>
        <w:outlineLvl w:val="0"/>
        <w:rPr>
          <w:rFonts w:ascii="方正小标宋_GBK" w:eastAsia="方正小标宋_GBK" w:cs="Times New Roman"/>
          <w:bCs/>
          <w:sz w:val="72"/>
          <w:szCs w:val="72"/>
        </w:rPr>
      </w:pPr>
    </w:p>
    <w:p>
      <w:pPr>
        <w:adjustRightInd w:val="0"/>
        <w:snapToGrid w:val="0"/>
        <w:spacing w:line="240" w:lineRule="auto"/>
        <w:ind w:firstLine="0" w:firstLineChars="0"/>
        <w:jc w:val="center"/>
        <w:textAlignment w:val="auto"/>
        <w:outlineLvl w:val="0"/>
        <w:rPr>
          <w:rFonts w:ascii="方正小标宋_GBK" w:eastAsia="方正小标宋_GBK" w:cs="Times New Roman"/>
          <w:bCs/>
          <w:sz w:val="72"/>
          <w:szCs w:val="72"/>
        </w:rPr>
      </w:pPr>
    </w:p>
    <w:p>
      <w:pPr>
        <w:adjustRightInd w:val="0"/>
        <w:snapToGrid w:val="0"/>
        <w:spacing w:line="240" w:lineRule="auto"/>
        <w:ind w:firstLine="0" w:firstLineChars="0"/>
        <w:jc w:val="center"/>
        <w:textAlignment w:val="auto"/>
        <w:outlineLvl w:val="0"/>
        <w:rPr>
          <w:rFonts w:hint="eastAsia" w:ascii="宋体" w:hAnsi="宋体" w:cs="Times New Roman"/>
          <w:bCs/>
          <w:sz w:val="72"/>
          <w:szCs w:val="72"/>
        </w:rPr>
      </w:pPr>
      <w:r>
        <w:rPr>
          <w:rFonts w:hint="eastAsia" w:ascii="宋体" w:hAnsi="宋体" w:cs="Times New Roman"/>
          <w:bCs/>
          <w:sz w:val="72"/>
          <w:szCs w:val="72"/>
        </w:rPr>
        <w:t>建设项目环境影响报告表</w:t>
      </w:r>
    </w:p>
    <w:p>
      <w:pPr>
        <w:adjustRightInd w:val="0"/>
        <w:snapToGrid w:val="0"/>
        <w:spacing w:before="260" w:beforeLines="80" w:line="240" w:lineRule="auto"/>
        <w:ind w:firstLine="0" w:firstLineChars="0"/>
        <w:jc w:val="center"/>
        <w:textAlignment w:val="auto"/>
        <w:rPr>
          <w:rFonts w:hint="eastAsia" w:ascii="宋体" w:hAnsi="宋体" w:cs="Times New Roman"/>
          <w:bCs/>
          <w:sz w:val="48"/>
          <w:szCs w:val="48"/>
        </w:rPr>
      </w:pPr>
      <w:r>
        <w:rPr>
          <w:rFonts w:hint="eastAsia" w:ascii="宋体" w:hAnsi="宋体" w:cs="Times New Roman"/>
          <w:bCs/>
          <w:sz w:val="48"/>
          <w:szCs w:val="48"/>
        </w:rPr>
        <w:t>（污染影响类）</w:t>
      </w:r>
    </w:p>
    <w:p>
      <w:pPr>
        <w:adjustRightInd w:val="0"/>
        <w:snapToGrid w:val="0"/>
        <w:spacing w:line="288" w:lineRule="auto"/>
        <w:ind w:firstLine="1040" w:firstLineChars="0"/>
        <w:textAlignment w:val="auto"/>
        <w:rPr>
          <w:rFonts w:hint="eastAsia" w:ascii="宋体" w:hAnsi="宋体" w:cs="Times New Roman"/>
          <w:sz w:val="36"/>
          <w:szCs w:val="36"/>
        </w:rPr>
      </w:pPr>
    </w:p>
    <w:p>
      <w:pPr>
        <w:adjustRightInd w:val="0"/>
        <w:snapToGrid w:val="0"/>
        <w:spacing w:line="288" w:lineRule="auto"/>
        <w:ind w:firstLine="1040" w:firstLineChars="0"/>
        <w:textAlignment w:val="auto"/>
        <w:rPr>
          <w:rFonts w:hint="eastAsia" w:ascii="宋体" w:hAnsi="宋体" w:cs="Times New Roman"/>
          <w:sz w:val="36"/>
          <w:szCs w:val="36"/>
        </w:rPr>
      </w:pPr>
    </w:p>
    <w:p>
      <w:pPr>
        <w:adjustRightInd w:val="0"/>
        <w:snapToGrid w:val="0"/>
        <w:spacing w:line="288" w:lineRule="auto"/>
        <w:ind w:firstLine="1040" w:firstLineChars="0"/>
        <w:textAlignment w:val="auto"/>
        <w:rPr>
          <w:rFonts w:hint="eastAsia" w:ascii="宋体" w:hAnsi="宋体" w:cs="Times New Roman"/>
          <w:sz w:val="36"/>
          <w:szCs w:val="36"/>
        </w:rPr>
      </w:pPr>
    </w:p>
    <w:p>
      <w:pPr>
        <w:pStyle w:val="2"/>
      </w:pPr>
    </w:p>
    <w:p>
      <w:pPr>
        <w:adjustRightInd w:val="0"/>
        <w:snapToGrid w:val="0"/>
        <w:spacing w:line="288" w:lineRule="auto"/>
        <w:ind w:firstLine="1040" w:firstLineChars="0"/>
        <w:textAlignment w:val="auto"/>
        <w:rPr>
          <w:rFonts w:hint="eastAsia" w:ascii="宋体" w:hAnsi="宋体" w:cs="Times New Roman"/>
          <w:sz w:val="36"/>
          <w:szCs w:val="36"/>
        </w:rPr>
      </w:pPr>
      <w:r>
        <w:rPr>
          <w:rFonts w:hint="eastAsia" w:ascii="宋体" w:hAnsi="宋体" w:cs="Times New Roman"/>
          <w:sz w:val="36"/>
          <w:szCs w:val="36"/>
        </w:rPr>
        <w:t xml:space="preserve"> </w:t>
      </w:r>
    </w:p>
    <w:p>
      <w:pPr>
        <w:adjustRightInd w:val="0"/>
        <w:snapToGrid w:val="0"/>
        <w:ind w:left="720" w:leftChars="300" w:firstLine="190" w:firstLineChars="53"/>
        <w:rPr>
          <w:rFonts w:hint="eastAsia" w:ascii="宋体" w:hAnsi="宋体"/>
          <w:color w:val="000000"/>
          <w:sz w:val="36"/>
          <w:szCs w:val="36"/>
          <w:u w:val="single"/>
        </w:rPr>
      </w:pPr>
      <w:bookmarkStart w:id="0" w:name="_Hlk57884087"/>
      <w:r>
        <w:rPr>
          <w:rFonts w:hint="eastAsia" w:ascii="宋体" w:hAnsi="宋体"/>
          <w:color w:val="000000"/>
          <w:sz w:val="36"/>
          <w:szCs w:val="36"/>
        </w:rPr>
        <w:t>项目名称：</w:t>
      </w:r>
      <w:r>
        <w:rPr>
          <w:rFonts w:hint="eastAsia" w:ascii="宋体" w:hAnsi="宋体"/>
          <w:color w:val="000000"/>
          <w:sz w:val="36"/>
          <w:szCs w:val="36"/>
          <w:u w:val="single"/>
        </w:rPr>
        <w:t xml:space="preserve">新疆中泰亨惠医疗卫材股份有限公司年产1000吨纸筒项目             </w:t>
      </w:r>
    </w:p>
    <w:p>
      <w:pPr>
        <w:adjustRightInd w:val="0"/>
        <w:snapToGrid w:val="0"/>
        <w:ind w:left="720" w:leftChars="300" w:firstLine="0" w:firstLineChars="0"/>
        <w:rPr>
          <w:rFonts w:hint="eastAsia" w:ascii="宋体" w:hAnsi="宋体"/>
          <w:color w:val="000000"/>
          <w:sz w:val="36"/>
          <w:szCs w:val="36"/>
          <w:u w:val="single"/>
        </w:rPr>
      </w:pPr>
      <w:r>
        <w:rPr>
          <w:rFonts w:hint="eastAsia" w:ascii="宋体" w:hAnsi="宋体"/>
          <w:color w:val="000000"/>
          <w:sz w:val="36"/>
          <w:szCs w:val="36"/>
        </w:rPr>
        <w:t>建设单位（盖章）：</w:t>
      </w:r>
      <w:r>
        <w:rPr>
          <w:rFonts w:hint="eastAsia" w:ascii="宋体" w:hAnsi="宋体"/>
          <w:color w:val="000000"/>
          <w:sz w:val="36"/>
          <w:szCs w:val="36"/>
          <w:u w:val="single"/>
        </w:rPr>
        <w:t>新疆中泰亨惠医疗卫材股份有限公司</w:t>
      </w:r>
    </w:p>
    <w:p>
      <w:pPr>
        <w:adjustRightInd w:val="0"/>
        <w:snapToGrid w:val="0"/>
        <w:ind w:firstLine="917" w:firstLineChars="255"/>
        <w:rPr>
          <w:rFonts w:hint="eastAsia" w:ascii="宋体" w:hAnsi="宋体"/>
          <w:color w:val="000000"/>
          <w:sz w:val="36"/>
          <w:szCs w:val="36"/>
          <w:u w:val="single"/>
        </w:rPr>
      </w:pPr>
      <w:r>
        <w:rPr>
          <w:rFonts w:hint="eastAsia" w:ascii="宋体" w:hAnsi="宋体"/>
          <w:color w:val="000000"/>
          <w:sz w:val="36"/>
          <w:szCs w:val="36"/>
        </w:rPr>
        <w:t>编制日期：</w:t>
      </w:r>
      <w:r>
        <w:rPr>
          <w:rFonts w:ascii="宋体" w:hAnsi="宋体"/>
          <w:color w:val="000000"/>
          <w:sz w:val="36"/>
          <w:szCs w:val="36"/>
          <w:u w:val="single"/>
        </w:rPr>
        <w:t>202</w:t>
      </w:r>
      <w:r>
        <w:rPr>
          <w:rFonts w:hint="eastAsia" w:ascii="宋体" w:hAnsi="宋体"/>
          <w:color w:val="000000"/>
          <w:sz w:val="36"/>
          <w:szCs w:val="36"/>
          <w:u w:val="single"/>
          <w:lang w:val="en-US" w:eastAsia="zh-CN"/>
        </w:rPr>
        <w:t>5</w:t>
      </w:r>
      <w:r>
        <w:rPr>
          <w:rFonts w:hint="eastAsia" w:ascii="宋体" w:hAnsi="宋体"/>
          <w:color w:val="000000"/>
          <w:sz w:val="36"/>
          <w:szCs w:val="36"/>
          <w:u w:val="single"/>
        </w:rPr>
        <w:t>年</w:t>
      </w:r>
      <w:r>
        <w:rPr>
          <w:rFonts w:hint="eastAsia" w:ascii="宋体" w:hAnsi="宋体"/>
          <w:color w:val="000000"/>
          <w:sz w:val="36"/>
          <w:szCs w:val="36"/>
          <w:u w:val="single"/>
          <w:lang w:val="en-US" w:eastAsia="zh-CN"/>
        </w:rPr>
        <w:t>8</w:t>
      </w:r>
      <w:r>
        <w:rPr>
          <w:rFonts w:hint="eastAsia" w:ascii="宋体" w:hAnsi="宋体"/>
          <w:color w:val="000000"/>
          <w:sz w:val="36"/>
          <w:szCs w:val="36"/>
          <w:u w:val="single"/>
        </w:rPr>
        <w:t>月</w:t>
      </w:r>
      <w:r>
        <w:rPr>
          <w:rFonts w:ascii="宋体" w:hAnsi="宋体"/>
          <w:color w:val="000000"/>
          <w:sz w:val="36"/>
          <w:szCs w:val="36"/>
          <w:u w:val="single"/>
        </w:rPr>
        <w:t xml:space="preserve">                      </w:t>
      </w:r>
      <w:r>
        <w:rPr>
          <w:rFonts w:hint="eastAsia" w:ascii="宋体" w:hAnsi="宋体"/>
          <w:color w:val="000000"/>
          <w:sz w:val="36"/>
          <w:szCs w:val="36"/>
          <w:u w:val="single"/>
        </w:rPr>
        <w:t xml:space="preserve"> </w:t>
      </w:r>
    </w:p>
    <w:p>
      <w:pPr>
        <w:adjustRightInd w:val="0"/>
        <w:snapToGrid w:val="0"/>
        <w:spacing w:line="288" w:lineRule="auto"/>
        <w:ind w:firstLine="1040" w:firstLineChars="0"/>
        <w:textAlignment w:val="auto"/>
        <w:rPr>
          <w:rFonts w:ascii="仿宋_GB2312" w:eastAsia="仿宋_GB2312" w:cs="Times New Roman"/>
          <w:sz w:val="36"/>
          <w:szCs w:val="36"/>
          <w:u w:val="single"/>
        </w:rPr>
      </w:pPr>
    </w:p>
    <w:p>
      <w:pPr>
        <w:adjustRightInd w:val="0"/>
        <w:snapToGrid w:val="0"/>
        <w:spacing w:line="288" w:lineRule="auto"/>
        <w:ind w:firstLine="1040" w:firstLineChars="0"/>
        <w:textAlignment w:val="auto"/>
        <w:rPr>
          <w:rFonts w:ascii="仿宋_GB2312" w:eastAsia="仿宋_GB2312" w:cs="Times New Roman"/>
          <w:sz w:val="36"/>
          <w:szCs w:val="36"/>
        </w:rPr>
      </w:pPr>
    </w:p>
    <w:p>
      <w:pPr>
        <w:adjustRightInd w:val="0"/>
        <w:snapToGrid w:val="0"/>
        <w:spacing w:line="288" w:lineRule="auto"/>
        <w:ind w:firstLine="1040" w:firstLineChars="0"/>
        <w:textAlignment w:val="auto"/>
        <w:rPr>
          <w:rFonts w:ascii="仿宋_GB2312" w:eastAsia="仿宋_GB2312" w:cs="Times New Roman"/>
          <w:sz w:val="36"/>
          <w:szCs w:val="36"/>
        </w:rPr>
      </w:pPr>
    </w:p>
    <w:p>
      <w:pPr>
        <w:adjustRightInd w:val="0"/>
        <w:snapToGrid w:val="0"/>
        <w:spacing w:line="288" w:lineRule="auto"/>
        <w:ind w:firstLine="1040" w:firstLineChars="0"/>
        <w:textAlignment w:val="auto"/>
        <w:rPr>
          <w:rFonts w:ascii="仿宋_GB2312" w:eastAsia="仿宋_GB2312" w:cs="Times New Roman"/>
          <w:sz w:val="36"/>
          <w:szCs w:val="36"/>
        </w:rPr>
      </w:pPr>
    </w:p>
    <w:p>
      <w:pPr>
        <w:pStyle w:val="2"/>
      </w:pPr>
    </w:p>
    <w:p>
      <w:pPr>
        <w:adjustRightInd w:val="0"/>
        <w:snapToGrid w:val="0"/>
        <w:spacing w:line="288" w:lineRule="auto"/>
        <w:ind w:firstLine="1040" w:firstLineChars="0"/>
        <w:textAlignment w:val="auto"/>
        <w:rPr>
          <w:rFonts w:ascii="仿宋_GB2312" w:eastAsia="仿宋_GB2312" w:cs="Times New Roman"/>
          <w:sz w:val="36"/>
          <w:szCs w:val="36"/>
        </w:rPr>
      </w:pPr>
    </w:p>
    <w:bookmarkEnd w:id="0"/>
    <w:p>
      <w:pPr>
        <w:adjustRightInd w:val="0"/>
        <w:snapToGrid w:val="0"/>
        <w:spacing w:line="288" w:lineRule="auto"/>
        <w:ind w:firstLine="0" w:firstLineChars="0"/>
        <w:jc w:val="center"/>
        <w:textAlignment w:val="auto"/>
        <w:rPr>
          <w:rFonts w:ascii="楷体_GB2312" w:eastAsia="楷体_GB2312" w:cs="Times New Roman"/>
          <w:sz w:val="36"/>
          <w:szCs w:val="36"/>
        </w:rPr>
      </w:pPr>
      <w:r>
        <w:rPr>
          <w:rFonts w:hint="eastAsia" w:ascii="楷体_GB2312" w:eastAsia="楷体_GB2312" w:cs="Times New Roman"/>
          <w:sz w:val="36"/>
          <w:szCs w:val="36"/>
        </w:rPr>
        <w:t>中华人民共和国生态环境部制</w:t>
      </w:r>
    </w:p>
    <w:p>
      <w:pPr>
        <w:adjustRightInd w:val="0"/>
        <w:snapToGrid w:val="0"/>
        <w:spacing w:line="288" w:lineRule="auto"/>
        <w:ind w:firstLine="0" w:firstLineChars="0"/>
        <w:jc w:val="center"/>
        <w:textAlignment w:val="auto"/>
        <w:rPr>
          <w:rFonts w:ascii="楷体_GB2312" w:eastAsia="楷体_GB2312" w:cs="Times New Roman"/>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26" w:charSpace="0"/>
        </w:sectPr>
      </w:pPr>
    </w:p>
    <w:p>
      <w:pPr>
        <w:pStyle w:val="3"/>
      </w:pPr>
      <w:r>
        <w:rPr>
          <w:rFonts w:hint="eastAsia"/>
        </w:rPr>
        <w:t>一、建设项目基本情况</w:t>
      </w:r>
    </w:p>
    <w:tbl>
      <w:tblPr>
        <w:tblStyle w:val="29"/>
        <w:tblW w:w="99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984"/>
        <w:gridCol w:w="1826"/>
        <w:gridCol w:w="2056"/>
        <w:gridCol w:w="4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7"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建设项目名称</w:t>
            </w:r>
          </w:p>
        </w:tc>
        <w:tc>
          <w:tcPr>
            <w:tcW w:w="7985" w:type="dxa"/>
            <w:gridSpan w:val="3"/>
            <w:vAlign w:val="center"/>
          </w:tcPr>
          <w:p>
            <w:pPr>
              <w:adjustRightInd w:val="0"/>
              <w:snapToGrid w:val="0"/>
              <w:spacing w:line="240" w:lineRule="auto"/>
              <w:ind w:firstLine="0" w:firstLineChars="0"/>
              <w:jc w:val="center"/>
              <w:textAlignment w:val="auto"/>
              <w:rPr>
                <w:rFonts w:cs="Times New Roman"/>
                <w:szCs w:val="24"/>
              </w:rPr>
            </w:pPr>
            <w:r>
              <w:rPr>
                <w:rFonts w:hint="eastAsia" w:cs="Times New Roman"/>
                <w:szCs w:val="24"/>
              </w:rPr>
              <w:t>新疆中泰亨惠医疗卫材股份有限公司年产1000吨纸筒项目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7"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项目代码</w:t>
            </w:r>
          </w:p>
        </w:tc>
        <w:tc>
          <w:tcPr>
            <w:tcW w:w="7985" w:type="dxa"/>
            <w:gridSpan w:val="3"/>
            <w:vAlign w:val="center"/>
          </w:tcPr>
          <w:p>
            <w:pPr>
              <w:adjustRightInd w:val="0"/>
              <w:snapToGrid w:val="0"/>
              <w:spacing w:line="240" w:lineRule="auto"/>
              <w:ind w:firstLine="0" w:firstLineChars="0"/>
              <w:jc w:val="center"/>
              <w:textAlignment w:val="auto"/>
              <w:rPr>
                <w:rFonts w:cs="Times New Roman"/>
                <w:szCs w:val="24"/>
              </w:rPr>
            </w:pPr>
            <w:r>
              <w:rPr>
                <w:rFonts w:hint="eastAsia" w:cs="Times New Roman"/>
                <w:szCs w:val="24"/>
              </w:rPr>
              <w:t>2405-652871-04-01-854452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7"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建设单位联系人</w:t>
            </w:r>
          </w:p>
        </w:tc>
        <w:tc>
          <w:tcPr>
            <w:tcW w:w="1826" w:type="dxa"/>
            <w:vAlign w:val="center"/>
          </w:tcPr>
          <w:p>
            <w:pPr>
              <w:adjustRightInd w:val="0"/>
              <w:snapToGrid w:val="0"/>
              <w:spacing w:line="240" w:lineRule="auto"/>
              <w:ind w:firstLine="0" w:firstLineChars="0"/>
              <w:jc w:val="center"/>
              <w:textAlignment w:val="auto"/>
              <w:rPr>
                <w:rFonts w:cs="Times New Roman"/>
                <w:szCs w:val="24"/>
              </w:rPr>
            </w:pPr>
          </w:p>
        </w:tc>
        <w:tc>
          <w:tcPr>
            <w:tcW w:w="2056" w:type="dxa"/>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联系方式</w:t>
            </w:r>
          </w:p>
        </w:tc>
        <w:tc>
          <w:tcPr>
            <w:tcW w:w="4103" w:type="dxa"/>
            <w:vAlign w:val="center"/>
          </w:tcPr>
          <w:p>
            <w:pPr>
              <w:adjustRightInd w:val="0"/>
              <w:snapToGrid w:val="0"/>
              <w:spacing w:line="240" w:lineRule="auto"/>
              <w:ind w:firstLine="0" w:firstLineChars="0"/>
              <w:jc w:val="center"/>
              <w:textAlignment w:val="auto"/>
              <w:rPr>
                <w:rFonts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56"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建设地点</w:t>
            </w:r>
          </w:p>
        </w:tc>
        <w:tc>
          <w:tcPr>
            <w:tcW w:w="7985" w:type="dxa"/>
            <w:gridSpan w:val="3"/>
            <w:vAlign w:val="center"/>
          </w:tcPr>
          <w:p>
            <w:pPr>
              <w:adjustRightInd w:val="0"/>
              <w:snapToGrid w:val="0"/>
              <w:spacing w:line="240" w:lineRule="auto"/>
              <w:ind w:firstLine="0" w:firstLineChars="0"/>
              <w:jc w:val="center"/>
              <w:textAlignment w:val="auto"/>
              <w:rPr>
                <w:rFonts w:cs="Times New Roman"/>
                <w:szCs w:val="24"/>
              </w:rPr>
            </w:pPr>
            <w:r>
              <w:rPr>
                <w:rFonts w:hint="eastAsia" w:cs="Times New Roman"/>
                <w:szCs w:val="24"/>
              </w:rPr>
              <w:t>库尔勒经济技术开发区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2"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地理坐标</w:t>
            </w:r>
          </w:p>
        </w:tc>
        <w:tc>
          <w:tcPr>
            <w:tcW w:w="7985" w:type="dxa"/>
            <w:gridSpan w:val="3"/>
            <w:vAlign w:val="center"/>
          </w:tcPr>
          <w:p>
            <w:pPr>
              <w:spacing w:line="240" w:lineRule="auto"/>
              <w:ind w:firstLine="0" w:firstLineChars="0"/>
              <w:jc w:val="center"/>
              <w:textAlignment w:val="auto"/>
              <w:rPr>
                <w:rFonts w:cs="Times New Roman"/>
                <w:szCs w:val="24"/>
              </w:rPr>
            </w:pPr>
            <w:bookmarkStart w:id="14" w:name="_GoBack"/>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1"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国民经济</w:t>
            </w:r>
          </w:p>
          <w:p>
            <w:pPr>
              <w:adjustRightInd w:val="0"/>
              <w:snapToGrid w:val="0"/>
              <w:spacing w:line="240" w:lineRule="auto"/>
              <w:ind w:firstLine="0" w:firstLineChars="0"/>
              <w:jc w:val="center"/>
              <w:textAlignment w:val="auto"/>
              <w:rPr>
                <w:rFonts w:cs="Times New Roman"/>
                <w:szCs w:val="24"/>
              </w:rPr>
            </w:pPr>
            <w:r>
              <w:rPr>
                <w:rFonts w:cs="Times New Roman"/>
                <w:szCs w:val="24"/>
              </w:rPr>
              <w:t>行业类别</w:t>
            </w:r>
          </w:p>
        </w:tc>
        <w:tc>
          <w:tcPr>
            <w:tcW w:w="1826" w:type="dxa"/>
            <w:vAlign w:val="center"/>
          </w:tcPr>
          <w:p>
            <w:pPr>
              <w:adjustRightInd w:val="0"/>
              <w:snapToGrid w:val="0"/>
              <w:spacing w:line="240" w:lineRule="auto"/>
              <w:ind w:firstLine="0" w:firstLineChars="0"/>
              <w:jc w:val="center"/>
              <w:textAlignment w:val="auto"/>
              <w:rPr>
                <w:rFonts w:cs="Times New Roman"/>
                <w:szCs w:val="24"/>
              </w:rPr>
            </w:pPr>
            <w:r>
              <w:rPr>
                <w:rFonts w:hint="eastAsia" w:cs="Times New Roman"/>
                <w:szCs w:val="24"/>
              </w:rPr>
              <w:t>C2239其他纸制品制造</w:t>
            </w:r>
          </w:p>
        </w:tc>
        <w:tc>
          <w:tcPr>
            <w:tcW w:w="2056" w:type="dxa"/>
            <w:vAlign w:val="center"/>
          </w:tcPr>
          <w:p>
            <w:pPr>
              <w:adjustRightInd w:val="0"/>
              <w:snapToGrid w:val="0"/>
              <w:spacing w:line="240" w:lineRule="auto"/>
              <w:ind w:firstLine="0" w:firstLineChars="0"/>
              <w:jc w:val="center"/>
              <w:textAlignment w:val="auto"/>
              <w:rPr>
                <w:rFonts w:cs="Times New Roman"/>
                <w:szCs w:val="24"/>
              </w:rPr>
            </w:pPr>
            <w:bookmarkStart w:id="1" w:name="_Hlk49843745"/>
            <w:r>
              <w:rPr>
                <w:rFonts w:cs="Times New Roman"/>
                <w:szCs w:val="24"/>
              </w:rPr>
              <w:t>建设项目</w:t>
            </w:r>
          </w:p>
          <w:p>
            <w:pPr>
              <w:adjustRightInd w:val="0"/>
              <w:snapToGrid w:val="0"/>
              <w:spacing w:line="240" w:lineRule="auto"/>
              <w:ind w:firstLine="0" w:firstLineChars="0"/>
              <w:jc w:val="center"/>
              <w:textAlignment w:val="auto"/>
              <w:rPr>
                <w:rFonts w:cs="Times New Roman"/>
                <w:szCs w:val="24"/>
              </w:rPr>
            </w:pPr>
            <w:r>
              <w:rPr>
                <w:rFonts w:cs="Times New Roman"/>
                <w:szCs w:val="24"/>
              </w:rPr>
              <w:t>行业类别</w:t>
            </w:r>
            <w:bookmarkEnd w:id="1"/>
          </w:p>
        </w:tc>
        <w:tc>
          <w:tcPr>
            <w:tcW w:w="4103" w:type="dxa"/>
            <w:vAlign w:val="center"/>
          </w:tcPr>
          <w:p>
            <w:pPr>
              <w:adjustRightInd w:val="0"/>
              <w:snapToGrid w:val="0"/>
              <w:spacing w:line="240" w:lineRule="auto"/>
              <w:ind w:firstLine="0" w:firstLineChars="0"/>
              <w:jc w:val="left"/>
              <w:textAlignment w:val="auto"/>
              <w:rPr>
                <w:rFonts w:cs="Times New Roman"/>
                <w:szCs w:val="24"/>
              </w:rPr>
            </w:pPr>
            <w:bookmarkStart w:id="2" w:name="_Hlk163819299"/>
            <w:r>
              <w:rPr>
                <w:rFonts w:hint="eastAsia" w:cs="Times New Roman"/>
                <w:bCs/>
                <w:color w:val="000000"/>
              </w:rPr>
              <w:t>十</w:t>
            </w:r>
            <w:bookmarkEnd w:id="2"/>
            <w:r>
              <w:rPr>
                <w:rFonts w:hint="eastAsia" w:cs="Times New Roman"/>
                <w:bCs/>
                <w:color w:val="000000"/>
              </w:rPr>
              <w:t>九、造纸和纸制品业22-38.纸制品知道223*-有图布、浸渍、印刷、粘胶工艺的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219"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建设性质</w:t>
            </w:r>
          </w:p>
        </w:tc>
        <w:tc>
          <w:tcPr>
            <w:tcW w:w="1826" w:type="dxa"/>
            <w:vAlign w:val="center"/>
          </w:tcPr>
          <w:p>
            <w:pPr>
              <w:spacing w:line="240" w:lineRule="auto"/>
              <w:ind w:firstLine="0" w:firstLineChars="0"/>
              <w:jc w:val="left"/>
              <w:textAlignment w:val="auto"/>
              <w:rPr>
                <w:rFonts w:cs="Times New Roman"/>
                <w:szCs w:val="24"/>
              </w:rPr>
            </w:pPr>
            <w:r>
              <w:rPr>
                <w:rFonts w:cs="Times New Roman"/>
                <w:szCs w:val="24"/>
              </w:rPr>
              <w:sym w:font="Wingdings 2" w:char="F052"/>
            </w:r>
            <w:r>
              <w:rPr>
                <w:rFonts w:cs="Times New Roman"/>
                <w:szCs w:val="24"/>
              </w:rPr>
              <w:t>新建（迁建）</w:t>
            </w:r>
          </w:p>
          <w:p>
            <w:pPr>
              <w:spacing w:line="240" w:lineRule="auto"/>
              <w:ind w:firstLine="0" w:firstLineChars="0"/>
              <w:jc w:val="left"/>
              <w:textAlignment w:val="auto"/>
              <w:rPr>
                <w:rFonts w:cs="Times New Roman"/>
                <w:szCs w:val="24"/>
              </w:rPr>
            </w:pPr>
            <w:r>
              <w:rPr>
                <w:rFonts w:cs="Times New Roman"/>
                <w:szCs w:val="24"/>
              </w:rPr>
              <w:sym w:font="Wingdings 2" w:char="F0A3"/>
            </w:r>
            <w:r>
              <w:rPr>
                <w:rFonts w:cs="Times New Roman"/>
                <w:szCs w:val="24"/>
              </w:rPr>
              <w:t>改建</w:t>
            </w:r>
          </w:p>
          <w:p>
            <w:pPr>
              <w:spacing w:line="240" w:lineRule="auto"/>
              <w:ind w:firstLine="0" w:firstLineChars="0"/>
              <w:jc w:val="left"/>
              <w:textAlignment w:val="auto"/>
              <w:rPr>
                <w:rFonts w:cs="Times New Roman"/>
                <w:szCs w:val="24"/>
              </w:rPr>
            </w:pPr>
            <w:r>
              <w:rPr>
                <w:rFonts w:cs="Times New Roman"/>
                <w:szCs w:val="24"/>
              </w:rPr>
              <w:sym w:font="Wingdings 2" w:char="F0A3"/>
            </w:r>
            <w:r>
              <w:rPr>
                <w:rFonts w:hint="eastAsia" w:cs="Times New Roman"/>
                <w:szCs w:val="24"/>
              </w:rPr>
              <w:t>扩</w:t>
            </w:r>
            <w:r>
              <w:rPr>
                <w:rFonts w:cs="Times New Roman"/>
                <w:szCs w:val="24"/>
              </w:rPr>
              <w:t>建</w:t>
            </w:r>
          </w:p>
          <w:p>
            <w:pPr>
              <w:spacing w:line="240" w:lineRule="auto"/>
              <w:ind w:firstLine="0" w:firstLineChars="0"/>
              <w:jc w:val="left"/>
              <w:textAlignment w:val="auto"/>
              <w:rPr>
                <w:rFonts w:cs="Times New Roman"/>
                <w:szCs w:val="24"/>
              </w:rPr>
            </w:pPr>
            <w:r>
              <w:rPr>
                <w:rFonts w:cs="Times New Roman"/>
                <w:szCs w:val="24"/>
              </w:rPr>
              <w:sym w:font="Wingdings 2" w:char="F0A3"/>
            </w:r>
            <w:r>
              <w:rPr>
                <w:rFonts w:cs="Times New Roman"/>
                <w:szCs w:val="24"/>
              </w:rPr>
              <w:t>技术改造</w:t>
            </w:r>
          </w:p>
        </w:tc>
        <w:tc>
          <w:tcPr>
            <w:tcW w:w="2056" w:type="dxa"/>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建设项目</w:t>
            </w:r>
          </w:p>
          <w:p>
            <w:pPr>
              <w:adjustRightInd w:val="0"/>
              <w:snapToGrid w:val="0"/>
              <w:spacing w:line="240" w:lineRule="auto"/>
              <w:ind w:firstLine="0" w:firstLineChars="0"/>
              <w:jc w:val="center"/>
              <w:textAlignment w:val="auto"/>
              <w:rPr>
                <w:rFonts w:cs="Times New Roman"/>
                <w:szCs w:val="24"/>
              </w:rPr>
            </w:pPr>
            <w:r>
              <w:rPr>
                <w:rFonts w:cs="Times New Roman"/>
                <w:szCs w:val="24"/>
              </w:rPr>
              <w:t>申报情形</w:t>
            </w:r>
          </w:p>
        </w:tc>
        <w:tc>
          <w:tcPr>
            <w:tcW w:w="4103" w:type="dxa"/>
            <w:vAlign w:val="center"/>
          </w:tcPr>
          <w:p>
            <w:pPr>
              <w:spacing w:line="240" w:lineRule="auto"/>
              <w:ind w:firstLine="0" w:firstLineChars="0"/>
              <w:jc w:val="left"/>
              <w:textAlignment w:val="auto"/>
              <w:rPr>
                <w:rFonts w:cs="Times New Roman"/>
                <w:szCs w:val="24"/>
              </w:rPr>
            </w:pPr>
            <w:r>
              <w:rPr>
                <w:rFonts w:cs="Times New Roman"/>
                <w:szCs w:val="24"/>
              </w:rPr>
              <w:sym w:font="Wingdings 2" w:char="F052"/>
            </w:r>
            <w:r>
              <w:rPr>
                <w:rFonts w:cs="Times New Roman"/>
                <w:szCs w:val="24"/>
              </w:rPr>
              <w:t>首次申报项目</w:t>
            </w:r>
          </w:p>
          <w:p>
            <w:pPr>
              <w:spacing w:line="240" w:lineRule="auto"/>
              <w:ind w:firstLine="0" w:firstLineChars="0"/>
              <w:jc w:val="left"/>
              <w:textAlignment w:val="auto"/>
              <w:rPr>
                <w:rFonts w:cs="Times New Roman"/>
                <w:szCs w:val="24"/>
              </w:rPr>
            </w:pPr>
            <w:r>
              <w:rPr>
                <w:rFonts w:cs="Times New Roman"/>
                <w:szCs w:val="24"/>
              </w:rPr>
              <w:sym w:font="Wingdings 2" w:char="F0A3"/>
            </w:r>
            <w:r>
              <w:rPr>
                <w:rFonts w:cs="Times New Roman"/>
                <w:szCs w:val="24"/>
              </w:rPr>
              <w:t>不予批准后再次申报项目</w:t>
            </w:r>
          </w:p>
          <w:p>
            <w:pPr>
              <w:spacing w:line="240" w:lineRule="auto"/>
              <w:ind w:firstLine="0" w:firstLineChars="0"/>
              <w:jc w:val="left"/>
              <w:textAlignment w:val="auto"/>
              <w:rPr>
                <w:rFonts w:cs="Times New Roman"/>
                <w:szCs w:val="24"/>
              </w:rPr>
            </w:pPr>
            <w:r>
              <w:rPr>
                <w:rFonts w:cs="Times New Roman"/>
                <w:szCs w:val="24"/>
              </w:rPr>
              <w:sym w:font="Wingdings 2" w:char="F0A3"/>
            </w:r>
            <w:r>
              <w:rPr>
                <w:rFonts w:cs="Times New Roman"/>
                <w:szCs w:val="24"/>
              </w:rPr>
              <w:t>超五年重新审核项目</w:t>
            </w:r>
          </w:p>
          <w:p>
            <w:pPr>
              <w:spacing w:line="240" w:lineRule="auto"/>
              <w:ind w:firstLine="0" w:firstLineChars="0"/>
              <w:jc w:val="left"/>
              <w:textAlignment w:val="auto"/>
              <w:rPr>
                <w:rFonts w:cs="Times New Roman"/>
                <w:szCs w:val="24"/>
              </w:rPr>
            </w:pPr>
            <w:r>
              <w:rPr>
                <w:rFonts w:cs="Times New Roman"/>
                <w:szCs w:val="24"/>
              </w:rPr>
              <w:sym w:font="Wingdings 2" w:char="F0A3"/>
            </w:r>
            <w:r>
              <w:rPr>
                <w:rFonts w:cs="Times New Roman"/>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51"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项目审批（核准/</w:t>
            </w:r>
          </w:p>
          <w:p>
            <w:pPr>
              <w:adjustRightInd w:val="0"/>
              <w:snapToGrid w:val="0"/>
              <w:spacing w:line="240" w:lineRule="auto"/>
              <w:ind w:firstLine="0" w:firstLineChars="0"/>
              <w:jc w:val="center"/>
              <w:textAlignment w:val="auto"/>
              <w:rPr>
                <w:rFonts w:cs="Times New Roman"/>
                <w:szCs w:val="24"/>
              </w:rPr>
            </w:pPr>
            <w:r>
              <w:rPr>
                <w:rFonts w:cs="Times New Roman"/>
                <w:szCs w:val="24"/>
              </w:rPr>
              <w:t>备案）部门（选填）</w:t>
            </w:r>
          </w:p>
        </w:tc>
        <w:tc>
          <w:tcPr>
            <w:tcW w:w="1826" w:type="dxa"/>
            <w:vAlign w:val="center"/>
          </w:tcPr>
          <w:p>
            <w:pPr>
              <w:adjustRightInd w:val="0"/>
              <w:snapToGrid w:val="0"/>
              <w:spacing w:line="240" w:lineRule="auto"/>
              <w:ind w:firstLine="0" w:firstLineChars="0"/>
              <w:jc w:val="center"/>
              <w:textAlignment w:val="auto"/>
              <w:rPr>
                <w:rFonts w:cs="Times New Roman"/>
                <w:szCs w:val="24"/>
              </w:rPr>
            </w:pPr>
            <w:r>
              <w:rPr>
                <w:rFonts w:hint="eastAsia" w:cs="Times New Roman"/>
                <w:szCs w:val="24"/>
              </w:rPr>
              <w:t>库尔勒经济技术开发区发展和改革委员会</w:t>
            </w:r>
          </w:p>
        </w:tc>
        <w:tc>
          <w:tcPr>
            <w:tcW w:w="2056" w:type="dxa"/>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项目审批（核准/</w:t>
            </w:r>
          </w:p>
          <w:p>
            <w:pPr>
              <w:adjustRightInd w:val="0"/>
              <w:snapToGrid w:val="0"/>
              <w:spacing w:line="240" w:lineRule="auto"/>
              <w:ind w:firstLine="0" w:firstLineChars="0"/>
              <w:jc w:val="center"/>
              <w:textAlignment w:val="auto"/>
              <w:rPr>
                <w:rFonts w:cs="Times New Roman"/>
                <w:szCs w:val="24"/>
              </w:rPr>
            </w:pPr>
            <w:r>
              <w:rPr>
                <w:rFonts w:cs="Times New Roman"/>
                <w:szCs w:val="24"/>
              </w:rPr>
              <w:t>备案）文号（选填）</w:t>
            </w:r>
          </w:p>
        </w:tc>
        <w:tc>
          <w:tcPr>
            <w:tcW w:w="4103" w:type="dxa"/>
            <w:vAlign w:val="center"/>
          </w:tcPr>
          <w:p>
            <w:pPr>
              <w:adjustRightInd w:val="0"/>
              <w:snapToGrid w:val="0"/>
              <w:spacing w:line="240" w:lineRule="auto"/>
              <w:ind w:firstLine="0" w:firstLineChars="0"/>
              <w:jc w:val="center"/>
              <w:textAlignment w:val="auto"/>
              <w:rPr>
                <w:rFonts w:cs="Times New Roman"/>
                <w:szCs w:val="24"/>
              </w:rPr>
            </w:pPr>
            <w:r>
              <w:rPr>
                <w:rFonts w:hint="eastAsia" w:cs="Times New Roman"/>
                <w:szCs w:val="24"/>
              </w:rPr>
              <w:t>2406041166652800000075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7"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总投资（万元）</w:t>
            </w:r>
          </w:p>
        </w:tc>
        <w:tc>
          <w:tcPr>
            <w:tcW w:w="1826" w:type="dxa"/>
            <w:vAlign w:val="center"/>
          </w:tcPr>
          <w:p>
            <w:pPr>
              <w:adjustRightInd w:val="0"/>
              <w:snapToGrid w:val="0"/>
              <w:spacing w:line="240" w:lineRule="auto"/>
              <w:ind w:firstLine="0" w:firstLineChars="0"/>
              <w:jc w:val="center"/>
              <w:textAlignment w:val="auto"/>
              <w:rPr>
                <w:rFonts w:cs="Times New Roman"/>
                <w:szCs w:val="24"/>
              </w:rPr>
            </w:pPr>
            <w:r>
              <w:rPr>
                <w:rFonts w:hint="eastAsia" w:cs="Times New Roman"/>
                <w:szCs w:val="24"/>
              </w:rPr>
              <w:t>100</w:t>
            </w:r>
          </w:p>
        </w:tc>
        <w:tc>
          <w:tcPr>
            <w:tcW w:w="2056"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环保投资（万元）</w:t>
            </w:r>
          </w:p>
        </w:tc>
        <w:tc>
          <w:tcPr>
            <w:tcW w:w="4103" w:type="dxa"/>
            <w:vAlign w:val="center"/>
          </w:tcPr>
          <w:p>
            <w:pPr>
              <w:adjustRightInd w:val="0"/>
              <w:snapToGrid w:val="0"/>
              <w:spacing w:line="240" w:lineRule="auto"/>
              <w:ind w:firstLine="0" w:firstLineChars="0"/>
              <w:jc w:val="center"/>
              <w:textAlignment w:val="auto"/>
              <w:rPr>
                <w:rFonts w:hint="default" w:eastAsia="宋体" w:cs="Times New Roman"/>
                <w:szCs w:val="24"/>
                <w:lang w:val="en-US" w:eastAsia="zh-CN"/>
              </w:rPr>
            </w:pPr>
            <w:r>
              <w:rPr>
                <w:rFonts w:hint="eastAsia" w:cs="Times New Roman"/>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7"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环保投资占比（%）</w:t>
            </w:r>
          </w:p>
        </w:tc>
        <w:tc>
          <w:tcPr>
            <w:tcW w:w="1826" w:type="dxa"/>
            <w:vAlign w:val="center"/>
          </w:tcPr>
          <w:p>
            <w:pPr>
              <w:adjustRightInd w:val="0"/>
              <w:snapToGrid w:val="0"/>
              <w:spacing w:line="240" w:lineRule="auto"/>
              <w:ind w:firstLine="0" w:firstLineChars="0"/>
              <w:jc w:val="center"/>
              <w:textAlignment w:val="auto"/>
              <w:rPr>
                <w:rFonts w:hint="default" w:eastAsia="宋体" w:cs="Times New Roman"/>
                <w:szCs w:val="24"/>
                <w:lang w:val="en-US" w:eastAsia="zh-CN"/>
              </w:rPr>
            </w:pPr>
            <w:r>
              <w:rPr>
                <w:rFonts w:hint="eastAsia" w:cs="Times New Roman"/>
                <w:szCs w:val="24"/>
                <w:lang w:val="en-US" w:eastAsia="zh-CN"/>
              </w:rPr>
              <w:t>10</w:t>
            </w:r>
          </w:p>
        </w:tc>
        <w:tc>
          <w:tcPr>
            <w:tcW w:w="2056"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施工工期</w:t>
            </w:r>
          </w:p>
        </w:tc>
        <w:tc>
          <w:tcPr>
            <w:tcW w:w="4103" w:type="dxa"/>
            <w:vAlign w:val="center"/>
          </w:tcPr>
          <w:p>
            <w:pPr>
              <w:adjustRightInd w:val="0"/>
              <w:snapToGrid w:val="0"/>
              <w:spacing w:line="240" w:lineRule="auto"/>
              <w:ind w:firstLine="0" w:firstLineChars="0"/>
              <w:jc w:val="center"/>
              <w:textAlignment w:val="auto"/>
              <w:rPr>
                <w:rFonts w:cs="Times New Roman"/>
                <w:szCs w:val="24"/>
              </w:rPr>
            </w:pPr>
            <w:r>
              <w:rPr>
                <w:rFonts w:hint="eastAsia" w:cs="Times New Roman"/>
                <w:szCs w:val="24"/>
              </w:rPr>
              <w:t>1个月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7" w:hRule="atLeast"/>
          <w:jc w:val="center"/>
        </w:trPr>
        <w:tc>
          <w:tcPr>
            <w:tcW w:w="1984"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是否开工建设</w:t>
            </w:r>
          </w:p>
        </w:tc>
        <w:tc>
          <w:tcPr>
            <w:tcW w:w="1826" w:type="dxa"/>
            <w:vAlign w:val="center"/>
          </w:tcPr>
          <w:p>
            <w:pPr>
              <w:adjustRightInd w:val="0"/>
              <w:snapToGrid w:val="0"/>
              <w:spacing w:line="240" w:lineRule="auto"/>
              <w:ind w:firstLine="0" w:firstLineChars="0"/>
              <w:textAlignment w:val="auto"/>
              <w:rPr>
                <w:rFonts w:cs="Times New Roman"/>
                <w:szCs w:val="24"/>
              </w:rPr>
            </w:pPr>
            <w:r>
              <w:rPr>
                <w:rFonts w:cs="Times New Roman"/>
                <w:szCs w:val="24"/>
              </w:rPr>
              <w:sym w:font="Wingdings 2" w:char="F052"/>
            </w:r>
            <w:r>
              <w:rPr>
                <w:rFonts w:cs="Times New Roman"/>
                <w:szCs w:val="24"/>
              </w:rPr>
              <w:t>否</w:t>
            </w:r>
          </w:p>
          <w:p>
            <w:pPr>
              <w:adjustRightInd w:val="0"/>
              <w:snapToGrid w:val="0"/>
              <w:spacing w:line="240" w:lineRule="auto"/>
              <w:ind w:firstLine="0" w:firstLineChars="0"/>
              <w:textAlignment w:val="auto"/>
              <w:rPr>
                <w:rFonts w:cs="Times New Roman"/>
                <w:szCs w:val="24"/>
              </w:rPr>
            </w:pPr>
            <w:r>
              <w:rPr>
                <w:rFonts w:cs="Times New Roman"/>
                <w:szCs w:val="24"/>
              </w:rPr>
              <w:sym w:font="Wingdings 2" w:char="00A3"/>
            </w:r>
            <w:r>
              <w:rPr>
                <w:rFonts w:cs="Times New Roman"/>
                <w:szCs w:val="24"/>
              </w:rPr>
              <w:t>是：</w:t>
            </w:r>
          </w:p>
        </w:tc>
        <w:tc>
          <w:tcPr>
            <w:tcW w:w="2056" w:type="dxa"/>
            <w:tcMar>
              <w:top w:w="16" w:type="dxa"/>
              <w:left w:w="16" w:type="dxa"/>
              <w:right w:w="16" w:type="dxa"/>
            </w:tcMar>
            <w:vAlign w:val="center"/>
          </w:tcPr>
          <w:p>
            <w:pPr>
              <w:adjustRightInd w:val="0"/>
              <w:snapToGrid w:val="0"/>
              <w:spacing w:line="240" w:lineRule="auto"/>
              <w:ind w:firstLine="0" w:firstLineChars="0"/>
              <w:jc w:val="center"/>
              <w:textAlignment w:val="auto"/>
              <w:rPr>
                <w:rFonts w:cs="Times New Roman"/>
                <w:spacing w:val="-6"/>
                <w:szCs w:val="24"/>
              </w:rPr>
            </w:pPr>
            <w:r>
              <w:rPr>
                <w:rFonts w:cs="Times New Roman"/>
                <w:spacing w:val="-6"/>
                <w:szCs w:val="24"/>
              </w:rPr>
              <w:t>用地（用海）</w:t>
            </w:r>
          </w:p>
          <w:p>
            <w:pPr>
              <w:adjustRightInd w:val="0"/>
              <w:snapToGrid w:val="0"/>
              <w:spacing w:line="240" w:lineRule="auto"/>
              <w:ind w:firstLine="0" w:firstLineChars="0"/>
              <w:jc w:val="center"/>
              <w:textAlignment w:val="auto"/>
              <w:rPr>
                <w:rFonts w:cs="Times New Roman"/>
                <w:szCs w:val="24"/>
              </w:rPr>
            </w:pPr>
            <w:r>
              <w:rPr>
                <w:rFonts w:cs="Times New Roman"/>
                <w:spacing w:val="-6"/>
                <w:szCs w:val="24"/>
              </w:rPr>
              <w:t>面积（m</w:t>
            </w:r>
            <w:r>
              <w:rPr>
                <w:rFonts w:cs="Times New Roman"/>
                <w:spacing w:val="-6"/>
                <w:szCs w:val="24"/>
                <w:vertAlign w:val="superscript"/>
              </w:rPr>
              <w:t>2</w:t>
            </w:r>
            <w:r>
              <w:rPr>
                <w:rFonts w:cs="Times New Roman"/>
                <w:spacing w:val="-6"/>
                <w:szCs w:val="24"/>
              </w:rPr>
              <w:t>）</w:t>
            </w:r>
          </w:p>
        </w:tc>
        <w:tc>
          <w:tcPr>
            <w:tcW w:w="4103" w:type="dxa"/>
            <w:vAlign w:val="center"/>
          </w:tcPr>
          <w:p>
            <w:pPr>
              <w:adjustRightInd w:val="0"/>
              <w:snapToGrid w:val="0"/>
              <w:spacing w:line="240" w:lineRule="auto"/>
              <w:ind w:firstLine="0" w:firstLineChars="0"/>
              <w:jc w:val="center"/>
              <w:textAlignment w:val="auto"/>
              <w:rPr>
                <w:rFonts w:cs="Times New Roman"/>
                <w:szCs w:val="24"/>
              </w:rPr>
            </w:pPr>
            <w:r>
              <w:rPr>
                <w:rFonts w:hint="eastAsia"/>
              </w:rPr>
              <w:t>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1984" w:type="dxa"/>
            <w:vAlign w:val="center"/>
          </w:tcPr>
          <w:p>
            <w:pPr>
              <w:autoSpaceDE w:val="0"/>
              <w:autoSpaceDN w:val="0"/>
              <w:adjustRightInd w:val="0"/>
              <w:snapToGrid w:val="0"/>
              <w:spacing w:line="240" w:lineRule="auto"/>
              <w:ind w:firstLine="0" w:firstLineChars="0"/>
              <w:jc w:val="center"/>
              <w:textAlignment w:val="auto"/>
              <w:rPr>
                <w:rFonts w:cs="Times New Roman"/>
                <w:szCs w:val="24"/>
              </w:rPr>
            </w:pPr>
            <w:r>
              <w:rPr>
                <w:rFonts w:hint="eastAsia" w:cs="Times New Roman"/>
                <w:szCs w:val="24"/>
              </w:rPr>
              <w:t>专项评价设置情况</w:t>
            </w:r>
          </w:p>
        </w:tc>
        <w:tc>
          <w:tcPr>
            <w:tcW w:w="7985" w:type="dxa"/>
            <w:gridSpan w:val="3"/>
            <w:vAlign w:val="center"/>
          </w:tcPr>
          <w:p>
            <w:pPr>
              <w:spacing w:line="240" w:lineRule="auto"/>
              <w:ind w:firstLine="0" w:firstLineChars="0"/>
              <w:jc w:val="center"/>
            </w:pPr>
            <w:r>
              <w:rPr>
                <w:rFonts w:hint="eastAsi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1" w:hRule="atLeast"/>
          <w:jc w:val="center"/>
        </w:trPr>
        <w:tc>
          <w:tcPr>
            <w:tcW w:w="1984" w:type="dxa"/>
            <w:vAlign w:val="center"/>
          </w:tcPr>
          <w:p>
            <w:pPr>
              <w:autoSpaceDE w:val="0"/>
              <w:autoSpaceDN w:val="0"/>
              <w:adjustRightInd w:val="0"/>
              <w:snapToGrid w:val="0"/>
              <w:spacing w:line="240" w:lineRule="auto"/>
              <w:ind w:firstLine="0" w:firstLineChars="0"/>
              <w:jc w:val="center"/>
              <w:textAlignment w:val="auto"/>
              <w:rPr>
                <w:rFonts w:cs="Times New Roman"/>
                <w:kern w:val="0"/>
                <w:szCs w:val="24"/>
              </w:rPr>
            </w:pPr>
            <w:r>
              <w:rPr>
                <w:rFonts w:cs="Times New Roman"/>
                <w:szCs w:val="24"/>
              </w:rPr>
              <w:t>规划情况</w:t>
            </w:r>
          </w:p>
        </w:tc>
        <w:tc>
          <w:tcPr>
            <w:tcW w:w="7985" w:type="dxa"/>
            <w:gridSpan w:val="3"/>
            <w:vAlign w:val="center"/>
          </w:tcPr>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规划名称：《库尔勒经济技术开发区总体规划》（2006-2025年；）</w:t>
            </w:r>
          </w:p>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规划审批机关：新疆维吾尔自治区人民政府；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1984" w:type="dxa"/>
            <w:vAlign w:val="center"/>
          </w:tcPr>
          <w:p>
            <w:pPr>
              <w:adjustRightInd w:val="0"/>
              <w:snapToGrid w:val="0"/>
              <w:spacing w:line="240" w:lineRule="auto"/>
              <w:ind w:firstLine="0" w:firstLineChars="0"/>
              <w:jc w:val="center"/>
              <w:textAlignment w:val="auto"/>
              <w:rPr>
                <w:rFonts w:cs="Times New Roman"/>
                <w:szCs w:val="24"/>
              </w:rPr>
            </w:pPr>
            <w:r>
              <w:rPr>
                <w:rFonts w:cs="Times New Roman"/>
                <w:szCs w:val="24"/>
              </w:rPr>
              <w:t>规划环境影响评价情况</w:t>
            </w:r>
          </w:p>
        </w:tc>
        <w:tc>
          <w:tcPr>
            <w:tcW w:w="7985" w:type="dxa"/>
            <w:gridSpan w:val="3"/>
            <w:vAlign w:val="center"/>
          </w:tcPr>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规划环评名称：《库尔勒经济技术开发区总体规划》（2006-2025年）环境影响报告书；</w:t>
            </w:r>
          </w:p>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召集审查机关：新疆维吾尔自治区环境保护厅；</w:t>
            </w:r>
          </w:p>
          <w:p>
            <w:pPr>
              <w:ind w:firstLine="480"/>
              <w:rPr>
                <w:rFonts w:hint="eastAsia" w:eastAsia="宋体"/>
                <w:color w:val="000000" w:themeColor="text1"/>
                <w:kern w:val="0"/>
                <w:lang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审批文件：</w:t>
            </w:r>
            <w:r>
              <w:rPr>
                <w:rFonts w:hint="eastAsia"/>
                <w:color w:val="000000" w:themeColor="text1"/>
                <w:kern w:val="0"/>
                <w14:textFill>
                  <w14:solidFill>
                    <w14:schemeClr w14:val="tx1"/>
                  </w14:solidFill>
                </w14:textFill>
              </w:rPr>
              <w:t>《关于库尔勒经济技术开发区总体规划的批复》</w:t>
            </w:r>
            <w:r>
              <w:rPr>
                <w:rFonts w:hint="eastAsia"/>
                <w:color w:val="000000" w:themeColor="text1"/>
                <w:kern w:val="0"/>
                <w:lang w:eastAsia="zh-CN"/>
                <w14:textFill>
                  <w14:solidFill>
                    <w14:schemeClr w14:val="tx1"/>
                  </w14:solidFill>
                </w14:textFill>
              </w:rPr>
              <w:t>（</w:t>
            </w:r>
            <w:r>
              <w:rPr>
                <w:rFonts w:hint="eastAsia"/>
                <w:color w:val="000000" w:themeColor="text1"/>
                <w:kern w:val="0"/>
                <w14:textFill>
                  <w14:solidFill>
                    <w14:schemeClr w14:val="tx1"/>
                  </w14:solidFill>
                </w14:textFill>
              </w:rPr>
              <w:t>新政函〔2003〕12号</w:t>
            </w:r>
            <w:r>
              <w:rPr>
                <w:rFonts w:hint="eastAsia"/>
                <w:color w:val="000000" w:themeColor="text1"/>
                <w:kern w:val="0"/>
                <w:lang w:eastAsia="zh-CN"/>
                <w14:textFill>
                  <w14:solidFill>
                    <w14:schemeClr w14:val="tx1"/>
                  </w14:solidFill>
                </w14:textFill>
              </w:rPr>
              <w:t>）</w:t>
            </w:r>
          </w:p>
          <w:p>
            <w:pPr>
              <w:ind w:firstLine="48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审查文件名称：《关于&lt;库尔勒经济技术开发区总体规划环境影响报告书&gt;的审查意见》（新环财函〔2006〕280号）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atLeast"/>
          <w:jc w:val="center"/>
        </w:trPr>
        <w:tc>
          <w:tcPr>
            <w:tcW w:w="1984" w:type="dxa"/>
            <w:vAlign w:val="center"/>
          </w:tcPr>
          <w:p>
            <w:pPr>
              <w:autoSpaceDE w:val="0"/>
              <w:autoSpaceDN w:val="0"/>
              <w:adjustRightInd w:val="0"/>
              <w:snapToGrid w:val="0"/>
              <w:spacing w:line="240" w:lineRule="auto"/>
              <w:ind w:firstLine="0" w:firstLineChars="0"/>
              <w:jc w:val="center"/>
              <w:textAlignment w:val="auto"/>
              <w:rPr>
                <w:rFonts w:cs="Times New Roman"/>
                <w:kern w:val="0"/>
                <w:szCs w:val="24"/>
              </w:rPr>
            </w:pPr>
            <w:r>
              <w:rPr>
                <w:rFonts w:cs="Times New Roman"/>
                <w:kern w:val="0"/>
                <w:szCs w:val="24"/>
              </w:rPr>
              <w:t>规划及规划环境影响评价符合性分析</w:t>
            </w:r>
          </w:p>
        </w:tc>
        <w:tc>
          <w:tcPr>
            <w:tcW w:w="7985" w:type="dxa"/>
            <w:gridSpan w:val="3"/>
            <w:vAlign w:val="center"/>
          </w:tcPr>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根据《库尔勒经济技术开发区总体规划环境影响报告书》(规划期为2006-2025年)，开发区是以天然气化工为特色、融纺织、机械制造、高新技术产业于一体的现代化综合型开发区。开发区规划采取“5+2+3"的总体功能结构，即五个产业园区、二个服务区、三个配套居住区。规划用地布局采用“圈层结构”。核心为综合加工服务园区，主要以各下游产品及深加工为主。以此为中心环绕布置四个产业区：西北面为化工园区，主要以石油、天然气化工为主；东北面为综合工业园区，主要以新型材料、生态农业、生物医药为主；东南面为预留园区，以二类工业为主；南面为西尼尔工业园区，主要以棉纺织、机械制造、矿产加工为主。</w:t>
            </w:r>
          </w:p>
          <w:p>
            <w:pPr>
              <w:ind w:firstLine="480"/>
              <w:rPr>
                <w:rFonts w:hint="eastAsia" w:eastAsia="宋体"/>
                <w:lang w:eastAsia="zh-CN"/>
              </w:rPr>
            </w:pPr>
            <w:r>
              <w:rPr>
                <w:rFonts w:ascii="Segoe UI" w:hAnsi="Segoe UI" w:eastAsia="Segoe UI" w:cs="Segoe UI"/>
                <w:i w:val="0"/>
                <w:iCs w:val="0"/>
                <w:caps w:val="0"/>
                <w:spacing w:val="0"/>
                <w:sz w:val="24"/>
                <w:szCs w:val="24"/>
                <w:shd w:val="clear" w:fill="FFFFFF"/>
              </w:rPr>
              <w:t>本纸筒加工项目聚焦纸筒生产，纸筒作为棉纺织产业中纱线卷绕、包装的常用配套物料，可直接服务于园区内棉纺织企业，为其提供包装解决方案，与棉纺织产业形成上下游配套关系；同时，对于机械制造、矿产加工产业，纸筒也可在产品储运环节发挥辅助作用。项目产业方向与西尼尔工业园区“棉纺织、机械制造、矿产加工”定位高度契合，通过补位产业配套环节，助力完善园区产业链条，不存在产业定位冲突</w:t>
            </w:r>
            <w:r>
              <w:rPr>
                <w:rFonts w:hint="eastAsia" w:ascii="Segoe UI" w:hAnsi="Segoe UI" w:eastAsia="宋体" w:cs="Segoe UI"/>
                <w:i w:val="0"/>
                <w:iCs w:val="0"/>
                <w:caps w:val="0"/>
                <w:spacing w:val="0"/>
                <w:sz w:val="24"/>
                <w:szCs w:val="24"/>
                <w:shd w:val="clear"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88" w:hRule="atLeast"/>
          <w:jc w:val="center"/>
        </w:trPr>
        <w:tc>
          <w:tcPr>
            <w:tcW w:w="1984" w:type="dxa"/>
            <w:vAlign w:val="center"/>
          </w:tcPr>
          <w:p>
            <w:pPr>
              <w:autoSpaceDE w:val="0"/>
              <w:autoSpaceDN w:val="0"/>
              <w:adjustRightInd w:val="0"/>
              <w:snapToGrid w:val="0"/>
              <w:spacing w:line="240" w:lineRule="auto"/>
              <w:ind w:firstLine="0" w:firstLineChars="0"/>
              <w:jc w:val="center"/>
              <w:textAlignment w:val="auto"/>
              <w:rPr>
                <w:rFonts w:cs="Times New Roman"/>
                <w:kern w:val="0"/>
                <w:szCs w:val="24"/>
              </w:rPr>
            </w:pPr>
            <w:r>
              <w:rPr>
                <w:rFonts w:cs="Times New Roman"/>
                <w:kern w:val="0"/>
                <w:szCs w:val="24"/>
              </w:rPr>
              <w:t>其他符合性分析</w:t>
            </w:r>
          </w:p>
        </w:tc>
        <w:tc>
          <w:tcPr>
            <w:tcW w:w="7985" w:type="dxa"/>
            <w:gridSpan w:val="3"/>
            <w:vAlign w:val="center"/>
          </w:tcPr>
          <w:p>
            <w:pPr>
              <w:ind w:firstLine="0" w:firstLineChars="0"/>
              <w:rPr>
                <w:b/>
                <w:bCs/>
              </w:rPr>
            </w:pPr>
            <w:r>
              <w:rPr>
                <w:rFonts w:hint="eastAsia"/>
                <w:b/>
                <w:bCs/>
              </w:rPr>
              <w:t>1</w:t>
            </w:r>
            <w:r>
              <w:rPr>
                <w:b/>
                <w:bCs/>
              </w:rPr>
              <w:t>.1</w:t>
            </w:r>
            <w:r>
              <w:rPr>
                <w:rFonts w:hint="eastAsia"/>
                <w:b/>
                <w:bCs/>
              </w:rPr>
              <w:t>项目产业政策符合性分析</w:t>
            </w:r>
          </w:p>
          <w:p>
            <w:pPr>
              <w:ind w:firstLine="480"/>
              <w:rPr>
                <w:rFonts w:cs="Times New Roman"/>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本项目行业类别为</w:t>
            </w:r>
            <w:r>
              <w:rPr>
                <w:rFonts w:hint="eastAsia" w:cs="Times New Roman"/>
                <w:szCs w:val="24"/>
              </w:rPr>
              <w:t>C2239其他纸制品制造，</w:t>
            </w:r>
            <w:r>
              <w:rPr>
                <w:color w:val="000000" w:themeColor="text1"/>
                <w:kern w:val="0"/>
                <w14:textFill>
                  <w14:solidFill>
                    <w14:schemeClr w14:val="tx1"/>
                  </w14:solidFill>
                </w14:textFill>
              </w:rPr>
              <w:t>根据《产业结构调整指导目录（2024年本）》</w:t>
            </w:r>
            <w:r>
              <w:rPr>
                <w:rFonts w:hint="eastAsia"/>
                <w:color w:val="000000" w:themeColor="text1"/>
                <w:kern w:val="0"/>
                <w14:textFill>
                  <w14:solidFill>
                    <w14:schemeClr w14:val="tx1"/>
                  </w14:solidFill>
                </w14:textFill>
              </w:rPr>
              <w:t>，不属于鼓励类、限制类、淘汰类项目，为允许类。因此其建设符合国家产业政策要求</w:t>
            </w:r>
            <w:r>
              <w:rPr>
                <w:rFonts w:cs="Times New Roman"/>
              </w:rPr>
              <w:t>。</w:t>
            </w:r>
            <w:r>
              <w:rPr>
                <w:rFonts w:hint="eastAsia" w:cs="Times New Roman"/>
              </w:rPr>
              <w:t>项目已于2024年6月</w:t>
            </w:r>
            <w:r>
              <w:rPr>
                <w:rFonts w:cs="Times New Roman"/>
              </w:rPr>
              <w:t>4</w:t>
            </w:r>
            <w:r>
              <w:rPr>
                <w:rFonts w:hint="eastAsia" w:cs="Times New Roman"/>
              </w:rPr>
              <w:t>日经</w:t>
            </w:r>
            <w:r>
              <w:rPr>
                <w:rFonts w:hint="eastAsia" w:cs="Times New Roman"/>
                <w:szCs w:val="24"/>
              </w:rPr>
              <w:t>库尔勒经济技术开发区发展和改革委员会</w:t>
            </w:r>
            <w:r>
              <w:rPr>
                <w:rFonts w:hint="eastAsia" w:cs="Times New Roman"/>
              </w:rPr>
              <w:t>审核通过取得企业投资项目备案证（代码：</w:t>
            </w:r>
            <w:r>
              <w:rPr>
                <w:rFonts w:hint="eastAsia" w:cs="Times New Roman"/>
                <w:szCs w:val="24"/>
              </w:rPr>
              <w:t>2405-652871-04-01-854452</w:t>
            </w:r>
            <w:r>
              <w:rPr>
                <w:rFonts w:hint="eastAsia" w:cs="Times New Roman"/>
              </w:rPr>
              <w:t>，见附件1）。</w:t>
            </w:r>
          </w:p>
          <w:p>
            <w:pPr>
              <w:ind w:firstLine="0" w:firstLineChars="0"/>
              <w:rPr>
                <w:rFonts w:cs="Times New Roman"/>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.2</w:t>
            </w:r>
            <w:r>
              <w:rPr>
                <w:rFonts w:hint="eastAsia"/>
                <w:b/>
                <w:bCs/>
                <w:color w:val="000000" w:themeColor="text1"/>
                <w:kern w:val="0"/>
                <w14:textFill>
                  <w14:solidFill>
                    <w14:schemeClr w14:val="tx1"/>
                  </w14:solidFill>
                </w14:textFill>
              </w:rPr>
              <w:t>项目选址合理性分析</w:t>
            </w:r>
          </w:p>
          <w:p>
            <w:pPr>
              <w:ind w:firstLine="480"/>
              <w:rPr>
                <w:rFonts w:hint="eastAsia"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本项目位于</w:t>
            </w:r>
            <w:r>
              <w:rPr>
                <w:rFonts w:hint="eastAsia" w:cs="Times New Roman"/>
                <w:szCs w:val="24"/>
              </w:rPr>
              <w:t>库尔勒经济技术开发区</w:t>
            </w:r>
            <w:r>
              <w:rPr>
                <w:rFonts w:hint="eastAsia"/>
              </w:rPr>
              <w:t>纵三路东侧横四路北侧，根据</w:t>
            </w:r>
            <w:r>
              <w:rPr>
                <w:rFonts w:hint="eastAsia" w:cs="Times New Roman"/>
              </w:rPr>
              <w:t>企业提供的不动产权证（见附件2），</w:t>
            </w:r>
            <w:r>
              <w:rPr>
                <w:rFonts w:hint="eastAsia"/>
              </w:rPr>
              <w:t>项目用地性质为工业用地，</w:t>
            </w:r>
            <w:r>
              <w:rPr>
                <w:rFonts w:hint="eastAsia" w:cs="Times New Roman"/>
                <w:szCs w:val="24"/>
              </w:rPr>
              <w:t>新疆中泰亨惠医疗卫材股份有限公司租用巴州鑫达资产管理有限公司的闲置厂房进行生产。</w:t>
            </w:r>
            <w:r>
              <w:rPr>
                <w:rFonts w:hint="eastAsia"/>
              </w:rPr>
              <w:t>厂区中心位置坐标为：</w:t>
            </w:r>
            <w:r>
              <w:rPr>
                <w:rFonts w:cs="Times New Roman"/>
                <w:color w:val="000000" w:themeColor="text1"/>
                <w14:textFill>
                  <w14:solidFill>
                    <w14:schemeClr w14:val="tx1"/>
                  </w14:solidFill>
                </w14:textFill>
              </w:rPr>
              <w:t>东经86°</w:t>
            </w:r>
            <w:r>
              <w:rPr>
                <w:rFonts w:hint="eastAsia" w:cs="Times New Roman"/>
                <w:color w:val="000000" w:themeColor="text1"/>
                <w14:textFill>
                  <w14:solidFill>
                    <w14:schemeClr w14:val="tx1"/>
                  </w14:solidFill>
                </w14:textFill>
              </w:rPr>
              <w:t>17</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44.536</w:t>
            </w:r>
            <w:r>
              <w:rPr>
                <w:rFonts w:cs="Times New Roman"/>
                <w:color w:val="000000" w:themeColor="text1"/>
                <w14:textFill>
                  <w14:solidFill>
                    <w14:schemeClr w14:val="tx1"/>
                  </w14:solidFill>
                </w14:textFill>
              </w:rPr>
              <w:t>"，北纬41°3</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29.032</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，用地面积为512m</w:t>
            </w:r>
            <w:r>
              <w:rPr>
                <w:rFonts w:hint="eastAsia" w:cs="Times New Roman"/>
                <w:color w:val="000000" w:themeColor="text1"/>
                <w:vertAlign w:val="superscript"/>
                <w14:textFill>
                  <w14:solidFill>
                    <w14:schemeClr w14:val="tx1"/>
                  </w14:solidFill>
                </w14:textFill>
              </w:rPr>
              <w:t>2</w:t>
            </w:r>
            <w:r>
              <w:rPr>
                <w:rFonts w:hint="eastAsia" w:cs="Times New Roman"/>
                <w:color w:val="000000" w:themeColor="text1"/>
                <w14:textFill>
                  <w14:solidFill>
                    <w14:schemeClr w14:val="tx1"/>
                  </w14:solidFill>
                </w14:textFill>
              </w:rPr>
              <w:t>，项目区北侧、西侧、东侧均为空地，南侧为</w:t>
            </w:r>
            <w:r>
              <w:rPr>
                <w:rFonts w:hint="eastAsia" w:cs="Times New Roman"/>
                <w:szCs w:val="24"/>
              </w:rPr>
              <w:t>新疆中泰亨惠医疗卫材股份有限公司。</w:t>
            </w:r>
            <w:r>
              <w:rPr>
                <w:rFonts w:hint="eastAsia" w:cs="Times New Roman"/>
              </w:rPr>
              <w:t>地理位置见附图1</w:t>
            </w:r>
            <w:r>
              <w:t>《项目地理位置图》</w:t>
            </w:r>
            <w:r>
              <w:rPr>
                <w:rFonts w:hint="eastAsia" w:cs="Times New Roman"/>
              </w:rPr>
              <w:t>，项目周边关系图见附</w:t>
            </w:r>
            <w:r>
              <w:rPr>
                <w:rFonts w:hint="eastAsia" w:cs="Times New Roman"/>
                <w:color w:val="000000" w:themeColor="text1"/>
                <w:szCs w:val="24"/>
                <w14:textFill>
                  <w14:solidFill>
                    <w14:schemeClr w14:val="tx1"/>
                  </w14:solidFill>
                </w14:textFill>
              </w:rPr>
              <w:t>图</w:t>
            </w:r>
            <w:r>
              <w:rPr>
                <w:rFonts w:cs="Times New Roman"/>
                <w:color w:val="000000" w:themeColor="text1"/>
                <w:szCs w:val="24"/>
                <w14:textFill>
                  <w14:solidFill>
                    <w14:schemeClr w14:val="tx1"/>
                  </w14:solidFill>
                </w14:textFill>
              </w:rPr>
              <w:t>3</w:t>
            </w:r>
            <w:r>
              <w:t>《项目周边关系图》</w:t>
            </w:r>
            <w:r>
              <w:rPr>
                <w:rFonts w:hint="eastAsia" w:cs="Times New Roman"/>
                <w:color w:val="000000" w:themeColor="text1"/>
                <w:szCs w:val="24"/>
                <w14:textFill>
                  <w14:solidFill>
                    <w14:schemeClr w14:val="tx1"/>
                  </w14:solidFill>
                </w14:textFill>
              </w:rPr>
              <w:t>。</w:t>
            </w:r>
          </w:p>
          <w:p>
            <w:pPr>
              <w:ind w:firstLine="480"/>
              <w:rPr>
                <w:rFonts w:hint="eastAsia"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根据《库尔勒经济技术开发区总体规划环境影响报告书》（规划期为 2006-2025 年），该园区主要以棉纺织、机械制造、矿产加工为主，项目的产业方向与所在园区的产业定位相契合，能够融入园区的产业生态体系，符合开发区总体规划中对西尼尔工业园区的功能设定。</w:t>
            </w:r>
          </w:p>
          <w:p>
            <w:pPr>
              <w:ind w:firstLine="480"/>
              <w:rPr>
                <w:color w:val="000000"/>
              </w:rPr>
            </w:pPr>
            <w:r>
              <w:rPr>
                <w:rFonts w:hint="eastAsia"/>
                <w:color w:val="000000"/>
              </w:rPr>
              <w:t>本项目建设符合用地规划，该项目位于</w:t>
            </w:r>
            <w:r>
              <w:rPr>
                <w:rFonts w:hint="eastAsia" w:cs="Times New Roman"/>
                <w:szCs w:val="24"/>
              </w:rPr>
              <w:t>库尔勒经济技术开发区</w:t>
            </w:r>
            <w:r>
              <w:rPr>
                <w:rFonts w:hint="eastAsia"/>
              </w:rPr>
              <w:t>纵三路东侧横四路北侧，根据巴州鑫达资产管理有限公司的不动产权证（新（2018）巴州不动产权第0000803号），本项目所在地用地性质为工业用地，符合用地性质要求。</w:t>
            </w:r>
          </w:p>
          <w:p>
            <w:pPr>
              <w:ind w:firstLine="480"/>
              <w:rPr>
                <w:rFonts w:hint="eastAsia"/>
                <w:color w:val="000000"/>
              </w:rPr>
            </w:pPr>
            <w:r>
              <w:rPr>
                <w:rFonts w:hint="eastAsia" w:cs="Times New Roman"/>
              </w:rPr>
              <w:t>此外，</w:t>
            </w:r>
            <w:r>
              <w:rPr>
                <w:rFonts w:cs="Times New Roman"/>
              </w:rPr>
              <w:t>项目不在自然保护区、风景名胜区、饮用水水源地保护区、居民集中区及基</w:t>
            </w:r>
            <w:r>
              <w:t>本农田保护区、自然公园等环境敏感区范围内</w:t>
            </w:r>
            <w:r>
              <w:rPr>
                <w:rFonts w:hint="eastAsia"/>
              </w:rPr>
              <w:t>。</w:t>
            </w:r>
            <w:r>
              <w:rPr>
                <w:rFonts w:hint="eastAsia"/>
                <w:color w:val="000000"/>
              </w:rPr>
              <w:t>建设区</w:t>
            </w:r>
            <w:r>
              <w:rPr>
                <w:rFonts w:hint="eastAsia"/>
                <w:color w:val="000000"/>
                <w:lang w:val="en-US" w:eastAsia="zh-CN"/>
              </w:rPr>
              <w:t>便利的交通条件也为项目的原材料运输、产品外运等提供了便捷保障，有利于项目的顺利开展。​</w:t>
            </w:r>
          </w:p>
          <w:p>
            <w:pPr>
              <w:ind w:firstLine="480"/>
              <w:rPr>
                <w:rFonts w:cs="Times New Roman"/>
                <w:color w:val="000000"/>
              </w:rPr>
            </w:pPr>
            <w:r>
              <w:rPr>
                <w:rFonts w:hint="eastAsia"/>
                <w:color w:val="000000"/>
                <w:lang w:val="en-US" w:eastAsia="zh-CN"/>
              </w:rPr>
              <w:t>综上所述，本项目选址不仅符合库尔勒经济技术开发区的总体规划和产业定位，满足用地性质要求，规避了环境敏感区，而且具备良好的基础设施和周边环境条件，选址合理可行。</w:t>
            </w:r>
          </w:p>
          <w:p>
            <w:pPr>
              <w:pStyle w:val="25"/>
              <w:ind w:firstLine="482"/>
              <w:jc w:val="both"/>
            </w:pPr>
            <w:bookmarkStart w:id="3" w:name="_Hlk98424207"/>
            <w:r>
              <w:t>1.3</w:t>
            </w:r>
            <w:r>
              <w:rPr>
                <w:rFonts w:hint="eastAsia" w:ascii="Times New Roman" w:hAnsi="Times New Roman" w:cs="Times New Roman"/>
                <w:b/>
                <w:bCs/>
                <w:sz w:val="24"/>
                <w:szCs w:val="32"/>
                <w:lang w:eastAsia="zh-CN"/>
              </w:rPr>
              <w:t>《新疆维吾尔自治区生态环境分区管控方案》符合性分析</w:t>
            </w:r>
          </w:p>
          <w:p>
            <w:pPr>
              <w:ind w:firstLine="480"/>
            </w:pPr>
            <w:r>
              <w:rPr>
                <w:rFonts w:hint="eastAsia"/>
                <w:lang w:val="en-US" w:eastAsia="zh-CN"/>
              </w:rPr>
              <w:t>根据《关于印发〈新疆维吾尔自治区生态环境分区管控动态更新成果〉的通知》（新环环评发〔2024〕157号）。项目与自治区符合性分析见下表。</w:t>
            </w:r>
          </w:p>
          <w:p>
            <w:pPr>
              <w:pStyle w:val="72"/>
              <w:spacing w:before="120"/>
              <w:rPr>
                <w:rFonts w:hint="default" w:ascii="Times New Roman" w:hAnsi="Times New Roman" w:eastAsia="宋体" w:cs="Times New Roman"/>
              </w:rPr>
            </w:pPr>
            <w:r>
              <w:rPr>
                <w:rFonts w:hint="default" w:ascii="Times New Roman" w:hAnsi="Times New Roman" w:eastAsia="宋体" w:cs="Times New Roman"/>
              </w:rPr>
              <w:t>表1</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1</w:t>
            </w:r>
            <w:r>
              <w:rPr>
                <w:rFonts w:hint="default" w:ascii="Times New Roman" w:hAnsi="Times New Roman" w:eastAsia="宋体" w:cs="Times New Roman"/>
              </w:rPr>
              <w:t>与新疆维吾尔自治区</w:t>
            </w:r>
            <w:r>
              <w:rPr>
                <w:rFonts w:hint="default" w:ascii="Times New Roman" w:hAnsi="Times New Roman" w:eastAsia="宋体" w:cs="Times New Roman"/>
                <w:lang w:eastAsia="zh-CN"/>
              </w:rPr>
              <w:t>生态环境分区管控</w:t>
            </w:r>
            <w:r>
              <w:rPr>
                <w:rFonts w:hint="default" w:ascii="Times New Roman" w:hAnsi="Times New Roman" w:eastAsia="宋体" w:cs="Times New Roman"/>
              </w:rPr>
              <w:t>符合性分析</w:t>
            </w:r>
          </w:p>
          <w:tbl>
            <w:tblPr>
              <w:tblStyle w:val="29"/>
              <w:tblW w:w="497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16"/>
              <w:gridCol w:w="623"/>
              <w:gridCol w:w="4818"/>
              <w:gridCol w:w="1336"/>
              <w:gridCol w:w="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09" w:type="pct"/>
                  <w:gridSpan w:val="2"/>
                  <w:vAlign w:val="center"/>
                </w:tcPr>
                <w:p>
                  <w:pPr>
                    <w:pStyle w:val="38"/>
                    <w:rPr>
                      <w:rFonts w:hint="eastAsia" w:eastAsia="宋体"/>
                      <w:lang w:val="en-US" w:eastAsia="zh-CN"/>
                    </w:rPr>
                  </w:pPr>
                  <w:r>
                    <w:rPr>
                      <w:rFonts w:hint="eastAsia"/>
                      <w:lang w:val="en-US" w:eastAsia="zh-CN"/>
                    </w:rPr>
                    <w:t>管控维度</w:t>
                  </w:r>
                </w:p>
              </w:tc>
              <w:tc>
                <w:tcPr>
                  <w:tcW w:w="3126" w:type="pct"/>
                  <w:vAlign w:val="center"/>
                </w:tcPr>
                <w:p>
                  <w:pPr>
                    <w:pStyle w:val="38"/>
                  </w:pPr>
                  <w:r>
                    <w:rPr>
                      <w:rFonts w:hint="eastAsia"/>
                      <w:lang w:val="en-US" w:eastAsia="zh-CN"/>
                    </w:rPr>
                    <w:t>管控</w:t>
                  </w:r>
                  <w:r>
                    <w:rPr>
                      <w:rFonts w:hint="eastAsia"/>
                    </w:rPr>
                    <w:t>要求</w:t>
                  </w:r>
                </w:p>
              </w:tc>
              <w:tc>
                <w:tcPr>
                  <w:tcW w:w="867" w:type="pct"/>
                  <w:vAlign w:val="center"/>
                </w:tcPr>
                <w:p>
                  <w:pPr>
                    <w:pStyle w:val="38"/>
                    <w:rPr>
                      <w:rFonts w:hint="eastAsia" w:eastAsia="宋体"/>
                      <w:lang w:val="en-US" w:eastAsia="zh-CN"/>
                    </w:rPr>
                  </w:pPr>
                  <w:r>
                    <w:rPr>
                      <w:rFonts w:hint="eastAsia"/>
                    </w:rPr>
                    <w:t>本项目</w:t>
                  </w:r>
                  <w:r>
                    <w:rPr>
                      <w:rFonts w:hint="eastAsia"/>
                      <w:lang w:val="en-US" w:eastAsia="zh-CN"/>
                    </w:rPr>
                    <w:t>情况</w:t>
                  </w:r>
                </w:p>
              </w:tc>
              <w:tc>
                <w:tcPr>
                  <w:tcW w:w="396" w:type="pct"/>
                  <w:vAlign w:val="center"/>
                </w:tcPr>
                <w:p>
                  <w:pPr>
                    <w:pStyle w:val="38"/>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38"/>
                    <w:rPr>
                      <w:rFonts w:hint="default"/>
                      <w:lang w:val="en-US"/>
                    </w:rPr>
                  </w:pPr>
                  <w:r>
                    <w:rPr>
                      <w:rFonts w:hint="eastAsia"/>
                      <w:lang w:val="en-US" w:eastAsia="zh-CN"/>
                    </w:rPr>
                    <w:t>A1空间布局</w:t>
                  </w:r>
                </w:p>
              </w:tc>
              <w:tc>
                <w:tcPr>
                  <w:tcW w:w="404" w:type="pct"/>
                  <w:vMerge w:val="restart"/>
                  <w:vAlign w:val="center"/>
                </w:tcPr>
                <w:p>
                  <w:pPr>
                    <w:pStyle w:val="38"/>
                    <w:rPr>
                      <w:rFonts w:hint="default"/>
                      <w:lang w:val="en-US" w:eastAsia="zh-CN"/>
                    </w:rPr>
                  </w:pPr>
                  <w:r>
                    <w:rPr>
                      <w:rFonts w:hint="eastAsia"/>
                      <w:lang w:val="en-US" w:eastAsia="zh-CN"/>
                    </w:rPr>
                    <w:t>A1.1禁止开发建设的活动</w:t>
                  </w:r>
                </w:p>
              </w:tc>
              <w:tc>
                <w:tcPr>
                  <w:tcW w:w="3126" w:type="pct"/>
                  <w:vAlign w:val="top"/>
                </w:tcPr>
                <w:p>
                  <w:pPr>
                    <w:pStyle w:val="93"/>
                    <w:spacing w:before="10" w:line="263"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〔A1.1-1〕禁止新建、扩建《产业结构调整指导目录（2024年本）》中淘汰类项目。禁止引入《市场准入负面清单（2022年版）》禁止准入类事项。</w:t>
                  </w:r>
                </w:p>
              </w:tc>
              <w:tc>
                <w:tcPr>
                  <w:tcW w:w="867" w:type="pct"/>
                  <w:vMerge w:val="restart"/>
                  <w:vAlign w:val="center"/>
                </w:tcPr>
                <w:p>
                  <w:pPr>
                    <w:pStyle w:val="38"/>
                    <w:rPr>
                      <w:rFonts w:hint="default" w:eastAsia="宋体"/>
                      <w:lang w:val="en-US" w:eastAsia="zh-CN"/>
                    </w:rPr>
                  </w:pPr>
                  <w:r>
                    <w:rPr>
                      <w:rFonts w:hint="eastAsia"/>
                      <w:sz w:val="21"/>
                      <w:szCs w:val="21"/>
                    </w:rPr>
                    <w:t>本项目主要为纸制品制造项目</w:t>
                  </w:r>
                  <w:r>
                    <w:rPr>
                      <w:rStyle w:val="34"/>
                      <w:rFonts w:hint="eastAsia"/>
                      <w:lang w:val="en-US" w:eastAsia="zh-CN"/>
                    </w:rPr>
                    <w:t>，属于《产业结构调整指导目录(2024年本)》</w:t>
                  </w:r>
                  <w:r>
                    <w:rPr>
                      <w:rFonts w:hint="eastAsia"/>
                      <w:color w:val="000000" w:themeColor="text1"/>
                      <w:kern w:val="0"/>
                      <w14:textFill>
                        <w14:solidFill>
                          <w14:schemeClr w14:val="tx1"/>
                        </w14:solidFill>
                      </w14:textFill>
                    </w:rPr>
                    <w:t>不属于鼓励类、限制类、淘汰类项目，为允许类。</w:t>
                  </w:r>
                </w:p>
              </w:tc>
              <w:tc>
                <w:tcPr>
                  <w:tcW w:w="396" w:type="pct"/>
                  <w:vAlign w:val="center"/>
                </w:tcPr>
                <w:p>
                  <w:pPr>
                    <w:pStyle w:val="38"/>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12" w:line="243" w:lineRule="auto"/>
                    <w:ind w:left="0" w:leftChars="0" w:right="3"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〔A1.1-2〕禁止建设不符合国家和自治区环境保护标准的项目。</w:t>
                  </w:r>
                </w:p>
              </w:tc>
              <w:tc>
                <w:tcPr>
                  <w:tcW w:w="867" w:type="pct"/>
                  <w:vMerge w:val="continue"/>
                  <w:vAlign w:val="center"/>
                </w:tcPr>
                <w:p>
                  <w:pPr>
                    <w:pStyle w:val="38"/>
                  </w:pPr>
                </w:p>
              </w:tc>
              <w:tc>
                <w:tcPr>
                  <w:tcW w:w="396" w:type="pct"/>
                  <w:vAlign w:val="center"/>
                </w:tcPr>
                <w:p>
                  <w:pPr>
                    <w:pStyle w:val="38"/>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14" w:line="259" w:lineRule="auto"/>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〔A1.1-3〕禁止在饮用水水源保护区、风景名胜区、自然保护区的核心区和缓冲区、城镇居民区、文化教育科学研究区等人口集中区域以及法律法规规定的其他禁止养殖区域建设畜禽养殖场、养殖小区。</w:t>
                  </w:r>
                </w:p>
              </w:tc>
              <w:tc>
                <w:tcPr>
                  <w:tcW w:w="867" w:type="pct"/>
                  <w:vMerge w:val="continue"/>
                  <w:vAlign w:val="center"/>
                </w:tcPr>
                <w:p>
                  <w:pPr>
                    <w:pStyle w:val="38"/>
                  </w:pPr>
                </w:p>
              </w:tc>
              <w:tc>
                <w:tcPr>
                  <w:tcW w:w="396" w:type="pct"/>
                  <w:vAlign w:val="center"/>
                </w:tcPr>
                <w:p>
                  <w:pPr>
                    <w:pStyle w:val="38"/>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16" w:line="246"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〔A1.1-4〕禁止在水源涵养区、地下水源、饮用水源、自然保护区、风景名胜区、森林公园、重要湿地及人群密集区等生态敏感区域内进行煤炭、石油、天然气开发。</w:t>
                  </w:r>
                </w:p>
              </w:tc>
              <w:tc>
                <w:tcPr>
                  <w:tcW w:w="867" w:type="pct"/>
                  <w:vMerge w:val="continue"/>
                  <w:vAlign w:val="center"/>
                </w:tcPr>
                <w:p>
                  <w:pPr>
                    <w:pStyle w:val="38"/>
                  </w:pPr>
                </w:p>
              </w:tc>
              <w:tc>
                <w:tcPr>
                  <w:tcW w:w="396" w:type="pct"/>
                  <w:vAlign w:val="center"/>
                </w:tcPr>
                <w:p>
                  <w:pPr>
                    <w:pStyle w:val="38"/>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17" w:line="259" w:lineRule="auto"/>
                    <w:ind w:left="0" w:leftChars="0" w:right="1"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-5〕禁止下列破坏湿地及其生态功能的行为：（一）开（围）垦、排干自然湿地，永久性截断自然湿地水源；（二）擅自填埋自然湿地，擅自采砂、采矿、取土；（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w:t>
                  </w:r>
                </w:p>
              </w:tc>
              <w:tc>
                <w:tcPr>
                  <w:tcW w:w="867" w:type="pct"/>
                  <w:vMerge w:val="continue"/>
                  <w:vAlign w:val="center"/>
                </w:tcPr>
                <w:p>
                  <w:pPr>
                    <w:pStyle w:val="38"/>
                  </w:pPr>
                </w:p>
              </w:tc>
              <w:tc>
                <w:tcPr>
                  <w:tcW w:w="396" w:type="pct"/>
                  <w:vAlign w:val="center"/>
                </w:tcPr>
                <w:p>
                  <w:pPr>
                    <w:pStyle w:val="38"/>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5" w:line="258"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-6〕禁止在自治区行政区域内引进能（水）耗不符合相关国家标准中准入值要求且污染物排放和环境风险防控不符合国家（地方）标准及有关产业准入条件的高污染（排放）、高能（水）耗、高环境风险的工业项目。</w:t>
                  </w:r>
                </w:p>
              </w:tc>
              <w:tc>
                <w:tcPr>
                  <w:tcW w:w="867" w:type="pct"/>
                  <w:vMerge w:val="restart"/>
                  <w:vAlign w:val="center"/>
                </w:tcPr>
                <w:p>
                  <w:pPr>
                    <w:pStyle w:val="38"/>
                    <w:rPr>
                      <w:rFonts w:hint="default" w:eastAsia="宋体"/>
                      <w:lang w:val="en-US" w:eastAsia="zh-CN"/>
                    </w:rPr>
                  </w:pPr>
                  <w:r>
                    <w:rPr>
                      <w:rFonts w:hint="eastAsia"/>
                      <w:lang w:val="en-US" w:eastAsia="zh-CN"/>
                    </w:rPr>
                    <w:t>本项目不属于工业项目，不涉及危险化学品、不涉及重金属。</w:t>
                  </w:r>
                </w:p>
              </w:tc>
              <w:tc>
                <w:tcPr>
                  <w:tcW w:w="396" w:type="pct"/>
                  <w:vAlign w:val="center"/>
                </w:tcPr>
                <w:p>
                  <w:pPr>
                    <w:pStyle w:val="38"/>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12"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-7〕①坚决遏制高耗能高排放低水平项目盲目发展。严把高耗能高排放低水平项目准入关口，严格落实污染物排放区域削减要求，对不符合规定的项目坚决停批停建。依法依规淘汰落后产能和化解过剩产能。②重点行业企业纳入重污染天气绩效分级，制定“一厂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867" w:type="pct"/>
                  <w:vMerge w:val="continue"/>
                  <w:vAlign w:val="center"/>
                </w:tcPr>
                <w:p>
                  <w:pPr>
                    <w:pStyle w:val="38"/>
                  </w:pPr>
                </w:p>
              </w:tc>
              <w:tc>
                <w:tcPr>
                  <w:tcW w:w="396" w:type="pct"/>
                  <w:vAlign w:val="center"/>
                </w:tcPr>
                <w:p>
                  <w:pPr>
                    <w:pStyle w:val="38"/>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1" w:line="250" w:lineRule="auto"/>
                    <w:ind w:left="0" w:leftChars="0" w:firstLine="0" w:firstLineChars="0"/>
                    <w:jc w:val="both"/>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〔A1.1-8〕严格执行危险化学品“禁限控”目录，新建危险化学品生产项目必须进入一般或较低安全风险的化工园区（与其他行业生产装置配套建设的项目除外），引导其他石化化工项目在化工园区发展。</w:t>
                  </w:r>
                  <w:r>
                    <w:rPr>
                      <w:rFonts w:hint="eastAsia" w:ascii="Times New Roman" w:hAnsi="Times New Roman" w:cs="Times New Roman"/>
                      <w:kern w:val="2"/>
                      <w:sz w:val="21"/>
                      <w:szCs w:val="22"/>
                      <w:lang w:val="en-US" w:eastAsia="zh-CN" w:bidi="ar-SA"/>
                    </w:rPr>
                    <w:t xml:space="preserve">   </w:t>
                  </w:r>
                </w:p>
              </w:tc>
              <w:tc>
                <w:tcPr>
                  <w:tcW w:w="867" w:type="pct"/>
                  <w:vMerge w:val="continue"/>
                  <w:vAlign w:val="center"/>
                </w:tcPr>
                <w:p>
                  <w:pPr>
                    <w:pStyle w:val="38"/>
                  </w:pPr>
                </w:p>
              </w:tc>
              <w:tc>
                <w:tcPr>
                  <w:tcW w:w="396" w:type="pct"/>
                  <w:vAlign w:val="center"/>
                </w:tcPr>
                <w:p>
                  <w:pPr>
                    <w:pStyle w:val="38"/>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7"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-9〕严禁新建自治区《禁止、控制和限制危险化学品目录》中淘汰类、禁止类危险化学品化工项目。严格执行生态保护红线、永久基本农田管控要求，禁止新（改、扩）建化工项目违规占用生态保护红线和永久基本农田。在塔里木河、伊犁河、额尔齐斯河干流及主要支流岸线1公里范围内，除提升安全、环保、节能、智能化、产品质量水平的技术改造项目外，严格禁止新建、扩建化工项目，不得布局新的化工园区（含化工集中区）。</w:t>
                  </w:r>
                </w:p>
              </w:tc>
              <w:tc>
                <w:tcPr>
                  <w:tcW w:w="867" w:type="pct"/>
                  <w:vMerge w:val="continue"/>
                  <w:vAlign w:val="center"/>
                </w:tcPr>
                <w:p>
                  <w:pPr>
                    <w:pStyle w:val="38"/>
                  </w:pPr>
                </w:p>
              </w:tc>
              <w:tc>
                <w:tcPr>
                  <w:tcW w:w="396" w:type="pct"/>
                  <w:vAlign w:val="center"/>
                </w:tcPr>
                <w:p>
                  <w:pPr>
                    <w:pStyle w:val="38"/>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-10〕推动涉重金属产业集中优化发展，禁止新建用汞的电石法（聚）氯乙烯生产工艺，新建、扩建的重有色金属冶炼、电镀、制革企业优先选择布设在依法合规设立并依法开展规划环境影响评价的产业园区。</w:t>
                  </w:r>
                </w:p>
              </w:tc>
              <w:tc>
                <w:tcPr>
                  <w:tcW w:w="867" w:type="pct"/>
                  <w:vMerge w:val="continue"/>
                  <w:vAlign w:val="center"/>
                </w:tcPr>
                <w:p>
                  <w:pPr>
                    <w:pStyle w:val="38"/>
                  </w:pPr>
                </w:p>
              </w:tc>
              <w:tc>
                <w:tcPr>
                  <w:tcW w:w="396" w:type="pct"/>
                  <w:vAlign w:val="center"/>
                </w:tcPr>
                <w:p>
                  <w:pPr>
                    <w:pStyle w:val="38"/>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-11〕国务院有关部门和青藏高原县级以上地方人民政府应当建立健全青藏高原雪山冰川冻土保护制度，加强对雪山冰川冻土的监测预警和系统保护。青藏高原省级人民政府应当将大型冰帽冰川、小规模冰川群等划入生态保护红线，对重要雪山冰川实施封禁保护，采取有效措施，严格控制人为扰动。青藏高原省级人民政府应当划定冻土区保护范围，加强对多年冻土区和中深季节冻土区的保护，严格控制多年冻土区资源开发，严格审批多年冻土区城镇规划和交通、管线、输变电等重大工程项目。青藏高原省级人民政府应当开展雪山冰川冻土与周边生态系统的协同保护，维持有利于雪山冰川冻土保护的自然生态环境。</w:t>
                  </w:r>
                </w:p>
              </w:tc>
              <w:tc>
                <w:tcPr>
                  <w:tcW w:w="867" w:type="pct"/>
                  <w:vAlign w:val="center"/>
                </w:tcPr>
                <w:p>
                  <w:pPr>
                    <w:pStyle w:val="38"/>
                    <w:rPr>
                      <w:rFonts w:hint="default" w:eastAsia="宋体"/>
                      <w:lang w:val="en-US" w:eastAsia="zh-CN"/>
                    </w:rPr>
                  </w:pPr>
                  <w:r>
                    <w:rPr>
                      <w:rFonts w:hint="eastAsia"/>
                      <w:lang w:val="en-US" w:eastAsia="zh-CN"/>
                    </w:rPr>
                    <w:t>本项目不涉及</w:t>
                  </w:r>
                </w:p>
              </w:tc>
              <w:tc>
                <w:tcPr>
                  <w:tcW w:w="396" w:type="pct"/>
                  <w:vAlign w:val="center"/>
                </w:tcPr>
                <w:p>
                  <w:pPr>
                    <w:pStyle w:val="38"/>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restart"/>
                  <w:vAlign w:val="center"/>
                </w:tcPr>
                <w:p>
                  <w:pPr>
                    <w:pStyle w:val="38"/>
                    <w:rPr>
                      <w:rFonts w:hint="default" w:eastAsia="宋体"/>
                      <w:lang w:val="en-US" w:eastAsia="zh-CN"/>
                    </w:rPr>
                  </w:pPr>
                  <w:r>
                    <w:rPr>
                      <w:rFonts w:hint="eastAsia"/>
                      <w:lang w:val="en-US" w:eastAsia="zh-CN"/>
                    </w:rPr>
                    <w:t>A2.1限制开发建设的活动</w:t>
                  </w:r>
                </w:p>
              </w:tc>
              <w:tc>
                <w:tcPr>
                  <w:tcW w:w="3126" w:type="pct"/>
                  <w:vAlign w:val="top"/>
                </w:tcPr>
                <w:p>
                  <w:pPr>
                    <w:pStyle w:val="93"/>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〔A1.2-1〕严格控制缺水地区、水污染严重区域和敏感区域高耗水、高污染行业发展。</w:t>
                  </w:r>
                </w:p>
              </w:tc>
              <w:tc>
                <w:tcPr>
                  <w:tcW w:w="867" w:type="pct"/>
                  <w:vAlign w:val="center"/>
                </w:tcPr>
                <w:p>
                  <w:pPr>
                    <w:pStyle w:val="38"/>
                    <w:rPr>
                      <w:rFonts w:hint="default"/>
                      <w:lang w:val="en-US" w:eastAsia="zh-CN"/>
                    </w:rPr>
                  </w:pPr>
                  <w:r>
                    <w:rPr>
                      <w:rFonts w:hint="eastAsia"/>
                      <w:lang w:val="en-US" w:eastAsia="zh-CN"/>
                    </w:rPr>
                    <w:t>本项目不属于水污染严重区域和敏感区域高耗水、高污染行业发展。</w:t>
                  </w:r>
                </w:p>
              </w:tc>
              <w:tc>
                <w:tcPr>
                  <w:tcW w:w="396" w:type="pct"/>
                  <w:vAlign w:val="center"/>
                </w:tcPr>
                <w:p>
                  <w:pPr>
                    <w:pStyle w:val="38"/>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5" w:line="257"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867" w:type="pct"/>
                  <w:vAlign w:val="center"/>
                </w:tcPr>
                <w:p>
                  <w:pPr>
                    <w:pStyle w:val="38"/>
                    <w:rPr>
                      <w:rFonts w:hint="default"/>
                      <w:lang w:val="en-US" w:eastAsia="zh-CN"/>
                    </w:rPr>
                  </w:pPr>
                  <w:r>
                    <w:rPr>
                      <w:rFonts w:hint="eastAsia"/>
                      <w:lang w:val="en-US" w:eastAsia="zh-CN"/>
                    </w:rPr>
                    <w:t>本项目不占用耕地、林地</w:t>
                  </w:r>
                </w:p>
              </w:tc>
              <w:tc>
                <w:tcPr>
                  <w:tcW w:w="396" w:type="pct"/>
                  <w:vAlign w:val="center"/>
                </w:tcPr>
                <w:p>
                  <w:pPr>
                    <w:pStyle w:val="38"/>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1"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pStyle w:val="38"/>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〔A1.2-4〕严格控制建设项目占用湿地。因国家和自治区重点建设工程、基础设施建设，以及重点公益性项目建设，确需占用湿地的，应当按照有关法律法规规定的权限和程序办理批准手续。</w:t>
                  </w:r>
                </w:p>
              </w:tc>
              <w:tc>
                <w:tcPr>
                  <w:tcW w:w="867" w:type="pct"/>
                  <w:vAlign w:val="center"/>
                </w:tcPr>
                <w:p>
                  <w:pPr>
                    <w:pStyle w:val="38"/>
                    <w:rPr>
                      <w:rFonts w:hint="default"/>
                      <w:lang w:val="en-US" w:eastAsia="zh-CN"/>
                    </w:rPr>
                  </w:pPr>
                  <w:r>
                    <w:rPr>
                      <w:rFonts w:hint="eastAsia"/>
                      <w:lang w:val="en-US" w:eastAsia="zh-CN"/>
                    </w:rPr>
                    <w:t>本项目不占用湿地</w:t>
                  </w:r>
                </w:p>
              </w:tc>
              <w:tc>
                <w:tcPr>
                  <w:tcW w:w="396" w:type="pct"/>
                  <w:vAlign w:val="center"/>
                </w:tcPr>
                <w:p>
                  <w:pPr>
                    <w:pStyle w:val="38"/>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2" w:line="249"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〔A1.2-5〕严格管控自然保护地范围内非生态活动，稳妥推进核心区内居民、耕地有序退出，矿权依法依规退出。</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pStyle w:val="38"/>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restart"/>
                  <w:vAlign w:val="center"/>
                </w:tcPr>
                <w:p>
                  <w:pPr>
                    <w:pStyle w:val="38"/>
                    <w:rPr>
                      <w:rFonts w:hint="default" w:eastAsia="宋体"/>
                      <w:lang w:val="en-US" w:eastAsia="zh-CN"/>
                    </w:rPr>
                  </w:pPr>
                  <w:r>
                    <w:rPr>
                      <w:rFonts w:hint="eastAsia"/>
                      <w:lang w:val="en-US" w:eastAsia="zh-CN"/>
                    </w:rPr>
                    <w:t>A1.3不符合空间布局要求活动的退出要求</w:t>
                  </w:r>
                </w:p>
              </w:tc>
              <w:tc>
                <w:tcPr>
                  <w:tcW w:w="3126" w:type="pct"/>
                  <w:vAlign w:val="top"/>
                </w:tcPr>
                <w:p>
                  <w:pPr>
                    <w:pStyle w:val="93"/>
                    <w:spacing w:before="5" w:line="249" w:lineRule="auto"/>
                    <w:ind w:left="0" w:leftChars="0" w:right="1"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〔A1.3-1〕任何单位和个人不得在水源涵养区、饮用水水源保护区内和河流、湖泊、水库周围建设重化工、涉重金属等工业污染项目；对已建成的工业污染项目，当地人民政府应当组织限期搬迁。</w:t>
                  </w:r>
                </w:p>
              </w:tc>
              <w:tc>
                <w:tcPr>
                  <w:tcW w:w="867" w:type="pct"/>
                  <w:vAlign w:val="center"/>
                </w:tcPr>
                <w:p>
                  <w:pPr>
                    <w:pStyle w:val="38"/>
                    <w:rPr>
                      <w:rFonts w:hint="default"/>
                      <w:lang w:val="en-US" w:eastAsia="zh-CN"/>
                    </w:rPr>
                  </w:pPr>
                  <w:r>
                    <w:rPr>
                      <w:rFonts w:hint="eastAsia"/>
                      <w:lang w:val="en-US" w:eastAsia="zh-CN"/>
                    </w:rPr>
                    <w:t>本项目为</w:t>
                  </w:r>
                  <w:r>
                    <w:rPr>
                      <w:rFonts w:hint="eastAsia"/>
                      <w:sz w:val="21"/>
                      <w:szCs w:val="21"/>
                    </w:rPr>
                    <w:t>纸制品制造项目</w:t>
                  </w:r>
                  <w:r>
                    <w:rPr>
                      <w:rFonts w:hint="eastAsia"/>
                      <w:lang w:val="en-US" w:eastAsia="zh-CN"/>
                    </w:rPr>
                    <w:t>，不属于高污染项目</w:t>
                  </w:r>
                </w:p>
              </w:tc>
              <w:tc>
                <w:tcPr>
                  <w:tcW w:w="396" w:type="pct"/>
                  <w:vAlign w:val="center"/>
                </w:tcPr>
                <w:p>
                  <w:pPr>
                    <w:pStyle w:val="38"/>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3" w:line="256" w:lineRule="auto"/>
                    <w:ind w:left="0" w:leftChars="0" w:right="8"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〔A1.3-2〕对不符合国家产业政策、严重污染水环境的生产项目全部予以取缔。</w:t>
                  </w:r>
                </w:p>
              </w:tc>
              <w:tc>
                <w:tcPr>
                  <w:tcW w:w="867" w:type="pct"/>
                  <w:vAlign w:val="center"/>
                </w:tcPr>
                <w:p>
                  <w:pPr>
                    <w:pStyle w:val="38"/>
                    <w:rPr>
                      <w:rFonts w:hint="default"/>
                      <w:lang w:val="en-US" w:eastAsia="zh-CN"/>
                    </w:rPr>
                  </w:pPr>
                  <w:r>
                    <w:rPr>
                      <w:rFonts w:hint="eastAsia"/>
                      <w:lang w:val="en-US" w:eastAsia="zh-CN"/>
                    </w:rPr>
                    <w:t>本项目不属于高污染项目</w:t>
                  </w:r>
                </w:p>
              </w:tc>
              <w:tc>
                <w:tcPr>
                  <w:tcW w:w="396" w:type="pct"/>
                  <w:vAlign w:val="center"/>
                </w:tcPr>
                <w:p>
                  <w:pPr>
                    <w:pStyle w:val="38"/>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-3〕根据《产业结构调整指导目录》《限期淘汰产生严重污染环境的工业固体废物的落后生产工艺设备名录》等要求，配合有关部门依法淘汰烧结－鼓风炉5炼铅工艺炼铅等涉重金属落后产能和化解过剩产能。严格执行生态环境保护等相关法规标准，推动经整改仍达不到要求的产能依法依规关闭退出。</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pStyle w:val="38"/>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〔A1.3-4〕城市建成区、重点流域内已建成投产化工企业和危险化学品生产企业应加快退城入园，搬入化工园区前企业不应实施改扩建工程扩大生产规模。</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pStyle w:val="38"/>
                    <w:rPr>
                      <w:rFonts w:hint="default"/>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restart"/>
                  <w:vAlign w:val="center"/>
                </w:tcPr>
                <w:p>
                  <w:pPr>
                    <w:pStyle w:val="38"/>
                    <w:rPr>
                      <w:rFonts w:hint="default" w:eastAsia="宋体"/>
                      <w:lang w:val="en-US" w:eastAsia="zh-CN"/>
                    </w:rPr>
                  </w:pPr>
                  <w:r>
                    <w:rPr>
                      <w:rFonts w:hint="eastAsia"/>
                      <w:lang w:val="en-US" w:eastAsia="zh-CN"/>
                    </w:rPr>
                    <w:t>A1.4其他布局要求</w:t>
                  </w:r>
                </w:p>
              </w:tc>
              <w:tc>
                <w:tcPr>
                  <w:tcW w:w="3126" w:type="pct"/>
                  <w:vAlign w:val="top"/>
                </w:tcPr>
                <w:p>
                  <w:pPr>
                    <w:pStyle w:val="93"/>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867" w:type="pct"/>
                  <w:vAlign w:val="center"/>
                </w:tcPr>
                <w:p>
                  <w:pPr>
                    <w:pStyle w:val="38"/>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3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〔A1.4-2〕新建、扩建石化、化工、焦化、有色金属冶炼、平板玻璃项目应布设在依法合规设立并经规划环评的产业园区。</w:t>
                  </w:r>
                </w:p>
              </w:tc>
              <w:tc>
                <w:tcPr>
                  <w:tcW w:w="867" w:type="pct"/>
                  <w:vAlign w:val="center"/>
                </w:tcPr>
                <w:p>
                  <w:pPr>
                    <w:pStyle w:val="3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3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pPr>
                </w:p>
              </w:tc>
              <w:tc>
                <w:tcPr>
                  <w:tcW w:w="404" w:type="pct"/>
                  <w:vMerge w:val="continue"/>
                  <w:vAlign w:val="center"/>
                </w:tcPr>
                <w:p>
                  <w:pPr>
                    <w:pStyle w:val="38"/>
                  </w:pPr>
                </w:p>
              </w:tc>
              <w:tc>
                <w:tcPr>
                  <w:tcW w:w="3126" w:type="pct"/>
                  <w:vAlign w:val="top"/>
                </w:tcPr>
                <w:p>
                  <w:pPr>
                    <w:pStyle w:val="93"/>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867" w:type="pct"/>
                  <w:vAlign w:val="center"/>
                </w:tcPr>
                <w:p>
                  <w:pPr>
                    <w:pStyle w:val="3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3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38"/>
                    <w:rPr>
                      <w:rFonts w:hint="default" w:eastAsia="宋体"/>
                      <w:lang w:val="en-US" w:eastAsia="zh-CN"/>
                    </w:rPr>
                  </w:pPr>
                  <w:r>
                    <w:rPr>
                      <w:rFonts w:hint="eastAsia"/>
                      <w:lang w:val="en-US" w:eastAsia="zh-CN"/>
                    </w:rPr>
                    <w:t>A2污染物排放管控</w:t>
                  </w:r>
                </w:p>
              </w:tc>
              <w:tc>
                <w:tcPr>
                  <w:tcW w:w="404" w:type="pct"/>
                  <w:vMerge w:val="restart"/>
                  <w:vAlign w:val="center"/>
                </w:tcPr>
                <w:p>
                  <w:pPr>
                    <w:pStyle w:val="38"/>
                    <w:rPr>
                      <w:rFonts w:hint="default" w:eastAsia="宋体"/>
                      <w:lang w:val="en-US" w:eastAsia="zh-CN"/>
                    </w:rPr>
                  </w:pPr>
                  <w:r>
                    <w:rPr>
                      <w:rFonts w:hint="eastAsia"/>
                      <w:lang w:val="en-US" w:eastAsia="zh-CN"/>
                    </w:rPr>
                    <w:t>A2.1污染物削减/代替要求</w:t>
                  </w:r>
                </w:p>
              </w:tc>
              <w:tc>
                <w:tcPr>
                  <w:tcW w:w="3126" w:type="pct"/>
                  <w:vAlign w:val="top"/>
                </w:tcPr>
                <w:p>
                  <w:pPr>
                    <w:pStyle w:val="93"/>
                    <w:spacing w:before="6"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-1〕新、改、扩建重点行业建设项目应符合“三线一单”、产业政策、区域环评、规划环评和行业环境准入管控要求。重点区域的新、改、扩建重点行业建设项目应遵循重点重金属污染物排放“减量替代”原则。</w:t>
                  </w:r>
                </w:p>
              </w:tc>
              <w:tc>
                <w:tcPr>
                  <w:tcW w:w="867" w:type="pct"/>
                  <w:vAlign w:val="center"/>
                </w:tcPr>
                <w:p>
                  <w:pPr>
                    <w:pStyle w:val="38"/>
                    <w:rPr>
                      <w:rFonts w:hint="default"/>
                      <w:lang w:val="en-US" w:eastAsia="zh-CN"/>
                    </w:rPr>
                  </w:pPr>
                  <w:r>
                    <w:rPr>
                      <w:rFonts w:hint="eastAsia"/>
                      <w:lang w:val="en-US" w:eastAsia="zh-CN"/>
                    </w:rPr>
                    <w:t>本项目符合库尔勒经济技术开发区规划要求，项目不涉及总量指标</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4" w:line="249"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〔A2.1-2〕以石化、化工、涂装、医药、包装印刷、油品储运销等行业领域为重点，安全高效推进挥发性有机物综合治理，实施原辅材料和产品源头替代工程。</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6"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38"/>
                    <w:rPr>
                      <w:rFonts w:hint="eastAsia"/>
                      <w:lang w:val="en-US" w:eastAsia="zh-CN"/>
                    </w:rPr>
                  </w:pPr>
                  <w:r>
                    <w:rPr>
                      <w:rFonts w:hint="eastAsia" w:cs="Times New Roman"/>
                      <w:color w:val="000000"/>
                      <w:sz w:val="21"/>
                      <w:szCs w:val="21"/>
                    </w:rPr>
                    <w:t>本项目各项污染通过合理可行的治理措施处理后可稳定达标排放</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3" w:line="256" w:lineRule="auto"/>
                    <w:ind w:left="0" w:leftChars="0" w:right="193"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-4〕严控建材、铸造、冶炼等行业无组织排放，推进石化、化工、涂装、医药、包装印刷、油品储运销等行业项目挥发性有机物（VOCs）防治。严格有色金属冶炼、石油加工、化工、焦化等行业项目的土壤、地下水污染防治措施要求。推进工业园区和企业集群建设涉VOCs“绿岛”项目，统筹规划建设一批集中涂装中心、活性炭集中处理中心、溶剂回收中心等，实现VOCs集中高效处理。</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restart"/>
                  <w:vAlign w:val="center"/>
                </w:tcPr>
                <w:p>
                  <w:pPr>
                    <w:pStyle w:val="38"/>
                    <w:rPr>
                      <w:rFonts w:hint="default"/>
                      <w:lang w:val="en-US" w:eastAsia="zh-CN"/>
                    </w:rPr>
                  </w:pPr>
                  <w:r>
                    <w:rPr>
                      <w:rFonts w:hint="eastAsia"/>
                      <w:lang w:val="en-US" w:eastAsia="zh-CN"/>
                    </w:rPr>
                    <w:t>A2.2污染控制措施要求</w:t>
                  </w:r>
                </w:p>
              </w:tc>
              <w:tc>
                <w:tcPr>
                  <w:tcW w:w="3126" w:type="pct"/>
                  <w:vAlign w:val="top"/>
                </w:tcPr>
                <w:p>
                  <w:pPr>
                    <w:pStyle w:val="93"/>
                    <w:spacing w:before="8"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-2〕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〔A2.2-4〕强化用水定额管理。推进地下水超采综合治理。开展河湖生态流量（水量）确定工作，强化生态用水保障。</w:t>
                  </w:r>
                </w:p>
              </w:tc>
              <w:tc>
                <w:tcPr>
                  <w:tcW w:w="867" w:type="pct"/>
                  <w:vAlign w:val="center"/>
                </w:tcPr>
                <w:p>
                  <w:pPr>
                    <w:pStyle w:val="38"/>
                    <w:rPr>
                      <w:rFonts w:hint="default"/>
                      <w:lang w:val="en-US" w:eastAsia="zh-CN"/>
                    </w:rPr>
                  </w:pPr>
                  <w:r>
                    <w:rPr>
                      <w:rFonts w:hint="eastAsia"/>
                      <w:lang w:val="en-US" w:eastAsia="zh-CN"/>
                    </w:rPr>
                    <w:t>本项目不采用地下水</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-5〕持续推进伊犁河、额尔齐斯河、额敏河、玛纳斯河、乌伦古湖、博斯腾湖等流域生态治理，加强生态修复。推动重点行业、重点企业绿色发展，严格落实水污染物排放标准。加强农副食品加工、化工、印染、棉浆粕、粘胶纤维等企业综合治理和清洁化改造。</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867" w:type="pct"/>
                  <w:vAlign w:val="center"/>
                </w:tcPr>
                <w:p>
                  <w:pPr>
                    <w:pStyle w:val="38"/>
                    <w:rPr>
                      <w:rFonts w:hint="default"/>
                      <w:lang w:val="en-US" w:eastAsia="zh-CN"/>
                    </w:rPr>
                  </w:pPr>
                  <w:r>
                    <w:rPr>
                      <w:rFonts w:hint="eastAsia"/>
                      <w:lang w:val="en-US" w:eastAsia="zh-CN"/>
                    </w:rPr>
                    <w:t>本项目不产生污水。</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-7〕强化重点区域地下水环境风险管控，对化学品生产企业、工业集聚区、尾矿库、矿山开采区、危险废物处置场、垃圾填埋场等地下水污染源及周边区域，逐步开展地下水环境状况调查评估，加强风险管控。</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〔A2.2-8〕严控土壤重金属污染，加强油（气）田开发土壤污染防治，以历史遗留工业企业污染场地为重点，开展土壤污染风险管控与修复工程。</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38"/>
                    <w:rPr>
                      <w:rFonts w:hint="default"/>
                      <w:lang w:val="en-US" w:eastAsia="zh-CN"/>
                    </w:rPr>
                  </w:pPr>
                  <w:r>
                    <w:rPr>
                      <w:rFonts w:hint="eastAsia"/>
                      <w:lang w:val="en-US" w:eastAsia="zh-CN"/>
                    </w:rPr>
                    <w:t>A3环境风险防控</w:t>
                  </w:r>
                </w:p>
              </w:tc>
              <w:tc>
                <w:tcPr>
                  <w:tcW w:w="404" w:type="pct"/>
                  <w:vMerge w:val="restart"/>
                  <w:vAlign w:val="center"/>
                </w:tcPr>
                <w:p>
                  <w:pPr>
                    <w:pStyle w:val="38"/>
                    <w:rPr>
                      <w:rFonts w:hint="eastAsia"/>
                      <w:lang w:val="en-US" w:eastAsia="zh-CN"/>
                    </w:rPr>
                  </w:pPr>
                  <w:r>
                    <w:rPr>
                      <w:rFonts w:hint="eastAsia"/>
                      <w:lang w:val="en-US" w:eastAsia="zh-CN"/>
                    </w:rPr>
                    <w:t>A3.1人居环境要求</w:t>
                  </w: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〔A3.1-1〕建立和完善重污染天气兵地联合应急预案、预报预警应急机制和会商联动机制。“乌一昌一石”区域内可能影响相邻行政区域大气环境的项目，兵地间、城市间必须相互征求意见。</w:t>
                  </w:r>
                </w:p>
              </w:tc>
              <w:tc>
                <w:tcPr>
                  <w:tcW w:w="867" w:type="pct"/>
                  <w:vAlign w:val="center"/>
                </w:tcPr>
                <w:p>
                  <w:pPr>
                    <w:pStyle w:val="38"/>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-2〕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〔A3.1-3〕强化重污染天气监测预报预警能力，建立和完善重污染天气兵地联合应急预案、预警应急机制和会商联动机制，加强轻、中度污染天气管控。</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restart"/>
                  <w:vAlign w:val="center"/>
                </w:tcPr>
                <w:p>
                  <w:pPr>
                    <w:pStyle w:val="38"/>
                    <w:rPr>
                      <w:rFonts w:hint="default"/>
                      <w:lang w:val="en-US" w:eastAsia="zh-CN"/>
                    </w:rPr>
                  </w:pPr>
                  <w:r>
                    <w:rPr>
                      <w:rFonts w:hint="eastAsia"/>
                      <w:lang w:val="en-US" w:eastAsia="zh-CN"/>
                    </w:rPr>
                    <w:t>3.2联防联控要求</w:t>
                  </w: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-1〕提升饮用水安全保障水平。以县级及以上集中式饮用水水源地为重点，推进饮用水水源保护区规范化建设，统筹推进备用水源或应急水源建设。单一水源供水的重点城市于2025年底前基本完成备用水源或应急水源建设，有条件的地区开展兵地互为备用水源建设。梯次推进农村集中式饮用水水源保护区划定，到2025年，完成乡镇级集中式饮用水水源保护区划定与勘界立标。开展“千吨万人”农村饮用水水源保护区环境风险排查整治，加强农村水源水质监测，依法清理饮用水水源保护区内违法建筑和排污口，实施从水源到水龙头全过程监管。强化饮用水水源保护区环境应急管理，完善重大突发环境事件的物资和技术储备。针对汇水区、补给区存在兵地跨界的，建立统一的饮用水水源应急和执法机制，共享应急物资。</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〔A3.2-2〕依法推行农用地分类管理制度，强化受污染耕地安全利用和风险管控。因地制宜制定实施安全利用方案，鼓励采取种植结构调整等措施，确保受污染耕地全部实现安全利用。</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-4〕加强环境风险预警防控。加强涉危险废物企业、涉重金属企业、化工园区、集中式饮用水水源地及重点流域环境风险调查评估，实施分类分级风险管控，协同推进重点区域、流域生态环境污染综合防治、风险防控与生态修复。</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38"/>
                    <w:rPr>
                      <w:rFonts w:hint="default"/>
                      <w:lang w:val="en-US" w:eastAsia="zh-CN"/>
                    </w:rPr>
                  </w:pPr>
                  <w:r>
                    <w:rPr>
                      <w:rFonts w:hint="eastAsia"/>
                      <w:lang w:val="en-US" w:eastAsia="zh-CN"/>
                    </w:rPr>
                    <w:t>A4资源利用要求</w:t>
                  </w:r>
                </w:p>
              </w:tc>
              <w:tc>
                <w:tcPr>
                  <w:tcW w:w="404" w:type="pct"/>
                  <w:vMerge w:val="restart"/>
                  <w:vAlign w:val="center"/>
                </w:tcPr>
                <w:p>
                  <w:pPr>
                    <w:pStyle w:val="38"/>
                    <w:rPr>
                      <w:rFonts w:hint="default"/>
                      <w:lang w:val="en-US" w:eastAsia="zh-CN"/>
                    </w:rPr>
                  </w:pPr>
                  <w:r>
                    <w:rPr>
                      <w:rFonts w:hint="eastAsia"/>
                      <w:lang w:val="en-US" w:eastAsia="zh-CN"/>
                    </w:rPr>
                    <w:t>A4.1水资源</w:t>
                  </w: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〔A4.1-1〕自治区用水总量2025年、2030年控制在国家下达的指标内。</w:t>
                  </w:r>
                </w:p>
              </w:tc>
              <w:tc>
                <w:tcPr>
                  <w:tcW w:w="867" w:type="pct"/>
                  <w:vAlign w:val="center"/>
                </w:tcPr>
                <w:p>
                  <w:pPr>
                    <w:pStyle w:val="93"/>
                    <w:spacing w:before="1" w:line="251" w:lineRule="auto"/>
                    <w:ind w:left="0" w:leftChars="0" w:right="49" w:rightChars="0" w:firstLine="0" w:firstLineChars="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本项目施工期有少量生活用水和施工用水，用水总量符合指标要求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〔A4.1-2〕加大城镇污水再生利用工程建设力度，推进区域再生水循环利用，到2025年，城市生活污水再生利用率力争达到60%。</w:t>
                  </w:r>
                </w:p>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〔A4.1-3〕加强农村水利基础设施建设，推进农村供水保障工程，农村自来水普及率、集中供水率分别达到99.3%、99.7%。</w:t>
                  </w:r>
                </w:p>
              </w:tc>
              <w:tc>
                <w:tcPr>
                  <w:tcW w:w="867" w:type="pct"/>
                  <w:vAlign w:val="center"/>
                </w:tcPr>
                <w:p>
                  <w:pPr>
                    <w:pStyle w:val="38"/>
                    <w:rPr>
                      <w:rFonts w:hint="default"/>
                      <w:lang w:val="en-US" w:eastAsia="zh-CN"/>
                    </w:rPr>
                  </w:pPr>
                  <w:r>
                    <w:rPr>
                      <w:rFonts w:hint="eastAsia"/>
                      <w:lang w:val="en-US" w:eastAsia="zh-CN"/>
                    </w:rPr>
                    <w:t>本项目不产生污水</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〔A4.1-4〕地下水资源利用实行总量控制和水位控制。取用地下水资源，应当按照国家和自治区有关规定申请取水许可。地下水利用应当以浅层地下水为主。</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Align w:val="center"/>
                </w:tcPr>
                <w:p>
                  <w:pPr>
                    <w:pStyle w:val="38"/>
                    <w:rPr>
                      <w:rFonts w:hint="default"/>
                      <w:lang w:val="en-US" w:eastAsia="zh-CN"/>
                    </w:rPr>
                  </w:pPr>
                  <w:r>
                    <w:rPr>
                      <w:rFonts w:hint="eastAsia"/>
                      <w:lang w:val="en-US" w:eastAsia="zh-CN"/>
                    </w:rPr>
                    <w:t>A4.2土地资源</w:t>
                  </w: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〔A4.2-1〕土地资源上线指标控制在最终批复的国土空间规划控制指标内。</w:t>
                  </w:r>
                </w:p>
              </w:tc>
              <w:tc>
                <w:tcPr>
                  <w:tcW w:w="867" w:type="pct"/>
                  <w:vAlign w:val="center"/>
                </w:tcPr>
                <w:p>
                  <w:pPr>
                    <w:pStyle w:val="38"/>
                    <w:rPr>
                      <w:rFonts w:hint="eastAsia"/>
                      <w:lang w:val="en-US" w:eastAsia="zh-CN"/>
                    </w:rPr>
                  </w:pPr>
                  <w:r>
                    <w:rPr>
                      <w:rFonts w:hint="eastAsia"/>
                      <w:lang w:val="en-US" w:eastAsia="zh-CN"/>
                    </w:rPr>
                    <w:t>本项目土地资源上线指标符合要求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restart"/>
                  <w:vAlign w:val="center"/>
                </w:tcPr>
                <w:p>
                  <w:pPr>
                    <w:pStyle w:val="38"/>
                    <w:rPr>
                      <w:rFonts w:hint="default"/>
                      <w:lang w:val="en-US" w:eastAsia="zh-CN"/>
                    </w:rPr>
                  </w:pPr>
                  <w:r>
                    <w:rPr>
                      <w:rFonts w:hint="eastAsia"/>
                      <w:lang w:val="en-US" w:eastAsia="zh-CN"/>
                    </w:rPr>
                    <w:t>A4.3能源利用</w:t>
                  </w: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〔A4.3-1〕单位地区生产总值二氧化碳排放降低水平完成国家下达指标。</w:t>
                  </w:r>
                </w:p>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〔A4.3-2〕到2025年，自治区万元国内生产总值能耗比2020年下降14.5%。</w:t>
                  </w:r>
                </w:p>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〔A4.3-3〕到2025年，非化石能源占一次能源消费比重达18%以上。</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〔A4.3-4〕鼓励使用清洁能源或电厂热力、工业余热等替代锅炉、炉窑燃料用煤。</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〔A4.3-5〕以碳达峰碳中和工作为引领，着力提高能源资源利用效率。引导重点行业深入实施清洁生产改造，钢铁、建材、石油化工等重点行业以及其他行业重点用能单位持续开展节能降耗。</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〔A4.3-6〕深入推进碳达峰碳中和行动。推动能源清洁低碳转型，加强能耗“双控”管理，优化能源消费结构。新增原料用能不纳入能源消费总量控制。持续推进散煤整治。</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Align w:val="center"/>
                </w:tcPr>
                <w:p>
                  <w:pPr>
                    <w:pStyle w:val="38"/>
                    <w:rPr>
                      <w:rFonts w:hint="default"/>
                      <w:lang w:val="en-US" w:eastAsia="zh-CN"/>
                    </w:rPr>
                  </w:pPr>
                  <w:r>
                    <w:rPr>
                      <w:rFonts w:hint="eastAsia"/>
                      <w:lang w:val="en-US" w:eastAsia="zh-CN"/>
                    </w:rPr>
                    <w:t>A4.4禁燃区要求</w:t>
                  </w: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〔A4.4-1〕在禁燃区内，禁止销售、燃用高污染燃料；禁止新建、扩建燃用高污染燃料的设施。已建成的，应当在规定期限内改用清洁能源。</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restart"/>
                  <w:vAlign w:val="center"/>
                </w:tcPr>
                <w:p>
                  <w:pPr>
                    <w:pStyle w:val="38"/>
                    <w:rPr>
                      <w:rFonts w:hint="default"/>
                      <w:lang w:val="en-US" w:eastAsia="zh-CN"/>
                    </w:rPr>
                  </w:pPr>
                  <w:r>
                    <w:rPr>
                      <w:rFonts w:hint="eastAsia"/>
                      <w:lang w:val="en-US" w:eastAsia="zh-CN"/>
                    </w:rPr>
                    <w:t>A4.5资源综合利用</w:t>
                  </w: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867" w:type="pct"/>
                  <w:vMerge w:val="restart"/>
                  <w:vAlign w:val="center"/>
                </w:tcPr>
                <w:p>
                  <w:pPr>
                    <w:pStyle w:val="38"/>
                    <w:rPr>
                      <w:rFonts w:hint="eastAsia" w:eastAsia="宋体"/>
                      <w:lang w:val="en-US" w:eastAsia="zh-CN"/>
                    </w:rPr>
                  </w:pPr>
                  <w:r>
                    <w:rPr>
                      <w:rFonts w:hint="eastAsia"/>
                      <w:color w:val="000000"/>
                      <w:sz w:val="21"/>
                      <w:szCs w:val="22"/>
                    </w:rPr>
                    <w:t>本项目采取了有效的污染防治措施；</w:t>
                  </w:r>
                  <w:r>
                    <w:rPr>
                      <w:rFonts w:hint="eastAsia"/>
                      <w:sz w:val="21"/>
                      <w:szCs w:val="21"/>
                    </w:rPr>
                    <w:t>废纸、边角料</w:t>
                  </w:r>
                  <w:r>
                    <w:rPr>
                      <w:rFonts w:hint="eastAsia" w:cs="Times New Roman"/>
                      <w:sz w:val="21"/>
                      <w:szCs w:val="21"/>
                    </w:rPr>
                    <w:t>集中收集，定期外售</w:t>
                  </w:r>
                  <w:r>
                    <w:rPr>
                      <w:rFonts w:hint="eastAsia" w:cs="Times New Roman"/>
                      <w:sz w:val="21"/>
                      <w:szCs w:val="21"/>
                      <w:lang w:eastAsia="zh-CN"/>
                    </w:rPr>
                    <w:t>。</w:t>
                  </w:r>
                  <w:r>
                    <w:rPr>
                      <w:rFonts w:hint="eastAsia" w:cs="Times New Roman"/>
                      <w:color w:val="000000"/>
                      <w:sz w:val="21"/>
                      <w:szCs w:val="21"/>
                    </w:rPr>
                    <w:t>生活垃圾依托巴州鑫达资产管理有限公司厂区统一集中收集后，交由环卫部门清运处理</w:t>
                  </w:r>
                  <w:r>
                    <w:rPr>
                      <w:rFonts w:hint="eastAsia" w:cs="Times New Roman"/>
                      <w:color w:val="000000"/>
                      <w:sz w:val="21"/>
                      <w:szCs w:val="21"/>
                      <w:lang w:eastAsia="zh-CN"/>
                    </w:rPr>
                    <w:t>。</w:t>
                  </w:r>
                  <w:r>
                    <w:rPr>
                      <w:rFonts w:hint="eastAsia" w:cs="Times New Roman"/>
                      <w:color w:val="000000"/>
                      <w:sz w:val="21"/>
                      <w:szCs w:val="21"/>
                    </w:rPr>
                    <w:t>废机油暂存于</w:t>
                  </w:r>
                  <w:r>
                    <w:rPr>
                      <w:rFonts w:hint="default" w:cs="Times New Roman"/>
                      <w:vertAlign w:val="baseline"/>
                      <w:lang w:eastAsia="zh-CN"/>
                    </w:rPr>
                    <w:t>危险废物贮存点</w:t>
                  </w:r>
                  <w:r>
                    <w:rPr>
                      <w:rFonts w:hint="eastAsia" w:cs="Times New Roman"/>
                      <w:color w:val="000000"/>
                      <w:sz w:val="21"/>
                      <w:szCs w:val="21"/>
                    </w:rPr>
                    <w:t>，定期交由有资质单位处置</w:t>
                  </w:r>
                  <w:r>
                    <w:rPr>
                      <w:rFonts w:hint="eastAsia" w:cs="Times New Roman"/>
                      <w:color w:val="000000"/>
                      <w:sz w:val="21"/>
                      <w:szCs w:val="21"/>
                      <w:lang w:eastAsia="zh-CN"/>
                    </w:rPr>
                    <w:t>。</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-2〕推动工业固废按元素价值综合开发利用，加快推进尾矿（共伴生矿）、粉煤灰、煤矸石、冶炼渣、工业副产石膏、赤泥、化工废渣等工业固废在有价组分提取、建材生产、市政设施建设、井下充填、生态修复、土壤治理等领域的规模化利用。着力提升工业固废在生产纤维材料、微晶玻璃、超细化填料、低碳水泥、固废基高性能混凝土、预制件、节能型建筑材料等领域的高值化利用水平。</w:t>
                  </w:r>
                </w:p>
              </w:tc>
              <w:tc>
                <w:tcPr>
                  <w:tcW w:w="867" w:type="pct"/>
                  <w:vMerge w:val="continue"/>
                  <w:vAlign w:val="center"/>
                </w:tcPr>
                <w:p>
                  <w:pPr>
                    <w:pStyle w:val="38"/>
                    <w:rPr>
                      <w:rFonts w:hint="eastAsia"/>
                      <w:lang w:val="en-US" w:eastAsia="zh-CN"/>
                    </w:rPr>
                  </w:pP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-3〕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38"/>
                    <w:rPr>
                      <w:rFonts w:hint="eastAsia"/>
                      <w:lang w:val="en-US" w:eastAsia="zh-CN"/>
                    </w:rPr>
                  </w:pPr>
                </w:p>
              </w:tc>
              <w:tc>
                <w:tcPr>
                  <w:tcW w:w="404" w:type="pct"/>
                  <w:vMerge w:val="continue"/>
                  <w:vAlign w:val="center"/>
                </w:tcPr>
                <w:p>
                  <w:pPr>
                    <w:pStyle w:val="38"/>
                    <w:rPr>
                      <w:rFonts w:hint="eastAsia"/>
                      <w:lang w:val="en-US" w:eastAsia="zh-CN"/>
                    </w:rPr>
                  </w:pPr>
                </w:p>
              </w:tc>
              <w:tc>
                <w:tcPr>
                  <w:tcW w:w="3126" w:type="pct"/>
                  <w:vAlign w:val="top"/>
                </w:tcPr>
                <w:p>
                  <w:pPr>
                    <w:pStyle w:val="93"/>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-4〕发展生态种植、生态养殖，建立农业循环经济发展模式，促进农业固体废物综合利用。鼓励和引导农民采用增施有机肥秸秆还田、种植绿肥等技术，持续减少化肥农药使用比例。加大畜禽粪污和秸秆资源化利用先进技术和新型市场模式的集成推广，推动形成长效运行机制。</w:t>
                  </w:r>
                </w:p>
              </w:tc>
              <w:tc>
                <w:tcPr>
                  <w:tcW w:w="867" w:type="pct"/>
                  <w:vAlign w:val="center"/>
                </w:tcPr>
                <w:p>
                  <w:pPr>
                    <w:pStyle w:val="38"/>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bl>
          <w:p>
            <w:pPr>
              <w:adjustRightInd w:val="0"/>
              <w:spacing w:before="163" w:beforeLines="50" w:line="240" w:lineRule="auto"/>
              <w:ind w:firstLine="480" w:firstLineChars="0"/>
              <w:jc w:val="center"/>
              <w:textAlignment w:val="auto"/>
              <w:rPr>
                <w:rFonts w:cs="Times New Roman"/>
                <w:b/>
                <w:kern w:val="0"/>
                <w:sz w:val="21"/>
                <w:szCs w:val="20"/>
              </w:rPr>
            </w:pPr>
            <w:r>
              <w:rPr>
                <w:rFonts w:hint="eastAsia" w:cs="Times New Roman"/>
                <w:b/>
                <w:kern w:val="0"/>
                <w:sz w:val="21"/>
                <w:szCs w:val="20"/>
              </w:rPr>
              <w:t>表</w:t>
            </w:r>
            <w:r>
              <w:rPr>
                <w:rFonts w:cs="Times New Roman"/>
                <w:b/>
                <w:kern w:val="0"/>
                <w:sz w:val="21"/>
                <w:szCs w:val="20"/>
              </w:rPr>
              <w:t>1-</w:t>
            </w:r>
            <w:r>
              <w:rPr>
                <w:rFonts w:hint="eastAsia" w:cs="Times New Roman"/>
                <w:b/>
                <w:kern w:val="0"/>
                <w:sz w:val="21"/>
                <w:szCs w:val="20"/>
                <w:lang w:val="en-US" w:eastAsia="zh-CN"/>
              </w:rPr>
              <w:t>2</w:t>
            </w:r>
            <w:r>
              <w:rPr>
                <w:rFonts w:hint="eastAsia" w:cs="Times New Roman"/>
                <w:b/>
                <w:kern w:val="0"/>
                <w:sz w:val="21"/>
                <w:szCs w:val="20"/>
              </w:rPr>
              <w:t>本项目与天山南坡片区总体管控要求符合性分析一览表</w:t>
            </w:r>
          </w:p>
          <w:tbl>
            <w:tblPr>
              <w:tblStyle w:val="29"/>
              <w:tblW w:w="77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6"/>
              <w:gridCol w:w="4180"/>
              <w:gridCol w:w="1842"/>
              <w:gridCol w:w="6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26" w:type="dxa"/>
                  <w:vMerge w:val="restart"/>
                  <w:tcBorders>
                    <w:top w:val="single" w:color="auto" w:sz="12" w:space="0"/>
                    <w:left w:val="single" w:color="auto" w:sz="12" w:space="0"/>
                    <w:bottom w:val="single" w:color="auto" w:sz="12" w:space="0"/>
                    <w:right w:val="single" w:color="auto" w:sz="6"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天山南坡片区总体管控要求</w:t>
                  </w:r>
                </w:p>
              </w:tc>
              <w:tc>
                <w:tcPr>
                  <w:tcW w:w="4180"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管控要求</w:t>
                  </w:r>
                </w:p>
              </w:tc>
              <w:tc>
                <w:tcPr>
                  <w:tcW w:w="1842"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本项目</w:t>
                  </w:r>
                </w:p>
              </w:tc>
              <w:tc>
                <w:tcPr>
                  <w:tcW w:w="691" w:type="dxa"/>
                  <w:tcBorders>
                    <w:top w:val="single" w:color="auto" w:sz="12" w:space="0"/>
                    <w:left w:val="single" w:color="auto" w:sz="6" w:space="0"/>
                    <w:bottom w:val="single" w:color="auto" w:sz="6" w:space="0"/>
                    <w:right w:val="single" w:color="auto" w:sz="12"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26"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240" w:lineRule="auto"/>
                    <w:ind w:firstLine="0" w:firstLineChars="0"/>
                    <w:jc w:val="left"/>
                    <w:textAlignment w:val="auto"/>
                    <w:rPr>
                      <w:rFonts w:cs="Times New Roman"/>
                      <w:sz w:val="21"/>
                      <w:szCs w:val="21"/>
                    </w:rPr>
                  </w:pPr>
                </w:p>
              </w:tc>
              <w:tc>
                <w:tcPr>
                  <w:tcW w:w="4180"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842"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本项目不在托木尔峰和天山南坡中段冰雪水源及生物多样性保护生态功能区</w:t>
                  </w:r>
                </w:p>
              </w:tc>
              <w:tc>
                <w:tcPr>
                  <w:tcW w:w="691"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26"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240" w:lineRule="auto"/>
                    <w:ind w:firstLine="0" w:firstLineChars="0"/>
                    <w:jc w:val="left"/>
                    <w:textAlignment w:val="auto"/>
                    <w:rPr>
                      <w:rFonts w:cs="Times New Roman"/>
                      <w:sz w:val="21"/>
                      <w:szCs w:val="21"/>
                    </w:rPr>
                  </w:pPr>
                </w:p>
              </w:tc>
              <w:tc>
                <w:tcPr>
                  <w:tcW w:w="4180"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z w:val="21"/>
                      <w:szCs w:val="21"/>
                    </w:rPr>
                  </w:pPr>
                  <w:r>
                    <w:rPr>
                      <w:rFonts w:hint="eastAsia" w:cs="Times New Roman"/>
                      <w:snapToGrid w:val="0"/>
                      <w:sz w:val="21"/>
                      <w:szCs w:val="21"/>
                    </w:rPr>
                    <w:t>重点做好塔里木盆地北缘荒漠化防治。加强荒漠植被及河岸荒漠林保护，规范油气勘探开发作业，建立油田和公路扰动区域工程与生物相结合的防风固沙体系，逐步形成生态屏障。</w:t>
                  </w:r>
                </w:p>
              </w:tc>
              <w:tc>
                <w:tcPr>
                  <w:tcW w:w="1842"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z w:val="21"/>
                      <w:szCs w:val="21"/>
                    </w:rPr>
                  </w:pPr>
                  <w:r>
                    <w:rPr>
                      <w:rFonts w:hint="eastAsia" w:cs="Times New Roman"/>
                      <w:snapToGrid w:val="0"/>
                      <w:sz w:val="21"/>
                      <w:szCs w:val="21"/>
                    </w:rPr>
                    <w:t>本项目不涉及油气勘探开发</w:t>
                  </w:r>
                </w:p>
              </w:tc>
              <w:tc>
                <w:tcPr>
                  <w:tcW w:w="691"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26"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240" w:lineRule="auto"/>
                    <w:ind w:firstLine="0" w:firstLineChars="0"/>
                    <w:jc w:val="left"/>
                    <w:textAlignment w:val="auto"/>
                    <w:rPr>
                      <w:rFonts w:cs="Times New Roman"/>
                      <w:sz w:val="21"/>
                      <w:szCs w:val="21"/>
                    </w:rPr>
                  </w:pPr>
                </w:p>
              </w:tc>
              <w:tc>
                <w:tcPr>
                  <w:tcW w:w="4180"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napToGrid w:val="0"/>
                      <w:sz w:val="21"/>
                      <w:szCs w:val="21"/>
                    </w:rPr>
                  </w:pPr>
                  <w:r>
                    <w:rPr>
                      <w:rFonts w:hint="eastAsia" w:cs="Times New Roman"/>
                      <w:snapToGrid w:val="0"/>
                      <w:sz w:val="21"/>
                      <w:szCs w:val="21"/>
                    </w:rPr>
                    <w:t>推进塔里木河流域用水结构调整，维护塔里木河、博斯腾湖基本生态用水</w:t>
                  </w:r>
                </w:p>
              </w:tc>
              <w:tc>
                <w:tcPr>
                  <w:tcW w:w="1842"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napToGrid w:val="0"/>
                      <w:sz w:val="21"/>
                      <w:szCs w:val="21"/>
                    </w:rPr>
                  </w:pPr>
                  <w:r>
                    <w:rPr>
                      <w:rFonts w:hint="eastAsia" w:cs="Times New Roman"/>
                      <w:snapToGrid w:val="0"/>
                      <w:sz w:val="21"/>
                      <w:szCs w:val="21"/>
                    </w:rPr>
                    <w:t>本项目不涉及塔里木河、博斯腾湖生态用水</w:t>
                  </w:r>
                </w:p>
              </w:tc>
              <w:tc>
                <w:tcPr>
                  <w:tcW w:w="691"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26"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240" w:lineRule="auto"/>
                    <w:ind w:firstLine="0" w:firstLineChars="0"/>
                    <w:jc w:val="left"/>
                    <w:textAlignment w:val="auto"/>
                    <w:rPr>
                      <w:rFonts w:cs="Times New Roman"/>
                      <w:sz w:val="21"/>
                      <w:szCs w:val="21"/>
                    </w:rPr>
                  </w:pPr>
                </w:p>
              </w:tc>
              <w:tc>
                <w:tcPr>
                  <w:tcW w:w="4180"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napToGrid w:val="0"/>
                      <w:sz w:val="21"/>
                      <w:szCs w:val="21"/>
                    </w:rPr>
                  </w:pPr>
                  <w:r>
                    <w:rPr>
                      <w:rFonts w:hint="eastAsia" w:cs="Times New Roman"/>
                      <w:snapToGrid w:val="0"/>
                      <w:sz w:val="21"/>
                      <w:szCs w:val="21"/>
                    </w:rPr>
                    <w:t>加强塔里木河流域水环境风险管控。加大博斯腾湖污染源头达标排放治理和监督力度，实施博斯腾湖综合治理。</w:t>
                  </w:r>
                </w:p>
              </w:tc>
              <w:tc>
                <w:tcPr>
                  <w:tcW w:w="1842"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textAlignment w:val="auto"/>
                    <w:rPr>
                      <w:rFonts w:cs="Times New Roman"/>
                      <w:snapToGrid w:val="0"/>
                      <w:sz w:val="21"/>
                      <w:szCs w:val="21"/>
                    </w:rPr>
                  </w:pPr>
                  <w:r>
                    <w:rPr>
                      <w:rFonts w:hint="eastAsia" w:cs="Times New Roman"/>
                      <w:snapToGrid w:val="0"/>
                      <w:sz w:val="21"/>
                      <w:szCs w:val="21"/>
                    </w:rPr>
                    <w:t>本项目不涉及</w:t>
                  </w:r>
                </w:p>
              </w:tc>
              <w:tc>
                <w:tcPr>
                  <w:tcW w:w="691"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26"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240" w:lineRule="auto"/>
                    <w:ind w:firstLine="0" w:firstLineChars="0"/>
                    <w:jc w:val="left"/>
                    <w:textAlignment w:val="auto"/>
                    <w:rPr>
                      <w:rFonts w:cs="Times New Roman"/>
                      <w:sz w:val="21"/>
                      <w:szCs w:val="21"/>
                    </w:rPr>
                  </w:pPr>
                </w:p>
              </w:tc>
              <w:tc>
                <w:tcPr>
                  <w:tcW w:w="4180" w:type="dxa"/>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jc w:val="center"/>
                    <w:textAlignment w:val="auto"/>
                    <w:rPr>
                      <w:rFonts w:cs="Times New Roman"/>
                      <w:snapToGrid w:val="0"/>
                      <w:sz w:val="21"/>
                      <w:szCs w:val="21"/>
                    </w:rPr>
                  </w:pPr>
                  <w:r>
                    <w:rPr>
                      <w:rFonts w:hint="eastAsia" w:cs="Times New Roman"/>
                      <w:snapToGrid w:val="0"/>
                      <w:sz w:val="21"/>
                      <w:szCs w:val="21"/>
                    </w:rPr>
                    <w:t>加强油（气）资源开发区土壤环境污染综合整治。强化涉重金属行业污染防控与工业废物处理处置。</w:t>
                  </w:r>
                </w:p>
              </w:tc>
              <w:tc>
                <w:tcPr>
                  <w:tcW w:w="1842" w:type="dxa"/>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jc w:val="center"/>
                    <w:textAlignment w:val="auto"/>
                    <w:rPr>
                      <w:rFonts w:cs="Times New Roman"/>
                      <w:snapToGrid w:val="0"/>
                      <w:sz w:val="21"/>
                      <w:szCs w:val="21"/>
                    </w:rPr>
                  </w:pPr>
                  <w:r>
                    <w:rPr>
                      <w:rFonts w:hint="eastAsia" w:cs="Times New Roman"/>
                      <w:snapToGrid w:val="0"/>
                      <w:sz w:val="21"/>
                      <w:szCs w:val="21"/>
                    </w:rPr>
                    <w:t>本项目不涉及油气开发，不涉及重金属排放</w:t>
                  </w:r>
                </w:p>
              </w:tc>
              <w:tc>
                <w:tcPr>
                  <w:tcW w:w="691" w:type="dxa"/>
                  <w:tcBorders>
                    <w:top w:val="single" w:color="auto" w:sz="6" w:space="0"/>
                    <w:left w:val="single" w:color="auto" w:sz="6" w:space="0"/>
                    <w:bottom w:val="single" w:color="auto" w:sz="12" w:space="0"/>
                    <w:right w:val="single" w:color="auto" w:sz="12" w:space="0"/>
                  </w:tcBorders>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符合</w:t>
                  </w:r>
                </w:p>
              </w:tc>
            </w:tr>
          </w:tbl>
          <w:p>
            <w:pPr>
              <w:pStyle w:val="25"/>
              <w:rPr>
                <w:rFonts w:cs="Times New Roman"/>
              </w:rPr>
            </w:pPr>
            <w:r>
              <w:rPr>
                <w:rFonts w:hint="eastAsia"/>
              </w:rPr>
              <w:t>1</w:t>
            </w:r>
            <w:r>
              <w:t>.4</w:t>
            </w:r>
            <w:r>
              <w:rPr>
                <w:rFonts w:hint="eastAsia"/>
              </w:rPr>
              <w:t>与巴州生态环境分区管控符合性分析</w:t>
            </w:r>
          </w:p>
          <w:p>
            <w:pPr>
              <w:ind w:firstLine="480"/>
            </w:pPr>
            <w:r>
              <w:rPr>
                <w:rFonts w:hint="eastAsia"/>
                <w:lang w:val="en-US" w:eastAsia="zh-CN"/>
              </w:rPr>
              <w:t>本项目建设地点位于库尔勒经济技术开发区，</w:t>
            </w:r>
            <w:r>
              <w:rPr>
                <w:rFonts w:hint="eastAsia"/>
              </w:rPr>
              <w:t>根据</w:t>
            </w:r>
            <w:r>
              <w:rPr>
                <w:spacing w:val="-3"/>
                <w:sz w:val="24"/>
                <w:szCs w:val="24"/>
              </w:rPr>
              <w:t>《巴音郭楞蒙</w:t>
            </w:r>
            <w:r>
              <w:rPr>
                <w:spacing w:val="1"/>
                <w:sz w:val="24"/>
                <w:szCs w:val="24"/>
              </w:rPr>
              <w:t>古自治州生态环境分区管控动态更新成果（</w:t>
            </w:r>
            <w:r>
              <w:rPr>
                <w:rFonts w:ascii="Times New Roman" w:hAnsi="Times New Roman" w:eastAsia="Times New Roman" w:cs="Times New Roman"/>
                <w:spacing w:val="1"/>
                <w:sz w:val="24"/>
                <w:szCs w:val="24"/>
              </w:rPr>
              <w:t>2023</w:t>
            </w:r>
            <w:r>
              <w:rPr>
                <w:spacing w:val="1"/>
                <w:sz w:val="24"/>
                <w:szCs w:val="24"/>
              </w:rPr>
              <w:t>年）》</w:t>
            </w:r>
            <w:r>
              <w:rPr>
                <w:spacing w:val="-2"/>
                <w:sz w:val="24"/>
                <w:szCs w:val="24"/>
              </w:rPr>
              <w:t>（巴政办发〔</w:t>
            </w:r>
            <w:r>
              <w:rPr>
                <w:rFonts w:ascii="Times New Roman" w:hAnsi="Times New Roman" w:eastAsia="Times New Roman" w:cs="Times New Roman"/>
                <w:spacing w:val="-2"/>
                <w:sz w:val="24"/>
                <w:szCs w:val="24"/>
              </w:rPr>
              <w:t>2024</w:t>
            </w:r>
            <w:r>
              <w:rPr>
                <w:spacing w:val="-2"/>
                <w:sz w:val="24"/>
                <w:szCs w:val="24"/>
              </w:rPr>
              <w:t>〕</w:t>
            </w:r>
            <w:r>
              <w:rPr>
                <w:rFonts w:ascii="Times New Roman" w:hAnsi="Times New Roman" w:eastAsia="Times New Roman" w:cs="Times New Roman"/>
                <w:spacing w:val="-2"/>
                <w:sz w:val="24"/>
                <w:szCs w:val="24"/>
              </w:rPr>
              <w:t>32</w:t>
            </w:r>
            <w:r>
              <w:rPr>
                <w:spacing w:val="-2"/>
                <w:sz w:val="24"/>
                <w:szCs w:val="24"/>
              </w:rPr>
              <w:t>号</w:t>
            </w:r>
            <w:r>
              <w:rPr>
                <w:spacing w:val="12"/>
                <w:sz w:val="24"/>
                <w:szCs w:val="24"/>
              </w:rPr>
              <w:t>）</w:t>
            </w:r>
            <w:r>
              <w:rPr>
                <w:rFonts w:hint="eastAsia"/>
              </w:rPr>
              <w:t>分析本项目与生态环境分区管控符合性分析见表</w:t>
            </w:r>
            <w:r>
              <w:t>1-</w:t>
            </w:r>
            <w:r>
              <w:rPr>
                <w:rFonts w:hint="eastAsia"/>
                <w:lang w:val="en-US" w:eastAsia="zh-CN"/>
              </w:rPr>
              <w:t>3</w:t>
            </w:r>
            <w:r>
              <w:rPr>
                <w:rFonts w:hint="eastAsia"/>
              </w:rPr>
              <w:t>。</w:t>
            </w:r>
          </w:p>
          <w:p>
            <w:pPr>
              <w:adjustRightInd w:val="0"/>
              <w:spacing w:before="163" w:beforeLines="50" w:line="240" w:lineRule="auto"/>
              <w:ind w:firstLine="0" w:firstLineChars="0"/>
              <w:jc w:val="center"/>
              <w:textAlignment w:val="baseline"/>
              <w:rPr>
                <w:rFonts w:cs="Times New Roman"/>
                <w:b/>
                <w:kern w:val="0"/>
                <w:sz w:val="21"/>
                <w:szCs w:val="20"/>
              </w:rPr>
            </w:pPr>
            <w:r>
              <w:rPr>
                <w:rFonts w:hint="eastAsia" w:cs="Times New Roman"/>
                <w:b/>
                <w:kern w:val="0"/>
                <w:sz w:val="21"/>
                <w:szCs w:val="20"/>
              </w:rPr>
              <w:t>表</w:t>
            </w:r>
            <w:r>
              <w:rPr>
                <w:rFonts w:cs="Times New Roman"/>
                <w:b/>
                <w:kern w:val="0"/>
                <w:sz w:val="21"/>
                <w:szCs w:val="20"/>
              </w:rPr>
              <w:t>1-</w:t>
            </w:r>
            <w:r>
              <w:rPr>
                <w:rFonts w:hint="eastAsia" w:cs="Times New Roman"/>
                <w:b/>
                <w:kern w:val="0"/>
                <w:sz w:val="21"/>
                <w:szCs w:val="20"/>
                <w:lang w:val="en-US" w:eastAsia="zh-CN"/>
              </w:rPr>
              <w:t>3</w:t>
            </w:r>
            <w:r>
              <w:rPr>
                <w:rFonts w:hint="eastAsia" w:cs="Times New Roman"/>
                <w:b/>
                <w:kern w:val="0"/>
                <w:sz w:val="21"/>
                <w:szCs w:val="20"/>
              </w:rPr>
              <w:t>本项目与库尔勒经济技术开发区环境管控单元准入清单符合性分析一览</w:t>
            </w:r>
          </w:p>
          <w:tbl>
            <w:tblPr>
              <w:tblStyle w:val="29"/>
              <w:tblW w:w="77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6"/>
              <w:gridCol w:w="345"/>
              <w:gridCol w:w="735"/>
              <w:gridCol w:w="3690"/>
              <w:gridCol w:w="1927"/>
              <w:gridCol w:w="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36" w:type="dxa"/>
                  <w:gridSpan w:val="3"/>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管控类型</w:t>
                  </w:r>
                </w:p>
              </w:tc>
              <w:tc>
                <w:tcPr>
                  <w:tcW w:w="3690"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管控要求</w:t>
                  </w:r>
                </w:p>
              </w:tc>
              <w:tc>
                <w:tcPr>
                  <w:tcW w:w="1927"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本项目</w:t>
                  </w:r>
                </w:p>
              </w:tc>
              <w:tc>
                <w:tcPr>
                  <w:tcW w:w="683"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6" w:type="dxa"/>
                  <w:vMerge w:val="restart"/>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ZH65280120016</w:t>
                  </w:r>
                </w:p>
              </w:tc>
              <w:tc>
                <w:tcPr>
                  <w:tcW w:w="345" w:type="dxa"/>
                  <w:vMerge w:val="restart"/>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库尔勒经济技术开发区</w:t>
                  </w:r>
                </w:p>
              </w:tc>
              <w:tc>
                <w:tcPr>
                  <w:tcW w:w="735"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空间布局约束</w:t>
                  </w:r>
                </w:p>
              </w:tc>
              <w:tc>
                <w:tcPr>
                  <w:tcW w:w="3690" w:type="dxa"/>
                  <w:vAlign w:val="center"/>
                </w:tcPr>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1.</w:t>
                  </w:r>
                  <w:r>
                    <w:rPr>
                      <w:rFonts w:hint="eastAsia" w:cs="Times New Roman"/>
                      <w:color w:val="000000"/>
                      <w:sz w:val="21"/>
                      <w:szCs w:val="21"/>
                      <w:lang w:val="en-US" w:eastAsia="zh-CN"/>
                    </w:rPr>
                    <w:t>加大落后产能淘汰力度。对不符合国家产业政策、污染严重且经治理仍无法达标的工业企业实施关停并转。优化高耗水、重污染工业项目的布局与发展，逐步淘汰落后工艺和设备。淘汰效率低、能耗高、污染严重的小火电机组和小造纸业。</w:t>
                  </w:r>
                </w:p>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2.</w:t>
                  </w:r>
                  <w:r>
                    <w:rPr>
                      <w:rFonts w:hint="eastAsia" w:cs="Times New Roman"/>
                      <w:color w:val="000000"/>
                      <w:sz w:val="21"/>
                      <w:szCs w:val="21"/>
                      <w:lang w:val="en-US" w:eastAsia="zh-CN"/>
                    </w:rPr>
                    <w:t>通过热电联产、集中供热等工程建设，除必要保留的以外，域内建成区全部淘汰</w:t>
                  </w:r>
                  <w:r>
                    <w:rPr>
                      <w:rFonts w:hint="default" w:cs="Times New Roman"/>
                      <w:color w:val="000000"/>
                      <w:sz w:val="21"/>
                      <w:szCs w:val="21"/>
                      <w:lang w:val="en-US" w:eastAsia="zh-CN"/>
                    </w:rPr>
                    <w:t>10</w:t>
                  </w:r>
                  <w:r>
                    <w:rPr>
                      <w:rFonts w:hint="eastAsia" w:cs="Times New Roman"/>
                      <w:color w:val="000000"/>
                      <w:sz w:val="21"/>
                      <w:szCs w:val="21"/>
                      <w:lang w:val="en-US" w:eastAsia="zh-CN"/>
                    </w:rPr>
                    <w:t>蒸吨及以下燃煤锅炉，禁止审批新建</w:t>
                  </w:r>
                  <w:r>
                    <w:rPr>
                      <w:rFonts w:hint="default" w:cs="Times New Roman"/>
                      <w:color w:val="000000"/>
                      <w:sz w:val="21"/>
                      <w:szCs w:val="21"/>
                      <w:lang w:val="en-US" w:eastAsia="zh-CN"/>
                    </w:rPr>
                    <w:t>35</w:t>
                  </w:r>
                  <w:r>
                    <w:rPr>
                      <w:rFonts w:hint="eastAsia" w:cs="Times New Roman"/>
                      <w:color w:val="000000"/>
                      <w:sz w:val="21"/>
                      <w:szCs w:val="21"/>
                      <w:lang w:val="en-US" w:eastAsia="zh-CN"/>
                    </w:rPr>
                    <w:t>蒸吨以下燃煤锅炉。</w:t>
                  </w:r>
                </w:p>
              </w:tc>
              <w:tc>
                <w:tcPr>
                  <w:tcW w:w="1927"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本项目符合自治区七大片区天山南坡管控要求；不属于淘汰落后产能，符合国家产业政策</w:t>
                  </w:r>
                </w:p>
              </w:tc>
              <w:tc>
                <w:tcPr>
                  <w:tcW w:w="683"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6" w:type="dxa"/>
                  <w:vMerge w:val="continue"/>
                  <w:vAlign w:val="center"/>
                </w:tcPr>
                <w:p>
                  <w:pPr>
                    <w:spacing w:line="240" w:lineRule="auto"/>
                    <w:ind w:firstLine="0" w:firstLineChars="0"/>
                    <w:contextualSpacing/>
                    <w:jc w:val="center"/>
                    <w:rPr>
                      <w:rFonts w:cs="Times New Roman"/>
                      <w:color w:val="000000"/>
                      <w:sz w:val="21"/>
                      <w:szCs w:val="21"/>
                    </w:rPr>
                  </w:pPr>
                </w:p>
              </w:tc>
              <w:tc>
                <w:tcPr>
                  <w:tcW w:w="345" w:type="dxa"/>
                  <w:vMerge w:val="continue"/>
                  <w:vAlign w:val="center"/>
                </w:tcPr>
                <w:p>
                  <w:pPr>
                    <w:spacing w:line="240" w:lineRule="auto"/>
                    <w:ind w:firstLine="0" w:firstLineChars="0"/>
                    <w:contextualSpacing/>
                    <w:jc w:val="center"/>
                    <w:rPr>
                      <w:rFonts w:cs="Times New Roman"/>
                      <w:color w:val="000000"/>
                      <w:sz w:val="21"/>
                      <w:szCs w:val="21"/>
                    </w:rPr>
                  </w:pPr>
                </w:p>
              </w:tc>
              <w:tc>
                <w:tcPr>
                  <w:tcW w:w="735"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污染物排放管控</w:t>
                  </w:r>
                </w:p>
              </w:tc>
              <w:tc>
                <w:tcPr>
                  <w:tcW w:w="3690" w:type="dxa"/>
                  <w:vAlign w:val="center"/>
                </w:tcPr>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1.</w:t>
                  </w:r>
                  <w:r>
                    <w:rPr>
                      <w:rFonts w:hint="eastAsia" w:cs="Times New Roman"/>
                      <w:color w:val="000000"/>
                      <w:sz w:val="21"/>
                      <w:szCs w:val="21"/>
                      <w:lang w:val="en-US" w:eastAsia="zh-CN"/>
                    </w:rPr>
                    <w:t>加强工业企业污染治理。开发区属于库尔勒大气联防联控区范围，火电、钢铁、水泥、石化行业和燃煤锅炉实施大气污染物特别排放限值。加强对除尘、脱硫、脱硝设施的监督管理，确保污染治理设施的高效稳定运行，使各类污染源大气污染物的排放达到国家和地方排放标准。火电行业：所有燃煤机组必须进行脱硫脱硝治理和高效除尘技术改造。石化行业：加快石化企业催化裂化装置脱硫以及动力车间脱硫、脱硝工作，加强挥发性有机物治理、恶臭治理。</w:t>
                  </w:r>
                </w:p>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2.</w:t>
                  </w:r>
                  <w:r>
                    <w:rPr>
                      <w:rFonts w:hint="eastAsia" w:cs="Times New Roman"/>
                      <w:color w:val="000000"/>
                      <w:sz w:val="21"/>
                      <w:szCs w:val="21"/>
                      <w:lang w:val="en-US" w:eastAsia="zh-CN"/>
                    </w:rPr>
                    <w:t>实施挥发性有机物综合治理。在石化、有机化工、表面涂装、包装印刷等重点行业开展挥发性有机物综合治理，在石化行业开展“泄漏检测与修复”技术改造。建立挥发性有机物重点监管企业名录。推广使用水性涂料，鼓励生产、销售和使用低毒、低挥发性溶剂。积极推进加油站开展油气回收。</w:t>
                  </w:r>
                </w:p>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3.</w:t>
                  </w:r>
                  <w:r>
                    <w:rPr>
                      <w:rFonts w:hint="eastAsia" w:cs="Times New Roman"/>
                      <w:color w:val="000000"/>
                      <w:sz w:val="21"/>
                      <w:szCs w:val="21"/>
                      <w:lang w:val="en-US" w:eastAsia="zh-CN"/>
                    </w:rPr>
                    <w:t>保证污染治理设施稳定运行。对建成的库尔勒经济技术开发区工业废水处理回用厂、库尔勒纺织服装城污水处理及中水回用厂实施“全口径”水污染物排放总量控制。鼓励和支持污水处理收费产业化制度改革，推动处理后污水综合利用；加强污水处理厂的在线监测和环境监察，保障污水处理设施正常运行。</w:t>
                  </w:r>
                </w:p>
              </w:tc>
              <w:tc>
                <w:tcPr>
                  <w:tcW w:w="1927"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本项目各项污染通过合理可行的治理措施处理后可稳定达标排放</w:t>
                  </w:r>
                </w:p>
              </w:tc>
              <w:tc>
                <w:tcPr>
                  <w:tcW w:w="683"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6" w:type="dxa"/>
                  <w:vMerge w:val="continue"/>
                  <w:vAlign w:val="center"/>
                </w:tcPr>
                <w:p>
                  <w:pPr>
                    <w:spacing w:line="240" w:lineRule="auto"/>
                    <w:ind w:firstLine="0" w:firstLineChars="0"/>
                    <w:contextualSpacing/>
                    <w:jc w:val="center"/>
                    <w:rPr>
                      <w:rFonts w:cs="Times New Roman"/>
                      <w:color w:val="000000"/>
                      <w:sz w:val="21"/>
                      <w:szCs w:val="21"/>
                    </w:rPr>
                  </w:pPr>
                </w:p>
              </w:tc>
              <w:tc>
                <w:tcPr>
                  <w:tcW w:w="345" w:type="dxa"/>
                  <w:vMerge w:val="continue"/>
                  <w:vAlign w:val="center"/>
                </w:tcPr>
                <w:p>
                  <w:pPr>
                    <w:spacing w:line="240" w:lineRule="auto"/>
                    <w:ind w:firstLine="0" w:firstLineChars="0"/>
                    <w:contextualSpacing/>
                    <w:jc w:val="center"/>
                    <w:rPr>
                      <w:rFonts w:cs="Times New Roman"/>
                      <w:color w:val="000000"/>
                      <w:sz w:val="21"/>
                      <w:szCs w:val="21"/>
                    </w:rPr>
                  </w:pPr>
                </w:p>
              </w:tc>
              <w:tc>
                <w:tcPr>
                  <w:tcW w:w="735"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环境风险防控</w:t>
                  </w:r>
                </w:p>
              </w:tc>
              <w:tc>
                <w:tcPr>
                  <w:tcW w:w="3690" w:type="dxa"/>
                  <w:vAlign w:val="center"/>
                </w:tcPr>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1.</w:t>
                  </w:r>
                  <w:r>
                    <w:rPr>
                      <w:rFonts w:hint="eastAsia" w:cs="Times New Roman"/>
                      <w:color w:val="000000"/>
                      <w:sz w:val="21"/>
                      <w:szCs w:val="21"/>
                      <w:lang w:val="en-US" w:eastAsia="zh-CN"/>
                    </w:rPr>
                    <w:t>危险废物无害化处置率达到</w:t>
                  </w:r>
                  <w:r>
                    <w:rPr>
                      <w:rFonts w:hint="default" w:cs="Times New Roman"/>
                      <w:color w:val="000000"/>
                      <w:sz w:val="21"/>
                      <w:szCs w:val="21"/>
                      <w:lang w:val="en-US" w:eastAsia="zh-CN"/>
                    </w:rPr>
                    <w:t>100%</w:t>
                  </w:r>
                  <w:r>
                    <w:rPr>
                      <w:rFonts w:hint="eastAsia" w:cs="Times New Roman"/>
                      <w:color w:val="000000"/>
                      <w:sz w:val="21"/>
                      <w:szCs w:val="21"/>
                      <w:lang w:val="en-US" w:eastAsia="zh-CN"/>
                    </w:rPr>
                    <w:t>。</w:t>
                  </w:r>
                </w:p>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2.</w:t>
                  </w:r>
                  <w:r>
                    <w:rPr>
                      <w:rFonts w:hint="eastAsia" w:cs="Times New Roman"/>
                      <w:color w:val="000000"/>
                      <w:sz w:val="21"/>
                      <w:szCs w:val="21"/>
                      <w:lang w:val="en-US" w:eastAsia="zh-CN"/>
                    </w:rPr>
                    <w:t>执行区域大气污染预警应急机制。建立区域重污染事件应急预案，构建区域联动一体的应急响应体系。</w:t>
                  </w:r>
                </w:p>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3.</w:t>
                  </w:r>
                  <w:r>
                    <w:rPr>
                      <w:rFonts w:hint="eastAsia" w:cs="Times New Roman"/>
                      <w:color w:val="000000"/>
                      <w:sz w:val="21"/>
                      <w:szCs w:val="21"/>
                      <w:lang w:val="en-US" w:eastAsia="zh-CN"/>
                    </w:rPr>
                    <w:t>对使用和排放重金属、持久性有机物、危险废物和危险化学品的工业企业，实行分类管理和全过程监控。建立环保和企业相互对应配合、衔接的环境应急预案。</w:t>
                  </w:r>
                </w:p>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4.</w:t>
                  </w:r>
                  <w:r>
                    <w:rPr>
                      <w:rFonts w:hint="eastAsia" w:cs="Times New Roman"/>
                      <w:color w:val="000000"/>
                      <w:sz w:val="21"/>
                      <w:szCs w:val="21"/>
                      <w:lang w:val="en-US" w:eastAsia="zh-CN"/>
                    </w:rPr>
                    <w:t xml:space="preserve">严格执行项目安全和卫生防护距离要求，项目卫生防护距离内不得规划、建设居民区、学校、医院等环境敏感目标，对于已存在的环境敏感目标要采取合理措施加以保护。 </w:t>
                  </w:r>
                </w:p>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5.</w:t>
                  </w:r>
                  <w:r>
                    <w:rPr>
                      <w:rFonts w:hint="eastAsia" w:cs="Times New Roman"/>
                      <w:color w:val="000000"/>
                      <w:sz w:val="21"/>
                      <w:szCs w:val="21"/>
                      <w:lang w:val="en-US" w:eastAsia="zh-CN"/>
                    </w:rPr>
                    <w:t>近期拟建的项目应布局园区南部片区东侧、南侧和东部片区，北部片区和南部片区西侧应布置轻工业，减少地周边敏感点的影响；尽量不引进高风险企业进驻园区。</w:t>
                  </w:r>
                </w:p>
              </w:tc>
              <w:tc>
                <w:tcPr>
                  <w:tcW w:w="1927" w:type="dxa"/>
                  <w:vAlign w:val="center"/>
                </w:tcPr>
                <w:p>
                  <w:pPr>
                    <w:spacing w:line="240" w:lineRule="auto"/>
                    <w:ind w:firstLine="0" w:firstLineChars="0"/>
                    <w:contextualSpacing/>
                    <w:jc w:val="center"/>
                    <w:rPr>
                      <w:rFonts w:hint="eastAsia" w:eastAsia="宋体" w:cs="Times New Roman"/>
                      <w:color w:val="000000"/>
                      <w:sz w:val="21"/>
                      <w:szCs w:val="21"/>
                      <w:lang w:eastAsia="zh-CN"/>
                    </w:rPr>
                  </w:pPr>
                  <w:r>
                    <w:rPr>
                      <w:rFonts w:hint="eastAsia"/>
                      <w:sz w:val="21"/>
                      <w:szCs w:val="21"/>
                      <w:lang w:val="en-US" w:eastAsia="zh-CN"/>
                    </w:rPr>
                    <w:t>本项目</w:t>
                  </w:r>
                  <w:r>
                    <w:rPr>
                      <w:rFonts w:hint="eastAsia"/>
                      <w:sz w:val="21"/>
                      <w:szCs w:val="21"/>
                    </w:rPr>
                    <w:t>位于库尔勒经济技术开发区纵三路东侧横四路北侧，符合</w:t>
                  </w:r>
                  <w:r>
                    <w:rPr>
                      <w:rFonts w:hint="eastAsia" w:cs="Times New Roman"/>
                      <w:color w:val="000000"/>
                      <w:sz w:val="21"/>
                      <w:szCs w:val="21"/>
                    </w:rPr>
                    <w:t>《库尔勒经济技术开发区国土空间总体规划（2021—2035年）》</w:t>
                  </w:r>
                  <w:r>
                    <w:rPr>
                      <w:rFonts w:hint="eastAsia" w:cs="Times New Roman"/>
                      <w:color w:val="000000"/>
                      <w:sz w:val="21"/>
                      <w:szCs w:val="21"/>
                      <w:lang w:eastAsia="zh-CN"/>
                    </w:rPr>
                    <w:t>。</w:t>
                  </w:r>
                  <w:r>
                    <w:rPr>
                      <w:rFonts w:hint="eastAsia" w:cs="Times New Roman"/>
                      <w:color w:val="000000"/>
                      <w:sz w:val="21"/>
                      <w:szCs w:val="21"/>
                    </w:rPr>
                    <w:t>本项目</w:t>
                  </w:r>
                  <w:r>
                    <w:rPr>
                      <w:rFonts w:hint="eastAsia" w:cs="Times New Roman"/>
                      <w:color w:val="000000"/>
                      <w:sz w:val="21"/>
                      <w:szCs w:val="21"/>
                      <w:lang w:val="en-US" w:eastAsia="zh-CN"/>
                    </w:rPr>
                    <w:t>危险废物依托</w:t>
                  </w:r>
                  <w:r>
                    <w:rPr>
                      <w:rFonts w:hint="eastAsia" w:cs="Times New Roman"/>
                      <w:color w:val="000000"/>
                      <w:sz w:val="21"/>
                      <w:szCs w:val="21"/>
                    </w:rPr>
                    <w:t>新疆中泰亨惠医疗卫材股份有限公司内</w:t>
                  </w:r>
                  <w:r>
                    <w:rPr>
                      <w:rFonts w:hint="default" w:cs="Times New Roman"/>
                      <w:color w:val="000000"/>
                      <w:sz w:val="21"/>
                      <w:szCs w:val="21"/>
                      <w:lang w:eastAsia="zh-CN"/>
                    </w:rPr>
                    <w:t>危险废物贮存点</w:t>
                  </w:r>
                  <w:r>
                    <w:rPr>
                      <w:rFonts w:hint="eastAsia" w:cs="Times New Roman"/>
                      <w:color w:val="000000"/>
                      <w:sz w:val="21"/>
                      <w:szCs w:val="21"/>
                    </w:rPr>
                    <w:t>，定期交由有资质单位处置</w:t>
                  </w:r>
                  <w:r>
                    <w:rPr>
                      <w:rFonts w:hint="eastAsia" w:cs="Times New Roman"/>
                      <w:color w:val="000000"/>
                      <w:sz w:val="21"/>
                      <w:szCs w:val="21"/>
                      <w:lang w:eastAsia="zh-CN"/>
                    </w:rPr>
                    <w:t>，</w:t>
                  </w:r>
                  <w:r>
                    <w:rPr>
                      <w:rFonts w:hint="eastAsia" w:cs="Times New Roman"/>
                      <w:color w:val="000000"/>
                      <w:sz w:val="21"/>
                      <w:szCs w:val="21"/>
                      <w:lang w:val="en-US" w:eastAsia="zh-CN"/>
                    </w:rPr>
                    <w:t>本项目</w:t>
                  </w:r>
                  <w:r>
                    <w:rPr>
                      <w:rFonts w:hint="eastAsia" w:cs="Times New Roman"/>
                      <w:color w:val="000000"/>
                      <w:sz w:val="21"/>
                      <w:szCs w:val="21"/>
                    </w:rPr>
                    <w:t>严格管理各类风险物质，环境风险可控</w:t>
                  </w:r>
                  <w:r>
                    <w:rPr>
                      <w:rFonts w:hint="eastAsia" w:cs="Times New Roman"/>
                      <w:color w:val="000000"/>
                      <w:sz w:val="21"/>
                      <w:szCs w:val="21"/>
                      <w:lang w:eastAsia="zh-CN"/>
                    </w:rPr>
                    <w:t>。</w:t>
                  </w:r>
                </w:p>
              </w:tc>
              <w:tc>
                <w:tcPr>
                  <w:tcW w:w="683"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6" w:type="dxa"/>
                  <w:vMerge w:val="continue"/>
                  <w:vAlign w:val="center"/>
                </w:tcPr>
                <w:p>
                  <w:pPr>
                    <w:spacing w:line="240" w:lineRule="auto"/>
                    <w:ind w:firstLine="0" w:firstLineChars="0"/>
                    <w:contextualSpacing/>
                    <w:jc w:val="center"/>
                    <w:rPr>
                      <w:rFonts w:cs="Times New Roman"/>
                      <w:color w:val="000000"/>
                      <w:sz w:val="21"/>
                      <w:szCs w:val="21"/>
                    </w:rPr>
                  </w:pPr>
                </w:p>
              </w:tc>
              <w:tc>
                <w:tcPr>
                  <w:tcW w:w="345" w:type="dxa"/>
                  <w:vMerge w:val="continue"/>
                  <w:vAlign w:val="center"/>
                </w:tcPr>
                <w:p>
                  <w:pPr>
                    <w:spacing w:line="240" w:lineRule="auto"/>
                    <w:ind w:firstLine="0" w:firstLineChars="0"/>
                    <w:contextualSpacing/>
                    <w:jc w:val="center"/>
                    <w:rPr>
                      <w:rFonts w:cs="Times New Roman"/>
                      <w:color w:val="000000"/>
                      <w:sz w:val="21"/>
                      <w:szCs w:val="21"/>
                    </w:rPr>
                  </w:pPr>
                </w:p>
              </w:tc>
              <w:tc>
                <w:tcPr>
                  <w:tcW w:w="735"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资源利用效率</w:t>
                  </w:r>
                </w:p>
              </w:tc>
              <w:tc>
                <w:tcPr>
                  <w:tcW w:w="3690" w:type="dxa"/>
                  <w:vAlign w:val="center"/>
                </w:tcPr>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1.</w:t>
                  </w:r>
                  <w:r>
                    <w:rPr>
                      <w:rFonts w:hint="eastAsia" w:cs="Times New Roman"/>
                      <w:color w:val="000000"/>
                      <w:sz w:val="21"/>
                      <w:szCs w:val="21"/>
                      <w:lang w:val="en-US" w:eastAsia="zh-CN"/>
                    </w:rPr>
                    <w:t>实施节水措施，提高工业用水的重复利用率，达到节水的目的。实施再生水回用。实现中水回用率达到</w:t>
                  </w:r>
                  <w:r>
                    <w:rPr>
                      <w:rFonts w:hint="default" w:cs="Times New Roman"/>
                      <w:color w:val="000000"/>
                      <w:sz w:val="21"/>
                      <w:szCs w:val="21"/>
                      <w:lang w:val="en-US" w:eastAsia="zh-CN"/>
                    </w:rPr>
                    <w:t>20%</w:t>
                  </w:r>
                  <w:r>
                    <w:rPr>
                      <w:rFonts w:hint="eastAsia" w:cs="Times New Roman"/>
                      <w:color w:val="000000"/>
                      <w:sz w:val="21"/>
                      <w:szCs w:val="21"/>
                      <w:lang w:val="en-US" w:eastAsia="zh-CN"/>
                    </w:rPr>
                    <w:t>的目标。</w:t>
                  </w:r>
                </w:p>
                <w:p>
                  <w:pPr>
                    <w:spacing w:line="240" w:lineRule="auto"/>
                    <w:ind w:firstLine="0" w:firstLineChars="0"/>
                    <w:contextualSpacing/>
                    <w:rPr>
                      <w:rFonts w:cs="Times New Roman"/>
                      <w:color w:val="000000"/>
                      <w:sz w:val="21"/>
                      <w:szCs w:val="21"/>
                    </w:rPr>
                  </w:pPr>
                  <w:r>
                    <w:rPr>
                      <w:rFonts w:hint="default" w:cs="Times New Roman"/>
                      <w:color w:val="000000"/>
                      <w:sz w:val="21"/>
                      <w:szCs w:val="21"/>
                      <w:lang w:val="en-US" w:eastAsia="zh-CN"/>
                    </w:rPr>
                    <w:t>2.</w:t>
                  </w:r>
                  <w:r>
                    <w:rPr>
                      <w:rFonts w:hint="eastAsia" w:cs="Times New Roman"/>
                      <w:color w:val="000000"/>
                      <w:sz w:val="21"/>
                      <w:szCs w:val="21"/>
                      <w:lang w:val="en-US" w:eastAsia="zh-CN"/>
                    </w:rPr>
                    <w:t>产业链延伸要符合清洁生产要求，且属于国家鼓励或允许的项目，其中国家已经颁布清洁生产标准的行业，引入项目后其清洁生产水平应达到一级标准以上；国家尚未颁布清洁生产标准的行业，引入项目应达到国内同行业清洁生产先进水平以上，避免清洁生产水平低的项目，落后生产技术、工艺、设备和产品进入。对于不符合清洁生产水平指标的企业，责令更改工艺及设备，对于还达不到清洁生产水平的企业，禁止在现有产业基础上进行延伸；同时，不得新增占地，不得新增与规划产业布局不相符的产业类型。</w:t>
                  </w:r>
                </w:p>
              </w:tc>
              <w:tc>
                <w:tcPr>
                  <w:tcW w:w="1927"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本项目无废水产生；根据国家发展和改革委员会《产业结构调整指导目录（2024年本）》的要求，本项目不属于规定的限制类和淘汰类之列，视为允许类。</w:t>
                  </w:r>
                </w:p>
              </w:tc>
              <w:tc>
                <w:tcPr>
                  <w:tcW w:w="683"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符合</w:t>
                  </w:r>
                </w:p>
              </w:tc>
            </w:tr>
          </w:tbl>
          <w:p>
            <w:pPr>
              <w:pStyle w:val="25"/>
              <w:rPr>
                <w:rFonts w:cs="Times New Roman"/>
              </w:rPr>
            </w:pPr>
            <w:r>
              <w:rPr>
                <w:rFonts w:hint="eastAsia"/>
              </w:rPr>
              <w:t>1.5其他政策和规划符合性分析</w:t>
            </w:r>
          </w:p>
          <w:p>
            <w:pPr>
              <w:adjustRightInd w:val="0"/>
              <w:spacing w:before="163" w:beforeLines="50" w:line="240" w:lineRule="auto"/>
              <w:ind w:firstLine="480" w:firstLineChars="0"/>
              <w:jc w:val="center"/>
              <w:textAlignment w:val="auto"/>
              <w:rPr>
                <w:rFonts w:cs="Times New Roman"/>
                <w:b/>
                <w:kern w:val="0"/>
                <w:sz w:val="21"/>
                <w:szCs w:val="20"/>
              </w:rPr>
            </w:pPr>
            <w:r>
              <w:rPr>
                <w:rFonts w:hint="eastAsia" w:cs="Times New Roman"/>
                <w:b/>
                <w:kern w:val="0"/>
                <w:sz w:val="21"/>
                <w:szCs w:val="20"/>
              </w:rPr>
              <w:t>表</w:t>
            </w:r>
            <w:r>
              <w:rPr>
                <w:rFonts w:cs="Times New Roman"/>
                <w:b/>
                <w:kern w:val="0"/>
                <w:sz w:val="21"/>
                <w:szCs w:val="20"/>
              </w:rPr>
              <w:t>1-</w:t>
            </w:r>
            <w:r>
              <w:rPr>
                <w:rFonts w:hint="eastAsia" w:cs="Times New Roman"/>
                <w:b/>
                <w:kern w:val="0"/>
                <w:sz w:val="21"/>
                <w:szCs w:val="20"/>
                <w:lang w:val="en-US" w:eastAsia="zh-CN"/>
              </w:rPr>
              <w:t>4</w:t>
            </w:r>
            <w:r>
              <w:rPr>
                <w:rFonts w:hint="eastAsia" w:cs="Times New Roman"/>
                <w:b/>
                <w:kern w:val="0"/>
                <w:sz w:val="21"/>
                <w:szCs w:val="20"/>
              </w:rPr>
              <w:t>其他政策和规划符合性分析</w:t>
            </w:r>
          </w:p>
          <w:tbl>
            <w:tblPr>
              <w:tblStyle w:val="29"/>
              <w:tblW w:w="77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2807"/>
              <w:gridCol w:w="2467"/>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规划</w:t>
                  </w:r>
                </w:p>
              </w:tc>
              <w:tc>
                <w:tcPr>
                  <w:tcW w:w="2807"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规划要求</w:t>
                  </w:r>
                </w:p>
              </w:tc>
              <w:tc>
                <w:tcPr>
                  <w:tcW w:w="2467"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本项目</w:t>
                  </w:r>
                </w:p>
              </w:tc>
              <w:tc>
                <w:tcPr>
                  <w:tcW w:w="850" w:type="dxa"/>
                  <w:tcBorders>
                    <w:top w:val="single" w:color="auto" w:sz="12"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新疆维吾尔自治区国民经济和社会发展第十四个五年规划和</w:t>
                  </w:r>
                  <w:r>
                    <w:rPr>
                      <w:sz w:val="21"/>
                      <w:szCs w:val="21"/>
                    </w:rPr>
                    <w:t>2035</w:t>
                  </w:r>
                  <w:r>
                    <w:rPr>
                      <w:rFonts w:hint="eastAsia"/>
                      <w:sz w:val="21"/>
                      <w:szCs w:val="21"/>
                    </w:rPr>
                    <w:t>年远景目标纲要</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坚持自主可控、安全高效，推进产业基础高级化、产业链现代化，保持制造业比重基本稳定，增强制造业竞争优势，推动制造业高质量发展。</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本项目为</w:t>
                  </w:r>
                  <w:r>
                    <w:rPr>
                      <w:rFonts w:hint="eastAsia" w:cs="Times New Roman"/>
                      <w:sz w:val="21"/>
                    </w:rPr>
                    <w:t>纸制品制造项目</w:t>
                  </w:r>
                  <w:r>
                    <w:rPr>
                      <w:rFonts w:hint="eastAsia"/>
                      <w:sz w:val="21"/>
                      <w:szCs w:val="21"/>
                    </w:rPr>
                    <w:t>，符合新疆维吾尔自治区国民经济和社会发展第十四个五年规划和</w:t>
                  </w:r>
                  <w:r>
                    <w:rPr>
                      <w:sz w:val="21"/>
                      <w:szCs w:val="21"/>
                    </w:rPr>
                    <w:t>2035</w:t>
                  </w:r>
                  <w:r>
                    <w:rPr>
                      <w:rFonts w:hint="eastAsia"/>
                      <w:sz w:val="21"/>
                      <w:szCs w:val="21"/>
                    </w:rPr>
                    <w:t>年远景目标纲要。</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highlight w:val="yellow"/>
                    </w:rPr>
                  </w:pPr>
                  <w:r>
                    <w:rPr>
                      <w:rFonts w:hint="eastAsia"/>
                      <w:sz w:val="21"/>
                      <w:szCs w:val="21"/>
                    </w:rPr>
                    <w:t>巴音郭楞蒙古自治州国民经济和社会发展第十四个五年规划和二〇三五年远景目标纲要</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highlight w:val="yellow"/>
                    </w:rPr>
                  </w:pPr>
                  <w:r>
                    <w:rPr>
                      <w:rFonts w:hint="eastAsia"/>
                      <w:sz w:val="21"/>
                      <w:szCs w:val="21"/>
                    </w:rPr>
                    <w:t>促进产业发展协作互补、公共服务共建共享，推进库尔勒经济技术开发区、上库工业园、轮台工业园统一规划管理，推动形成“一区多园、各具特色、协同联动”发展格局。实施园区产业转型升级行动计划，重点推进库尔勒经济技术开发区、上库、铁门关、轮台、和静、焉耆、和硕、尉犁、若羌、且末等</w:t>
                  </w:r>
                  <w:r>
                    <w:rPr>
                      <w:sz w:val="21"/>
                      <w:szCs w:val="21"/>
                    </w:rPr>
                    <w:t>1</w:t>
                  </w:r>
                  <w:r>
                    <w:rPr>
                      <w:rFonts w:hint="eastAsia"/>
                      <w:sz w:val="21"/>
                      <w:szCs w:val="21"/>
                    </w:rPr>
                    <w:t>0个国家和自治区产业园区功能升级，积极推进库尔勒市上库综合产业园申报国家级高新技术产业开发区，切实将各类园区打造为建设现代化经济体系的引领高地。</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本项目主要为纸制品制造项目，且位于库尔勒经济技术开发区纵三路东侧横四路北侧，符合巴音郭楞蒙古自治州国民经济和社会发展第十四个五年规划和二〇三五年远景目标纲要</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新疆生态环境保护</w:t>
                  </w:r>
                  <w:r>
                    <w:rPr>
                      <w:sz w:val="21"/>
                      <w:szCs w:val="21"/>
                    </w:rPr>
                    <w:t>“</w:t>
                  </w:r>
                  <w:r>
                    <w:rPr>
                      <w:rFonts w:hint="eastAsia"/>
                      <w:sz w:val="21"/>
                      <w:szCs w:val="21"/>
                    </w:rPr>
                    <w:t>十四五</w:t>
                  </w:r>
                  <w:r>
                    <w:rPr>
                      <w:sz w:val="21"/>
                      <w:szCs w:val="21"/>
                    </w:rPr>
                    <w:t>”</w:t>
                  </w:r>
                  <w:r>
                    <w:rPr>
                      <w:rFonts w:hint="eastAsia"/>
                      <w:sz w:val="21"/>
                      <w:szCs w:val="21"/>
                    </w:rPr>
                    <w:t>规划</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坚持高质量发展与严格环境准入标准相结合，坚持淘汰落后与鼓励先进相结合，支持产业发展向产业链中下游、价值链中高端迈进，坚持推进产业结构优化调整。全力推动节能环保产业发展，引导产业向绿色生产、清洁生产、循环生产转变，加快推进产业转型升级</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本项目主要为纸制品制造项目，在严格落实各项污染防治措施的前提下，项目建设对环境影响较小。项目符合新疆生态环境保护</w:t>
                  </w:r>
                  <w:r>
                    <w:rPr>
                      <w:sz w:val="21"/>
                      <w:szCs w:val="21"/>
                    </w:rPr>
                    <w:t>“</w:t>
                  </w:r>
                  <w:r>
                    <w:rPr>
                      <w:rFonts w:hint="eastAsia"/>
                      <w:sz w:val="21"/>
                      <w:szCs w:val="21"/>
                    </w:rPr>
                    <w:t>十四五</w:t>
                  </w:r>
                  <w:r>
                    <w:rPr>
                      <w:sz w:val="21"/>
                      <w:szCs w:val="21"/>
                    </w:rPr>
                    <w:t>”</w:t>
                  </w:r>
                  <w:r>
                    <w:rPr>
                      <w:rFonts w:hint="eastAsia"/>
                      <w:sz w:val="21"/>
                      <w:szCs w:val="21"/>
                    </w:rPr>
                    <w:t>规划。</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新疆维吾尔自治区环境保护条例</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sz w:val="21"/>
                      <w:szCs w:val="21"/>
                      <w:shd w:val="clear" w:color="auto" w:fill="FFFFFF"/>
                    </w:rPr>
                  </w:pPr>
                  <w:r>
                    <w:rPr>
                      <w:rFonts w:hint="eastAsia"/>
                      <w:sz w:val="21"/>
                      <w:szCs w:val="21"/>
                      <w:shd w:val="clear" w:color="auto" w:fill="FFFFFF"/>
                    </w:rPr>
                    <w:t>第九条各级人民政府应当支持开展能源节约、资源循环利用、新能源开发、污染治理、生态修复等领域关键技术攻关，鼓励使用清洁能源，支持发展节能环保产业。第三十一条 对不符合国家产业政策、严重污染水环境的生产项目全部予以取缔。鼓励钢铁、纺织印染、造纸、石油石化、化工、制革等高耗水企业开展废水深度处理回用</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本项目采取了有效的污染防治措施；项目不属于鼓励类、限制类、淘汰类，本项目属于允许类。项目符合新疆维吾尔自治区环境保护条例。</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新疆维吾尔自治区主体功能区规划</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根据主体功能区开发的理念，结合新疆独特的自然地理状况和新时期跨越式发展的需要，本规划将新疆国土空间划分为重点开发、限制开发和禁止开发区域；按开发内容，分为城市化地区、农产品主产区和重点生态功能区</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本项目位于库尔勒市经济开发区，属于天山南坡产业带重点开发区域，本项目为</w:t>
                  </w:r>
                  <w:r>
                    <w:rPr>
                      <w:rFonts w:hint="eastAsia" w:cs="Times New Roman"/>
                      <w:sz w:val="21"/>
                    </w:rPr>
                    <w:t>纸制品制造项目</w:t>
                  </w:r>
                  <w:r>
                    <w:rPr>
                      <w:rFonts w:hint="eastAsia"/>
                      <w:sz w:val="21"/>
                      <w:szCs w:val="21"/>
                    </w:rPr>
                    <w:t>，符合新疆维吾尔自治区主体功能区规划空间管控要求。</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关于重点区域执行大气污染物特别排放限值的公告</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自治区大气污染防治重点区域内的火电、钢铁、水泥、石化行业和燃煤锅炉执行大气污染物特别排放限值，对重点区域重点行业的污染物排放标准进行了更严格的约束和规定，二氧化硫及氮氧化物排放将减少一半以上。</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本项目位于库尔勒市经济开发区，本项目主要为</w:t>
                  </w:r>
                  <w:r>
                    <w:rPr>
                      <w:rFonts w:hint="eastAsia" w:cs="Times New Roman"/>
                      <w:sz w:val="21"/>
                    </w:rPr>
                    <w:t>纸制品制造项目</w:t>
                  </w:r>
                  <w:r>
                    <w:rPr>
                      <w:rFonts w:hint="eastAsia"/>
                      <w:sz w:val="21"/>
                      <w:szCs w:val="21"/>
                    </w:rPr>
                    <w:t>。</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color w:val="000000"/>
                      <w:sz w:val="21"/>
                      <w:szCs w:val="21"/>
                    </w:rPr>
                    <w:t>《库尔勒区域大气污染防治总体方案（</w:t>
                  </w:r>
                  <w:r>
                    <w:rPr>
                      <w:color w:val="000000"/>
                      <w:sz w:val="21"/>
                      <w:szCs w:val="21"/>
                    </w:rPr>
                    <w:t>2014-2017</w:t>
                  </w:r>
                  <w:r>
                    <w:rPr>
                      <w:rFonts w:hint="eastAsia"/>
                      <w:color w:val="000000"/>
                      <w:sz w:val="21"/>
                      <w:szCs w:val="21"/>
                    </w:rPr>
                    <w:t>年）》</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color w:val="000000"/>
                      <w:sz w:val="21"/>
                      <w:szCs w:val="21"/>
                    </w:rPr>
                  </w:pPr>
                  <w:r>
                    <w:rPr>
                      <w:rFonts w:hint="eastAsia"/>
                      <w:color w:val="000000"/>
                      <w:sz w:val="21"/>
                      <w:szCs w:val="21"/>
                    </w:rPr>
                    <w:t>严格环境准入。禁止在库尔勒区域内新建不符合国家产业政策和采用落后生产工艺技术的大气重污染项目严格限制新建和扩建高污染、高耗能、高排放的石化、火电、钢铁、水泥、化工等项目。</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本项目为纸制品制造项目，符合国家产业政策要求，不属于落后生产工艺技术。</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《新疆维吾尔自治区重点行业环境准入条件（</w:t>
                  </w:r>
                  <w:r>
                    <w:rPr>
                      <w:rFonts w:hint="eastAsia"/>
                      <w:sz w:val="21"/>
                      <w:szCs w:val="21"/>
                      <w:lang w:val="en-US" w:eastAsia="zh-CN"/>
                    </w:rPr>
                    <w:t>2024年</w:t>
                  </w:r>
                  <w:r>
                    <w:rPr>
                      <w:rFonts w:hint="eastAsia"/>
                      <w:sz w:val="21"/>
                      <w:szCs w:val="21"/>
                    </w:rPr>
                    <w:t>）》</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建设项目须符合国家、自治区相关法律法规、产业政策要求，采用的工艺、技术和设备应符合《产业结构调整指导目录（</w:t>
                  </w:r>
                  <w:r>
                    <w:rPr>
                      <w:sz w:val="21"/>
                      <w:szCs w:val="21"/>
                      <w:shd w:val="clear" w:color="auto" w:fill="FFFFFF"/>
                    </w:rPr>
                    <w:t>2011</w:t>
                  </w:r>
                  <w:r>
                    <w:rPr>
                      <w:rFonts w:hint="eastAsia"/>
                      <w:sz w:val="21"/>
                      <w:szCs w:val="21"/>
                      <w:shd w:val="clear" w:color="auto" w:fill="FFFFFF"/>
                    </w:rPr>
                    <w:t>年本）》（</w:t>
                  </w:r>
                  <w:r>
                    <w:rPr>
                      <w:sz w:val="21"/>
                      <w:szCs w:val="21"/>
                      <w:shd w:val="clear" w:color="auto" w:fill="FFFFFF"/>
                    </w:rPr>
                    <w:t>2013</w:t>
                  </w:r>
                  <w:r>
                    <w:rPr>
                      <w:rFonts w:hint="eastAsia"/>
                      <w:sz w:val="21"/>
                      <w:szCs w:val="21"/>
                      <w:shd w:val="clear" w:color="auto" w:fill="FFFFFF"/>
                    </w:rPr>
                    <w:t>年修正）、《产业转移指导目录（</w:t>
                  </w:r>
                  <w:r>
                    <w:rPr>
                      <w:sz w:val="21"/>
                      <w:szCs w:val="21"/>
                      <w:shd w:val="clear" w:color="auto" w:fill="FFFFFF"/>
                    </w:rPr>
                    <w:t>2012</w:t>
                  </w:r>
                  <w:r>
                    <w:rPr>
                      <w:rFonts w:hint="eastAsia"/>
                      <w:sz w:val="21"/>
                      <w:szCs w:val="21"/>
                      <w:shd w:val="clear" w:color="auto" w:fill="FFFFFF"/>
                    </w:rPr>
                    <w:t>年本）》（工信部〔</w:t>
                  </w:r>
                  <w:r>
                    <w:rPr>
                      <w:sz w:val="21"/>
                      <w:szCs w:val="21"/>
                      <w:shd w:val="clear" w:color="auto" w:fill="FFFFFF"/>
                    </w:rPr>
                    <w:t>2012</w:t>
                  </w:r>
                  <w:r>
                    <w:rPr>
                      <w:rFonts w:hint="eastAsia"/>
                      <w:sz w:val="21"/>
                      <w:szCs w:val="21"/>
                      <w:shd w:val="clear" w:color="auto" w:fill="FFFFFF"/>
                    </w:rPr>
                    <w:t>〕</w:t>
                  </w:r>
                  <w:r>
                    <w:rPr>
                      <w:sz w:val="21"/>
                      <w:szCs w:val="21"/>
                      <w:shd w:val="clear" w:color="auto" w:fill="FFFFFF"/>
                    </w:rPr>
                    <w:t>31</w:t>
                  </w:r>
                  <w:r>
                    <w:rPr>
                      <w:rFonts w:hint="eastAsia"/>
                      <w:sz w:val="21"/>
                      <w:szCs w:val="21"/>
                      <w:shd w:val="clear" w:color="auto" w:fill="FFFFFF"/>
                    </w:rPr>
                    <w:t>号）、《市场准入负面清单草案（试点版）》和《关于促进新疆工业通信业和信息化发展的若干政策意见》（工信部产业〔</w:t>
                  </w:r>
                  <w:r>
                    <w:rPr>
                      <w:sz w:val="21"/>
                      <w:szCs w:val="21"/>
                      <w:shd w:val="clear" w:color="auto" w:fill="FFFFFF"/>
                    </w:rPr>
                    <w:t>2010</w:t>
                  </w:r>
                  <w:r>
                    <w:rPr>
                      <w:rFonts w:hint="eastAsia"/>
                      <w:sz w:val="21"/>
                      <w:szCs w:val="21"/>
                      <w:shd w:val="clear" w:color="auto" w:fill="FFFFFF"/>
                    </w:rPr>
                    <w:t>〕</w:t>
                  </w:r>
                  <w:r>
                    <w:rPr>
                      <w:sz w:val="21"/>
                      <w:szCs w:val="21"/>
                      <w:shd w:val="clear" w:color="auto" w:fill="FFFFFF"/>
                    </w:rPr>
                    <w:t>617</w:t>
                  </w:r>
                  <w:r>
                    <w:rPr>
                      <w:rFonts w:hint="eastAsia"/>
                      <w:sz w:val="21"/>
                      <w:szCs w:val="21"/>
                      <w:shd w:val="clear" w:color="auto" w:fill="FFFFFF"/>
                    </w:rPr>
                    <w:t>号）等相关要求，不得采用国家和自治区淘汰或禁止使用的工艺、技术和设备。</w:t>
                  </w:r>
                </w:p>
                <w:p>
                  <w:pPr>
                    <w:pStyle w:val="2"/>
                    <w:spacing w:line="240" w:lineRule="auto"/>
                    <w:rPr>
                      <w:color w:val="auto"/>
                      <w:sz w:val="21"/>
                      <w:szCs w:val="21"/>
                      <w:shd w:val="clear" w:color="auto" w:fill="FFFFFF"/>
                    </w:rPr>
                  </w:pPr>
                  <w:r>
                    <w:rPr>
                      <w:rFonts w:hint="eastAsia"/>
                      <w:color w:val="auto"/>
                      <w:sz w:val="21"/>
                      <w:szCs w:val="21"/>
                      <w:shd w:val="clear" w:color="auto" w:fill="FFFFFF"/>
                    </w:rPr>
                    <w:t>禁止在自然保护区、世界自然遗产地、风景名胜区、森林公园、地质公园、重要湿地、饮用水水源保护区等重点保护区域内及其它法律法规禁止的区域进行污染环境的任何开发活动。</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lang w:val="en-US" w:eastAsia="zh-CN"/>
                    </w:rPr>
                    <w:t>本项目不属于《新疆维吾尔自治区重点行业生态环境准入条件（2024 年）》明确列举的重点行业范围内。</w:t>
                  </w:r>
                  <w:r>
                    <w:rPr>
                      <w:rFonts w:hint="eastAsia"/>
                      <w:sz w:val="21"/>
                      <w:szCs w:val="21"/>
                    </w:rPr>
                    <w:t>据《产业结构调整指导目录（</w:t>
                  </w:r>
                  <w:r>
                    <w:rPr>
                      <w:sz w:val="21"/>
                      <w:szCs w:val="21"/>
                    </w:rPr>
                    <w:t>2024</w:t>
                  </w:r>
                  <w:r>
                    <w:rPr>
                      <w:rFonts w:hint="eastAsia"/>
                      <w:sz w:val="21"/>
                      <w:szCs w:val="21"/>
                    </w:rPr>
                    <w:t>年本）》，本项目为</w:t>
                  </w:r>
                  <w:r>
                    <w:rPr>
                      <w:rFonts w:hint="eastAsia"/>
                      <w:sz w:val="21"/>
                      <w:szCs w:val="21"/>
                      <w:lang w:val="en-US" w:eastAsia="zh-CN"/>
                    </w:rPr>
                    <w:t>纸制品加工</w:t>
                  </w:r>
                  <w:r>
                    <w:rPr>
                      <w:rFonts w:hint="eastAsia"/>
                      <w:sz w:val="21"/>
                      <w:szCs w:val="21"/>
                    </w:rPr>
                    <w:t>，不属于鼓励类、限制类、淘汰类项目，为允许类。因此其建设符合国家产业政策要求。本项目位于库尔勒经济技术开发区纵三路东侧横四路北侧，不在自然保护区、风景名胜区、饮用水水源地保护区、居民集中区及基本农田保护区、自然公园等环境敏感区范围内</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《新疆维吾尔自治区大气污染防治条例》</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加强对建设施工、矿产资源开采、物料运输的扬尘和沙尘污染的治理，保持道路清洁、控制料堆和渣土堆放，科学合理扩大绿地、水面、湿地、地面铺装和防风固沙绿化面积，防治扬尘污染</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本项目采取了有效的污染防治措施；项目符合新疆维吾尔自治区大气污染防治条例</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15"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《关于开展自治区</w:t>
                  </w:r>
                  <w:r>
                    <w:rPr>
                      <w:sz w:val="21"/>
                      <w:szCs w:val="21"/>
                    </w:rPr>
                    <w:t>2022</w:t>
                  </w:r>
                  <w:r>
                    <w:rPr>
                      <w:rFonts w:hint="eastAsia"/>
                      <w:sz w:val="21"/>
                      <w:szCs w:val="21"/>
                    </w:rPr>
                    <w:t>年度夏秋季大气污染防治“冬病夏治”工作的通知》</w:t>
                  </w:r>
                </w:p>
              </w:tc>
              <w:tc>
                <w:tcPr>
                  <w:tcW w:w="280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sz w:val="21"/>
                      <w:szCs w:val="21"/>
                    </w:rPr>
                  </w:pPr>
                  <w:r>
                    <w:rPr>
                      <w:rFonts w:hint="eastAsia"/>
                      <w:sz w:val="21"/>
                      <w:szCs w:val="21"/>
                    </w:rPr>
                    <w:t>严格施工扬尘监管。各地（州、市）要在今年夏秋季强化各类建筑工地扬尘监管，严格执行《建筑工地扬尘防治标准》。实施扬尘综合整治。严格堆场扬尘监管，夯实混凝土搅拌站堆场、施工工地弃土场等扬尘监管责任，提升综合防控水平。加强道路扬尘整治，大力推进道路清扫保洁机械化作业。严格渣土运输车辆密闭管理，严禁渣土运输车辆带泥上路，强化渣土运输企业诚信考核。</w:t>
                  </w:r>
                </w:p>
              </w:tc>
              <w:tc>
                <w:tcPr>
                  <w:tcW w:w="246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sz w:val="21"/>
                      <w:szCs w:val="21"/>
                    </w:rPr>
                  </w:pPr>
                  <w:r>
                    <w:rPr>
                      <w:rFonts w:hint="eastAsia"/>
                      <w:sz w:val="21"/>
                      <w:szCs w:val="21"/>
                    </w:rPr>
                    <w:t>新疆中泰亨惠医疗卫材股份有限公司在位于库尔勒经济技术开发区纵三路东侧横四路北侧厂房建设纸制品制造项目，</w:t>
                  </w:r>
                  <w:r>
                    <w:rPr>
                      <w:rFonts w:hint="eastAsia"/>
                      <w:color w:val="000000"/>
                      <w:sz w:val="21"/>
                      <w:shd w:val="clear" w:color="auto" w:fill="FFFFFF"/>
                    </w:rPr>
                    <w:t>项目施工期主要为场地基础施工及设备安装调试，对环境影响较小</w:t>
                  </w:r>
                </w:p>
              </w:tc>
              <w:tc>
                <w:tcPr>
                  <w:tcW w:w="85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sz w:val="21"/>
                      <w:szCs w:val="21"/>
                    </w:rPr>
                  </w:pPr>
                  <w:r>
                    <w:rPr>
                      <w:rFonts w:hint="eastAsia"/>
                      <w:sz w:val="21"/>
                      <w:szCs w:val="21"/>
                    </w:rPr>
                    <w:t>符合</w:t>
                  </w:r>
                </w:p>
              </w:tc>
            </w:tr>
            <w:bookmarkEnd w:id="3"/>
          </w:tbl>
          <w:p>
            <w:pPr>
              <w:bidi w:val="0"/>
            </w:pPr>
          </w:p>
        </w:tc>
      </w:tr>
    </w:tbl>
    <w:p>
      <w:pPr>
        <w:ind w:left="0" w:leftChars="0" w:firstLine="0" w:firstLineChars="0"/>
        <w:rPr>
          <w:snapToGrid w:val="0"/>
        </w:rPr>
      </w:pPr>
      <w:r>
        <w:rPr>
          <w:rFonts w:hint="eastAsia"/>
          <w:snapToGrid w:val="0"/>
        </w:rPr>
        <w:br w:type="page"/>
      </w:r>
    </w:p>
    <w:p>
      <w:pPr>
        <w:pStyle w:val="3"/>
        <w:rPr>
          <w:snapToGrid w:val="0"/>
        </w:rPr>
      </w:pPr>
      <w:r>
        <w:rPr>
          <w:rFonts w:hint="eastAsia"/>
          <w:snapToGrid w:val="0"/>
        </w:rPr>
        <w:t>二、建设项目工程分析</w:t>
      </w:r>
    </w:p>
    <w:tbl>
      <w:tblPr>
        <w:tblStyle w:val="29"/>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8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4" w:hRule="atLeast"/>
          <w:jc w:val="center"/>
        </w:trPr>
        <w:tc>
          <w:tcPr>
            <w:tcW w:w="456" w:type="dxa"/>
            <w:vAlign w:val="center"/>
          </w:tcPr>
          <w:p>
            <w:pPr>
              <w:widowControl/>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建设内容</w:t>
            </w:r>
          </w:p>
        </w:tc>
        <w:tc>
          <w:tcPr>
            <w:tcW w:w="8830" w:type="dxa"/>
          </w:tcPr>
          <w:p>
            <w:pPr>
              <w:pStyle w:val="4"/>
              <w:framePr w:hSpace="0" w:wrap="auto" w:vAnchor="margin" w:hAnchor="text" w:xAlign="left" w:yAlign="inline"/>
            </w:pPr>
            <w:r>
              <w:rPr>
                <w:rFonts w:hint="eastAsia"/>
              </w:rPr>
              <w:t>2</w:t>
            </w:r>
            <w:r>
              <w:t>.1</w:t>
            </w:r>
            <w:r>
              <w:rPr>
                <w:rFonts w:hint="eastAsia"/>
              </w:rPr>
              <w:t>项目建设背景</w:t>
            </w:r>
          </w:p>
          <w:p>
            <w:pPr>
              <w:ind w:firstLine="480"/>
              <w:rPr>
                <w:rFonts w:cs="Times New Roman"/>
                <w:szCs w:val="24"/>
              </w:rPr>
            </w:pPr>
            <w:r>
              <w:rPr>
                <w:rFonts w:hint="eastAsia" w:cs="Times New Roman"/>
                <w:szCs w:val="24"/>
              </w:rPr>
              <w:t>新疆中泰亨惠医疗卫材股份有限公司租用巴州鑫达资产管理有限公司的闲置厂房进行生产，购置河北天晟纸管机械设备，建设1条纸筒生产线，建成后形成年产1000吨纸筒规模。</w:t>
            </w:r>
          </w:p>
          <w:p>
            <w:pPr>
              <w:ind w:firstLine="480"/>
            </w:pPr>
            <w:r>
              <w:rPr>
                <w:rFonts w:hint="eastAsia"/>
              </w:rPr>
              <w:t>本项目与2024年6月4日取得</w:t>
            </w:r>
            <w:r>
              <w:rPr>
                <w:rFonts w:hint="eastAsia" w:cs="Times New Roman"/>
                <w:szCs w:val="24"/>
              </w:rPr>
              <w:t>库尔勒经济技术开发区发展和改革委员会出具的《新疆中泰亨惠医疗卫材股份有限公司年产1000吨纸筒项目》的投资项目备案证，备案证号：2406041166652800000075；</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对照生态环境部令第16号《建设项目环境影响评价分类管理名录》（2021年版），新建项目属于“</w:t>
            </w:r>
            <w:r>
              <w:rPr>
                <w:rFonts w:hint="eastAsia" w:cs="Times New Roman"/>
                <w:bCs/>
                <w:color w:val="000000"/>
              </w:rPr>
              <w:t>十九、造纸和纸制品业22-38.纸制品知道223*-有图布、浸渍、印刷、粘胶工艺的</w:t>
            </w:r>
            <w:r>
              <w:rPr>
                <w:rFonts w:hint="eastAsia"/>
                <w:color w:val="000000" w:themeColor="text1"/>
                <w14:textFill>
                  <w14:solidFill>
                    <w14:schemeClr w14:val="tx1"/>
                  </w14:solidFill>
                </w14:textFill>
              </w:rPr>
              <w:t>”，应编制环境影响报告表。202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年10月</w:t>
            </w:r>
            <w:r>
              <w:rPr>
                <w:rFonts w:hint="eastAsia" w:cs="Times New Roman"/>
                <w:szCs w:val="24"/>
              </w:rPr>
              <w:t>新疆中泰亨惠医疗卫材股份有限公司</w:t>
            </w:r>
            <w:r>
              <w:rPr>
                <w:rFonts w:hint="eastAsia"/>
                <w:color w:val="000000" w:themeColor="text1"/>
                <w14:textFill>
                  <w14:solidFill>
                    <w14:schemeClr w14:val="tx1"/>
                  </w14:solidFill>
                </w14:textFill>
              </w:rPr>
              <w:t>委托我公司承担该项目的环境影响评价工作（委托书见附件6）。我公司在深入研究项目相关资料、调研、现场踏勘的基础上，依据国家环境保护有关法律、法规文件和环境影响评价技术导则，编制完成了《</w:t>
            </w:r>
            <w:r>
              <w:rPr>
                <w:rFonts w:hint="eastAsia" w:cs="Times New Roman"/>
                <w:szCs w:val="24"/>
              </w:rPr>
              <w:t>新疆中泰亨惠医疗卫材股份有限公司年产1000吨纸筒项目</w:t>
            </w:r>
            <w:r>
              <w:rPr>
                <w:rFonts w:hint="eastAsia"/>
                <w:color w:val="000000" w:themeColor="text1"/>
                <w14:textFill>
                  <w14:solidFill>
                    <w14:schemeClr w14:val="tx1"/>
                  </w14:solidFill>
                </w14:textFill>
              </w:rPr>
              <w:t>环境影响报告表》。</w:t>
            </w:r>
          </w:p>
          <w:p>
            <w:pPr>
              <w:pStyle w:val="4"/>
              <w:framePr w:hSpace="0" w:wrap="auto" w:vAnchor="margin" w:hAnchor="text" w:xAlign="left" w:yAlign="inline"/>
            </w:pPr>
            <w:r>
              <w:rPr>
                <w:rFonts w:hint="eastAsia"/>
              </w:rPr>
              <w:t>2</w:t>
            </w:r>
            <w:r>
              <w:t>.2</w:t>
            </w:r>
            <w:r>
              <w:rPr>
                <w:rFonts w:hint="eastAsia"/>
              </w:rPr>
              <w:t>项目建设基本情况</w:t>
            </w:r>
          </w:p>
          <w:p>
            <w:pPr>
              <w:ind w:firstLine="480"/>
            </w:pPr>
            <w:bookmarkStart w:id="4" w:name="_Hlk62768665"/>
            <w:r>
              <w:t>项目名称：</w:t>
            </w:r>
            <w:r>
              <w:rPr>
                <w:rFonts w:hint="eastAsia" w:cs="Times New Roman"/>
                <w:szCs w:val="24"/>
              </w:rPr>
              <w:t>新疆中泰亨惠医疗卫材股份有限公司年产1000吨纸筒项目</w:t>
            </w:r>
            <w:r>
              <w:rPr>
                <w:rFonts w:hint="eastAsia"/>
                <w:color w:val="000000"/>
              </w:rPr>
              <w:t>；</w:t>
            </w:r>
          </w:p>
          <w:p>
            <w:pPr>
              <w:ind w:firstLine="480"/>
            </w:pPr>
            <w:r>
              <w:t>建设单位：</w:t>
            </w:r>
            <w:r>
              <w:rPr>
                <w:rFonts w:hint="eastAsia" w:cs="Times New Roman"/>
                <w:szCs w:val="24"/>
              </w:rPr>
              <w:t>新疆中泰亨惠医疗卫材股份有限公司</w:t>
            </w:r>
            <w:r>
              <w:rPr>
                <w:rFonts w:hint="eastAsia"/>
              </w:rPr>
              <w:t>；</w:t>
            </w:r>
          </w:p>
          <w:p>
            <w:pPr>
              <w:ind w:firstLine="480"/>
            </w:pPr>
            <w:r>
              <w:t>建设性质：新建</w:t>
            </w:r>
            <w:r>
              <w:rPr>
                <w:rFonts w:hint="eastAsia"/>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项目总投资：项目总投资</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万元，</w:t>
            </w:r>
            <w:r>
              <w:rPr>
                <w:rFonts w:hint="eastAsia"/>
                <w:color w:val="000000" w:themeColor="text1"/>
                <w14:textFill>
                  <w14:solidFill>
                    <w14:schemeClr w14:val="tx1"/>
                  </w14:solidFill>
                </w14:textFill>
              </w:rPr>
              <w:t>企业自筹资金100万元。</w:t>
            </w:r>
            <w:r>
              <w:rPr>
                <w:color w:val="000000" w:themeColor="text1"/>
                <w14:textFill>
                  <w14:solidFill>
                    <w14:schemeClr w14:val="tx1"/>
                  </w14:solidFill>
                </w14:textFill>
              </w:rPr>
              <w:t>本项目环保投资</w:t>
            </w:r>
            <w:r>
              <w:rPr>
                <w:rFonts w:hint="eastAsia"/>
                <w:lang w:val="en-US" w:eastAsia="zh-CN"/>
              </w:rPr>
              <w:t>10</w:t>
            </w:r>
            <w:r>
              <w:rPr>
                <w:color w:val="000000" w:themeColor="text1"/>
                <w14:textFill>
                  <w14:solidFill>
                    <w14:schemeClr w14:val="tx1"/>
                  </w14:solidFill>
                </w14:textFill>
              </w:rPr>
              <w:t>万元，</w:t>
            </w:r>
            <w:r>
              <w:rPr>
                <w:rFonts w:hint="eastAsia"/>
                <w:color w:val="000000" w:themeColor="text1"/>
                <w14:textFill>
                  <w14:solidFill>
                    <w14:schemeClr w14:val="tx1"/>
                  </w14:solidFill>
                </w14:textFill>
              </w:rPr>
              <w:t>占总投资的</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w:t>
            </w:r>
          </w:p>
          <w:p>
            <w:pPr>
              <w:ind w:firstLine="480"/>
            </w:pPr>
            <w:r>
              <w:rPr>
                <w:rFonts w:cs="Times New Roman"/>
              </w:rPr>
              <w:t>建设地点：</w:t>
            </w:r>
            <w:r>
              <w:rPr>
                <w:rFonts w:hint="eastAsia" w:cs="Times New Roman"/>
                <w:color w:val="000000" w:themeColor="text1"/>
                <w:szCs w:val="24"/>
                <w14:textFill>
                  <w14:solidFill>
                    <w14:schemeClr w14:val="tx1"/>
                  </w14:solidFill>
                </w14:textFill>
              </w:rPr>
              <w:t>本项目位于</w:t>
            </w:r>
            <w:r>
              <w:rPr>
                <w:rFonts w:hint="eastAsia" w:cs="Times New Roman"/>
                <w:szCs w:val="24"/>
              </w:rPr>
              <w:t>库尔勒经济技术开发区</w:t>
            </w:r>
            <w:r>
              <w:rPr>
                <w:rFonts w:hint="eastAsia"/>
              </w:rPr>
              <w:t>纵三路东侧横四路北侧</w:t>
            </w:r>
            <w:r>
              <w:t>，</w:t>
            </w:r>
            <w:r>
              <w:rPr>
                <w:rFonts w:hint="eastAsia"/>
              </w:rPr>
              <w:t>中心位置坐标为：</w:t>
            </w:r>
            <w:r>
              <w:rPr>
                <w:rFonts w:cs="Times New Roman"/>
                <w:color w:val="000000" w:themeColor="text1"/>
                <w14:textFill>
                  <w14:solidFill>
                    <w14:schemeClr w14:val="tx1"/>
                  </w14:solidFill>
                </w14:textFill>
              </w:rPr>
              <w:t>东经86°</w:t>
            </w:r>
            <w:r>
              <w:rPr>
                <w:rFonts w:hint="eastAsia" w:cs="Times New Roman"/>
                <w:color w:val="000000" w:themeColor="text1"/>
                <w14:textFill>
                  <w14:solidFill>
                    <w14:schemeClr w14:val="tx1"/>
                  </w14:solidFill>
                </w14:textFill>
              </w:rPr>
              <w:t>17</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44.536</w:t>
            </w:r>
            <w:r>
              <w:rPr>
                <w:rFonts w:cs="Times New Roman"/>
                <w:color w:val="000000" w:themeColor="text1"/>
                <w14:textFill>
                  <w14:solidFill>
                    <w14:schemeClr w14:val="tx1"/>
                  </w14:solidFill>
                </w14:textFill>
              </w:rPr>
              <w:t>"，北纬41°3</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29.032</w:t>
            </w:r>
            <w:r>
              <w:rPr>
                <w:rFonts w:cs="Times New Roman"/>
                <w:color w:val="000000" w:themeColor="text1"/>
                <w14:textFill>
                  <w14:solidFill>
                    <w14:schemeClr w14:val="tx1"/>
                  </w14:solidFill>
                </w14:textFill>
              </w:rPr>
              <w:t>"</w:t>
            </w:r>
            <w:r>
              <w:rPr>
                <w:rFonts w:hint="eastAsia" w:cs="Times New Roman"/>
              </w:rPr>
              <w:t>；</w:t>
            </w:r>
          </w:p>
          <w:p>
            <w:pPr>
              <w:ind w:firstLine="480"/>
              <w:rPr>
                <w:rFonts w:cs="Times New Roman"/>
              </w:rPr>
            </w:pPr>
            <w:r>
              <w:rPr>
                <w:rFonts w:hint="eastAsia"/>
              </w:rPr>
              <w:t>周边环境：</w:t>
            </w:r>
            <w:r>
              <w:rPr>
                <w:rFonts w:hint="eastAsia"/>
                <w:bCs/>
              </w:rPr>
              <w:t>建设性质为新建，</w:t>
            </w:r>
            <w:r>
              <w:rPr>
                <w:rFonts w:hint="eastAsia"/>
              </w:rPr>
              <w:t>项目用地面积为512</w:t>
            </w:r>
            <w:r>
              <w:t>m</w:t>
            </w:r>
            <w:r>
              <w:rPr>
                <w:vertAlign w:val="superscript"/>
              </w:rPr>
              <w:t>2</w:t>
            </w:r>
            <w:r>
              <w:rPr>
                <w:rFonts w:hint="eastAsia"/>
              </w:rPr>
              <w:t>。</w:t>
            </w:r>
            <w:r>
              <w:rPr>
                <w:rFonts w:hint="eastAsia" w:cs="Times New Roman"/>
                <w:color w:val="000000" w:themeColor="text1"/>
                <w14:textFill>
                  <w14:solidFill>
                    <w14:schemeClr w14:val="tx1"/>
                  </w14:solidFill>
                </w14:textFill>
              </w:rPr>
              <w:t>项目区北侧、西侧、东侧均为空地，南侧为</w:t>
            </w:r>
            <w:r>
              <w:rPr>
                <w:rFonts w:hint="eastAsia" w:cs="Times New Roman"/>
                <w:szCs w:val="24"/>
              </w:rPr>
              <w:t>新疆中泰亨惠医疗卫材股份有限公司</w:t>
            </w:r>
            <w:r>
              <w:t>；具体地理位置详见附图1《项目地理位置图》</w:t>
            </w:r>
            <w:r>
              <w:rPr>
                <w:rFonts w:hint="eastAsia"/>
              </w:rPr>
              <w:t>，</w:t>
            </w:r>
            <w:r>
              <w:t>项目周边环境详见附图3《项目周边关系图》</w:t>
            </w:r>
            <w:r>
              <w:rPr>
                <w:rFonts w:hint="eastAsia"/>
              </w:rPr>
              <w:t>；</w:t>
            </w:r>
          </w:p>
          <w:p>
            <w:pPr>
              <w:ind w:firstLine="480"/>
              <w:rPr>
                <w:color w:val="FF0000"/>
              </w:rPr>
            </w:pPr>
            <w:r>
              <w:t>生产规模：</w:t>
            </w:r>
            <w:r>
              <w:rPr>
                <w:rFonts w:hint="eastAsia" w:cs="Times New Roman"/>
                <w:szCs w:val="24"/>
              </w:rPr>
              <w:t>年产1000吨纸筒项目</w:t>
            </w:r>
            <w:r>
              <w:rPr>
                <w:rFonts w:hint="eastAsia"/>
              </w:rPr>
              <w:t>；</w:t>
            </w:r>
          </w:p>
          <w:p>
            <w:pPr>
              <w:ind w:firstLine="480"/>
            </w:pPr>
            <w:r>
              <w:t>生产制度：</w:t>
            </w:r>
            <w:r>
              <w:rPr>
                <w:color w:val="000000"/>
              </w:rPr>
              <w:t>本项目年工作</w:t>
            </w:r>
            <w:r>
              <w:rPr>
                <w:rFonts w:hint="eastAsia"/>
                <w:color w:val="000000"/>
                <w:lang w:val="en-US" w:eastAsia="zh-CN"/>
              </w:rPr>
              <w:t>272</w:t>
            </w:r>
            <w:r>
              <w:rPr>
                <w:color w:val="000000"/>
              </w:rPr>
              <w:t>天</w:t>
            </w:r>
            <w:r>
              <w:rPr>
                <w:rFonts w:hint="eastAsia"/>
                <w:color w:val="000000"/>
              </w:rPr>
              <w:t>，每天</w:t>
            </w:r>
            <w:r>
              <w:rPr>
                <w:color w:val="000000"/>
              </w:rPr>
              <w:t>8</w:t>
            </w:r>
            <w:r>
              <w:rPr>
                <w:rFonts w:hint="eastAsia"/>
                <w:color w:val="000000"/>
              </w:rPr>
              <w:t>小时工作制</w:t>
            </w:r>
            <w:r>
              <w:rPr>
                <w:color w:val="000000" w:themeColor="text1"/>
                <w14:textFill>
                  <w14:solidFill>
                    <w14:schemeClr w14:val="tx1"/>
                  </w14:solidFill>
                </w14:textFill>
              </w:rPr>
              <w:t>。</w:t>
            </w:r>
          </w:p>
          <w:p>
            <w:pPr>
              <w:ind w:firstLine="0" w:firstLineChars="0"/>
              <w:rPr>
                <w:rFonts w:cs="Times New Roman"/>
                <w:b/>
                <w:bCs/>
                <w:szCs w:val="24"/>
              </w:rPr>
            </w:pPr>
            <w:r>
              <w:rPr>
                <w:rFonts w:cs="Times New Roman"/>
                <w:b/>
                <w:bCs/>
                <w:szCs w:val="24"/>
              </w:rPr>
              <w:t>2.3建设内容</w:t>
            </w:r>
          </w:p>
          <w:p>
            <w:pPr>
              <w:ind w:firstLine="482"/>
              <w:rPr>
                <w:b/>
                <w:bCs/>
              </w:rPr>
            </w:pPr>
            <w:r>
              <w:rPr>
                <w:rFonts w:hint="eastAsia"/>
                <w:b/>
                <w:bCs/>
              </w:rPr>
              <w:t>（1）建设规模</w:t>
            </w:r>
          </w:p>
          <w:p>
            <w:pPr>
              <w:ind w:firstLine="480"/>
              <w:rPr>
                <w:rFonts w:cs="Times New Roman"/>
                <w:highlight w:val="yellow"/>
              </w:rPr>
            </w:pPr>
            <w:r>
              <w:rPr>
                <w:rFonts w:hint="eastAsia" w:cs="Times New Roman"/>
                <w:color w:val="000000" w:themeColor="text1"/>
                <w:szCs w:val="24"/>
                <w14:textFill>
                  <w14:solidFill>
                    <w14:schemeClr w14:val="tx1"/>
                  </w14:solidFill>
                </w14:textFill>
              </w:rPr>
              <w:t>本项目位于</w:t>
            </w:r>
            <w:r>
              <w:rPr>
                <w:rFonts w:hint="eastAsia" w:cs="Times New Roman"/>
                <w:szCs w:val="24"/>
              </w:rPr>
              <w:t>库尔勒经济技术开发区</w:t>
            </w:r>
            <w:r>
              <w:rPr>
                <w:rFonts w:hint="eastAsia"/>
              </w:rPr>
              <w:t>纵三路东侧横四路北侧</w:t>
            </w:r>
            <w:r>
              <w:rPr>
                <w:rFonts w:hint="eastAsia" w:cs="Times New Roman"/>
              </w:rPr>
              <w:t>，</w:t>
            </w:r>
            <w:r>
              <w:rPr>
                <w:rFonts w:hint="eastAsia" w:cs="Times New Roman"/>
                <w:szCs w:val="24"/>
              </w:rPr>
              <w:t>租用巴州鑫达资产管理有限公司的闲置厂房进行生产，</w:t>
            </w:r>
            <w:r>
              <w:rPr>
                <w:rFonts w:hint="eastAsia"/>
              </w:rPr>
              <w:t>项目用地面积为512</w:t>
            </w:r>
            <w:r>
              <w:t>m</w:t>
            </w:r>
            <w:r>
              <w:rPr>
                <w:vertAlign w:val="superscript"/>
              </w:rPr>
              <w:t>2</w:t>
            </w:r>
            <w:r>
              <w:rPr>
                <w:rFonts w:hint="eastAsia"/>
              </w:rPr>
              <w:t>，</w:t>
            </w:r>
            <w:r>
              <w:rPr>
                <w:rFonts w:hint="eastAsia" w:cs="Times New Roman"/>
                <w:szCs w:val="24"/>
              </w:rPr>
              <w:t>建设1条纸筒生产线，建成后形成年产1000吨纸筒规模</w:t>
            </w:r>
            <w:r>
              <w:rPr>
                <w:rFonts w:hint="eastAsia" w:cs="Times New Roman"/>
              </w:rPr>
              <w:t>。</w:t>
            </w:r>
            <w:r>
              <w:rPr>
                <w:rFonts w:cs="Times New Roman"/>
                <w:bCs/>
                <w:szCs w:val="24"/>
              </w:rPr>
              <w:t>项目建设内容包括主体工程（</w:t>
            </w:r>
            <w:r>
              <w:rPr>
                <w:rFonts w:hint="eastAsia" w:cs="Times New Roman"/>
                <w:bCs/>
                <w:szCs w:val="24"/>
              </w:rPr>
              <w:t>生产车间</w:t>
            </w:r>
            <w:r>
              <w:rPr>
                <w:rFonts w:cs="Times New Roman"/>
                <w:bCs/>
                <w:szCs w:val="24"/>
              </w:rPr>
              <w:t>），储运工程（</w:t>
            </w:r>
            <w:r>
              <w:rPr>
                <w:rFonts w:hint="eastAsia" w:cs="Times New Roman"/>
                <w:bCs/>
                <w:szCs w:val="24"/>
              </w:rPr>
              <w:t>成品堆场</w:t>
            </w:r>
            <w:r>
              <w:rPr>
                <w:rFonts w:cs="Times New Roman"/>
                <w:bCs/>
                <w:szCs w:val="24"/>
              </w:rPr>
              <w:t>），公用工程（</w:t>
            </w:r>
            <w:r>
              <w:rPr>
                <w:rFonts w:hint="eastAsia" w:cs="Times New Roman"/>
                <w:bCs/>
                <w:szCs w:val="24"/>
                <w:lang w:val="en-US" w:eastAsia="zh-CN"/>
              </w:rPr>
              <w:t>供水、</w:t>
            </w:r>
            <w:r>
              <w:rPr>
                <w:rFonts w:cs="Times New Roman"/>
                <w:bCs/>
                <w:szCs w:val="24"/>
              </w:rPr>
              <w:t>供电、供暖</w:t>
            </w:r>
            <w:r>
              <w:rPr>
                <w:rFonts w:hint="eastAsia" w:cs="Times New Roman"/>
                <w:bCs/>
                <w:szCs w:val="24"/>
              </w:rPr>
              <w:t>、消防</w:t>
            </w:r>
            <w:r>
              <w:rPr>
                <w:rFonts w:cs="Times New Roman"/>
                <w:bCs/>
                <w:szCs w:val="24"/>
              </w:rPr>
              <w:t>等）和环保工程（废气、</w:t>
            </w:r>
            <w:r>
              <w:rPr>
                <w:rFonts w:hint="eastAsia" w:cs="Times New Roman"/>
                <w:bCs/>
                <w:szCs w:val="24"/>
              </w:rPr>
              <w:t>噪声及固体废物治理设施</w:t>
            </w:r>
            <w:r>
              <w:rPr>
                <w:rFonts w:cs="Times New Roman"/>
                <w:bCs/>
                <w:szCs w:val="24"/>
              </w:rPr>
              <w:t>等</w:t>
            </w:r>
            <w:r>
              <w:rPr>
                <w:rFonts w:hint="eastAsia" w:cs="Times New Roman"/>
                <w:bCs/>
                <w:szCs w:val="24"/>
              </w:rPr>
              <w:t>）。具体见项目组成情况一览表2-1。</w:t>
            </w:r>
          </w:p>
          <w:p>
            <w:pPr>
              <w:keepNext/>
              <w:adjustRightInd w:val="0"/>
              <w:snapToGrid w:val="0"/>
              <w:spacing w:before="163" w:beforeLines="50" w:line="240" w:lineRule="auto"/>
              <w:ind w:firstLine="422"/>
              <w:jc w:val="center"/>
              <w:rPr>
                <w:rFonts w:cs="Times New Roman"/>
                <w:b/>
                <w:sz w:val="21"/>
              </w:rPr>
            </w:pPr>
            <w:r>
              <w:rPr>
                <w:rFonts w:hint="eastAsia" w:cs="Times New Roman"/>
                <w:b/>
                <w:sz w:val="21"/>
              </w:rPr>
              <w:t>表2</w:t>
            </w:r>
            <w:r>
              <w:rPr>
                <w:rFonts w:cs="Times New Roman"/>
                <w:b/>
                <w:sz w:val="21"/>
              </w:rPr>
              <w:t>-</w:t>
            </w:r>
            <w:r>
              <w:rPr>
                <w:rFonts w:hint="eastAsia" w:cs="Times New Roman"/>
                <w:b/>
                <w:sz w:val="21"/>
              </w:rPr>
              <w:t>1</w:t>
            </w:r>
            <w:r>
              <w:rPr>
                <w:rFonts w:cs="Times New Roman"/>
                <w:b/>
                <w:sz w:val="21"/>
              </w:rPr>
              <w:t xml:space="preserve">  </w:t>
            </w:r>
            <w:r>
              <w:rPr>
                <w:rFonts w:hint="eastAsia" w:cs="Times New Roman"/>
                <w:b/>
                <w:sz w:val="21"/>
              </w:rPr>
              <w:t>项目组成情况一览表</w:t>
            </w:r>
          </w:p>
          <w:tbl>
            <w:tblPr>
              <w:tblStyle w:val="29"/>
              <w:tblW w:w="85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61"/>
              <w:gridCol w:w="1398"/>
              <w:gridCol w:w="4867"/>
              <w:gridCol w:w="1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61"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bookmarkStart w:id="5" w:name="_Hlk97569549"/>
                  <w:r>
                    <w:rPr>
                      <w:rFonts w:cs="Times New Roman"/>
                      <w:color w:val="000000"/>
                      <w:sz w:val="21"/>
                      <w:szCs w:val="21"/>
                    </w:rPr>
                    <w:t>类别</w:t>
                  </w: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项目名称</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建设内容</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61"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主体工程</w:t>
                  </w: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生产</w:t>
                  </w:r>
                  <w:r>
                    <w:rPr>
                      <w:rFonts w:hint="eastAsia" w:cs="Times New Roman"/>
                      <w:color w:val="000000"/>
                      <w:sz w:val="21"/>
                      <w:szCs w:val="21"/>
                    </w:rPr>
                    <w:t>车间</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生产车间在现有厂房内安装设备，建筑面积512m²，包含</w:t>
                  </w:r>
                  <w:r>
                    <w:rPr>
                      <w:rFonts w:hint="eastAsia" w:cs="Times New Roman"/>
                      <w:color w:val="000000"/>
                      <w:sz w:val="21"/>
                      <w:szCs w:val="21"/>
                      <w:lang w:val="en-US" w:eastAsia="zh-CN"/>
                    </w:rPr>
                    <w:t>全自动分卷</w:t>
                  </w:r>
                  <w:r>
                    <w:rPr>
                      <w:rFonts w:hint="eastAsia" w:cs="Times New Roman"/>
                      <w:color w:val="000000"/>
                      <w:sz w:val="21"/>
                      <w:szCs w:val="21"/>
                    </w:rPr>
                    <w:t>机、数控纸管机、精切机、</w:t>
                  </w:r>
                  <w:r>
                    <w:rPr>
                      <w:rFonts w:hint="eastAsia" w:cs="Times New Roman"/>
                      <w:color w:val="000000"/>
                      <w:sz w:val="21"/>
                      <w:szCs w:val="21"/>
                      <w:lang w:val="en-US" w:eastAsia="zh-CN"/>
                    </w:rPr>
                    <w:t>全自动</w:t>
                  </w:r>
                  <w:r>
                    <w:rPr>
                      <w:rFonts w:hint="eastAsia" w:cs="Times New Roman"/>
                      <w:color w:val="000000"/>
                      <w:sz w:val="21"/>
                      <w:szCs w:val="21"/>
                    </w:rPr>
                    <w:t>磨头机</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kern w:val="0"/>
                      <w:sz w:val="21"/>
                      <w:szCs w:val="21"/>
                    </w:rPr>
                    <w:t>利用现有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61" w:type="dxa"/>
                  <w:vMerge w:val="restart"/>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储运工程</w:t>
                  </w: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原料堆场</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kern w:val="0"/>
                      <w:sz w:val="21"/>
                      <w:szCs w:val="21"/>
                    </w:rPr>
                  </w:pPr>
                  <w:r>
                    <w:rPr>
                      <w:rFonts w:hint="eastAsia" w:cs="Times New Roman"/>
                      <w:color w:val="000000"/>
                      <w:kern w:val="0"/>
                      <w:sz w:val="21"/>
                      <w:szCs w:val="21"/>
                    </w:rPr>
                    <w:t>位于生产厂房内北侧，用于原料暂存</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kern w:val="0"/>
                      <w:sz w:val="21"/>
                      <w:szCs w:val="21"/>
                    </w:rPr>
                  </w:pPr>
                  <w:r>
                    <w:rPr>
                      <w:rFonts w:hint="eastAsia" w:cs="Times New Roman"/>
                      <w:color w:val="000000"/>
                      <w:kern w:val="0"/>
                      <w:sz w:val="21"/>
                      <w:szCs w:val="21"/>
                    </w:rPr>
                    <w:t>利用现有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61"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成品堆场</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kern w:val="0"/>
                      <w:sz w:val="21"/>
                      <w:szCs w:val="21"/>
                    </w:rPr>
                  </w:pPr>
                  <w:r>
                    <w:rPr>
                      <w:rFonts w:hint="eastAsia" w:cs="Times New Roman"/>
                      <w:color w:val="000000"/>
                      <w:kern w:val="0"/>
                      <w:sz w:val="21"/>
                      <w:szCs w:val="21"/>
                    </w:rPr>
                    <w:t>位于生产厂房内南侧，用于成品暂存</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kern w:val="0"/>
                      <w:sz w:val="21"/>
                      <w:szCs w:val="21"/>
                    </w:rPr>
                  </w:pPr>
                  <w:r>
                    <w:rPr>
                      <w:rFonts w:hint="eastAsia" w:cs="Times New Roman"/>
                      <w:color w:val="000000"/>
                      <w:kern w:val="0"/>
                      <w:sz w:val="21"/>
                      <w:szCs w:val="21"/>
                    </w:rPr>
                    <w:t>利用现有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161" w:type="dxa"/>
                  <w:vMerge w:val="restart"/>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公用工程</w:t>
                  </w: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供电</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市政供电</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kern w:val="0"/>
                      <w:sz w:val="21"/>
                      <w:szCs w:val="21"/>
                    </w:rPr>
                    <w:t>利用现有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61"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供水</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依托巴州鑫达资产管理有限公司厂房原有盥洗室，位于本项目</w:t>
                  </w:r>
                  <w:r>
                    <w:rPr>
                      <w:rFonts w:hint="eastAsia" w:cs="Times New Roman"/>
                      <w:color w:val="000000"/>
                      <w:sz w:val="21"/>
                      <w:szCs w:val="21"/>
                      <w:lang w:val="en-US" w:eastAsia="zh-CN"/>
                    </w:rPr>
                    <w:t>厂房内</w:t>
                  </w:r>
                  <w:r>
                    <w:rPr>
                      <w:rFonts w:hint="eastAsia" w:cs="Times New Roman"/>
                      <w:color w:val="000000"/>
                      <w:sz w:val="21"/>
                      <w:szCs w:val="21"/>
                    </w:rPr>
                    <w:t>西侧区域</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kern w:val="0"/>
                      <w:sz w:val="21"/>
                      <w:szCs w:val="21"/>
                    </w:rPr>
                    <w:t>利用现有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161"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排水</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项目无废水外排</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161"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供热</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lang w:val="en-US" w:eastAsia="zh-CN"/>
                    </w:rPr>
                    <w:t>项目</w:t>
                  </w:r>
                  <w:r>
                    <w:rPr>
                      <w:rFonts w:cs="Times New Roman"/>
                      <w:color w:val="000000"/>
                      <w:sz w:val="21"/>
                      <w:szCs w:val="21"/>
                    </w:rPr>
                    <w:t>采用电取暖</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161"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消防</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依托巴州鑫达资产管理有限公司厂房的消防设施</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kern w:val="0"/>
                      <w:sz w:val="21"/>
                      <w:szCs w:val="21"/>
                    </w:rPr>
                    <w:t>利用现有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61" w:type="dxa"/>
                  <w:vMerge w:val="restart"/>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环保工程</w:t>
                  </w: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废气治理</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lang w:val="en-US" w:eastAsia="zh-CN"/>
                    </w:rPr>
                    <w:t>在密闭车间内生产，切割工序产生少量纸屑粉尘，主要污染因子为颗粒物，沉降在设备附近，少量通过车间通排风系统无组织排放到厂界外。定时</w:t>
                  </w:r>
                  <w:r>
                    <w:rPr>
                      <w:rFonts w:hint="eastAsia" w:cs="Times New Roman"/>
                      <w:color w:val="000000"/>
                      <w:sz w:val="21"/>
                      <w:szCs w:val="21"/>
                    </w:rPr>
                    <w:t>通风处理</w:t>
                  </w:r>
                  <w:r>
                    <w:rPr>
                      <w:rFonts w:hint="eastAsia" w:cs="Times New Roman"/>
                      <w:color w:val="000000"/>
                      <w:sz w:val="21"/>
                      <w:szCs w:val="21"/>
                      <w:lang w:eastAsia="zh-CN"/>
                    </w:rPr>
                    <w:t>，</w:t>
                  </w:r>
                  <w:r>
                    <w:rPr>
                      <w:rFonts w:hint="eastAsia" w:cs="Times New Roman"/>
                      <w:color w:val="000000"/>
                      <w:sz w:val="21"/>
                      <w:szCs w:val="21"/>
                    </w:rPr>
                    <w:t>加强管理</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61"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139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噪声治理</w:t>
                  </w: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选用低噪设备，隔声、基础减振等措施</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61"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1398" w:type="dxa"/>
                  <w:vMerge w:val="restart"/>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cs="Times New Roman"/>
                      <w:color w:val="000000"/>
                      <w:sz w:val="21"/>
                      <w:szCs w:val="21"/>
                    </w:rPr>
                    <w:t>固体废物治理</w:t>
                  </w:r>
                </w:p>
              </w:tc>
              <w:tc>
                <w:tcPr>
                  <w:tcW w:w="4867" w:type="dxa"/>
                  <w:vAlign w:val="center"/>
                </w:tcPr>
                <w:p>
                  <w:pPr>
                    <w:adjustRightInd w:val="0"/>
                    <w:snapToGrid w:val="0"/>
                    <w:spacing w:line="240" w:lineRule="auto"/>
                    <w:ind w:firstLine="0" w:firstLineChars="0"/>
                    <w:contextualSpacing/>
                    <w:jc w:val="center"/>
                    <w:textAlignment w:val="auto"/>
                    <w:rPr>
                      <w:rFonts w:cs="Times New Roman"/>
                      <w:sz w:val="21"/>
                      <w:szCs w:val="21"/>
                    </w:rPr>
                  </w:pPr>
                  <w:r>
                    <w:rPr>
                      <w:rFonts w:hint="eastAsia"/>
                      <w:sz w:val="21"/>
                      <w:szCs w:val="21"/>
                    </w:rPr>
                    <w:t>废纸、边角料</w:t>
                  </w:r>
                  <w:r>
                    <w:rPr>
                      <w:rFonts w:hint="eastAsia" w:cs="Times New Roman"/>
                      <w:sz w:val="21"/>
                      <w:szCs w:val="21"/>
                    </w:rPr>
                    <w:t>集中收集，定期外售</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61"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1398"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生活垃圾依托巴州鑫达资产管理有限公司厂区统一集中收集后，交由环卫部门清运处理</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kern w:val="0"/>
                      <w:sz w:val="21"/>
                      <w:szCs w:val="21"/>
                    </w:rPr>
                    <w:t>利用现有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61"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1398" w:type="dxa"/>
                  <w:vMerge w:val="continue"/>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p>
              </w:tc>
              <w:tc>
                <w:tcPr>
                  <w:tcW w:w="4867"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废机油存放于桶中暂存于项目区南侧新疆中泰亨惠医疗卫材股份有限公司内</w:t>
                  </w:r>
                  <w:r>
                    <w:rPr>
                      <w:rFonts w:hint="default" w:cs="Times New Roman"/>
                      <w:color w:val="000000"/>
                      <w:sz w:val="21"/>
                      <w:szCs w:val="21"/>
                      <w:lang w:eastAsia="zh-CN"/>
                    </w:rPr>
                    <w:t>危险废物贮存点</w:t>
                  </w:r>
                  <w:r>
                    <w:rPr>
                      <w:rFonts w:hint="eastAsia" w:cs="Times New Roman"/>
                      <w:color w:val="000000"/>
                      <w:sz w:val="21"/>
                      <w:szCs w:val="21"/>
                    </w:rPr>
                    <w:t>，定期交由有资质单位处置</w:t>
                  </w:r>
                </w:p>
              </w:tc>
              <w:tc>
                <w:tcPr>
                  <w:tcW w:w="1158" w:type="dxa"/>
                  <w:vAlign w:val="center"/>
                </w:tcPr>
                <w:p>
                  <w:pPr>
                    <w:adjustRightInd w:val="0"/>
                    <w:snapToGrid w:val="0"/>
                    <w:spacing w:line="240" w:lineRule="auto"/>
                    <w:ind w:firstLine="0" w:firstLineChars="0"/>
                    <w:contextualSpacing/>
                    <w:jc w:val="center"/>
                    <w:textAlignment w:val="auto"/>
                    <w:rPr>
                      <w:rFonts w:cs="Times New Roman"/>
                      <w:color w:val="000000"/>
                      <w:sz w:val="21"/>
                      <w:szCs w:val="21"/>
                    </w:rPr>
                  </w:pPr>
                  <w:r>
                    <w:rPr>
                      <w:rFonts w:hint="eastAsia" w:cs="Times New Roman"/>
                      <w:color w:val="000000"/>
                      <w:sz w:val="21"/>
                      <w:szCs w:val="21"/>
                    </w:rPr>
                    <w:t>依托</w:t>
                  </w:r>
                </w:p>
              </w:tc>
            </w:tr>
            <w:bookmarkEnd w:id="4"/>
            <w:bookmarkEnd w:id="5"/>
          </w:tbl>
          <w:p>
            <w:pPr>
              <w:ind w:firstLine="482"/>
              <w:rPr>
                <w:b/>
              </w:rPr>
            </w:pPr>
            <w:r>
              <w:rPr>
                <w:rFonts w:hint="eastAsia"/>
                <w:b/>
              </w:rPr>
              <w:t>（2）产品方案</w:t>
            </w:r>
          </w:p>
          <w:p>
            <w:pPr>
              <w:ind w:firstLine="480"/>
              <w:rPr>
                <w:rFonts w:hint="eastAsia"/>
              </w:rPr>
            </w:pPr>
            <w:r>
              <w:rPr>
                <w:rFonts w:hint="eastAsia"/>
                <w:bCs/>
              </w:rPr>
              <w:t>本项目产品及生产规模详见下表</w:t>
            </w:r>
            <w:r>
              <w:rPr>
                <w:rFonts w:hint="eastAsia" w:cs="Times New Roman"/>
                <w:bCs/>
                <w:szCs w:val="24"/>
              </w:rPr>
              <w:t>2</w:t>
            </w:r>
            <w:r>
              <w:rPr>
                <w:rFonts w:cs="Times New Roman"/>
                <w:bCs/>
                <w:szCs w:val="24"/>
              </w:rPr>
              <w:t>-2。</w:t>
            </w:r>
          </w:p>
          <w:p>
            <w:pPr>
              <w:pStyle w:val="43"/>
            </w:pPr>
            <w:r>
              <w:rPr>
                <w:rFonts w:hint="eastAsia"/>
              </w:rPr>
              <w:t>表2</w:t>
            </w:r>
            <w:r>
              <w:t xml:space="preserve">-2  </w:t>
            </w:r>
            <w:r>
              <w:rPr>
                <w:rFonts w:hint="eastAsia"/>
              </w:rPr>
              <w:t>产品方案一览表</w:t>
            </w:r>
          </w:p>
          <w:tbl>
            <w:tblPr>
              <w:tblStyle w:val="30"/>
              <w:tblW w:w="85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4"/>
              <w:gridCol w:w="1268"/>
              <w:gridCol w:w="1391"/>
              <w:gridCol w:w="1677"/>
              <w:gridCol w:w="3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4" w:type="dxa"/>
                  <w:vAlign w:val="center"/>
                </w:tcPr>
                <w:p>
                  <w:pPr>
                    <w:pStyle w:val="38"/>
                  </w:pPr>
                  <w:r>
                    <w:rPr>
                      <w:rFonts w:hint="eastAsia"/>
                    </w:rPr>
                    <w:t>序号</w:t>
                  </w:r>
                </w:p>
              </w:tc>
              <w:tc>
                <w:tcPr>
                  <w:tcW w:w="1268" w:type="dxa"/>
                  <w:vAlign w:val="center"/>
                </w:tcPr>
                <w:p>
                  <w:pPr>
                    <w:pStyle w:val="38"/>
                  </w:pPr>
                  <w:r>
                    <w:rPr>
                      <w:rFonts w:hint="eastAsia"/>
                    </w:rPr>
                    <w:t>产品名称</w:t>
                  </w:r>
                </w:p>
              </w:tc>
              <w:tc>
                <w:tcPr>
                  <w:tcW w:w="1391" w:type="dxa"/>
                  <w:vAlign w:val="center"/>
                </w:tcPr>
                <w:p>
                  <w:pPr>
                    <w:pStyle w:val="38"/>
                  </w:pPr>
                  <w:r>
                    <w:rPr>
                      <w:rFonts w:hint="eastAsia"/>
                    </w:rPr>
                    <w:t>产品产量</w:t>
                  </w:r>
                </w:p>
              </w:tc>
              <w:tc>
                <w:tcPr>
                  <w:tcW w:w="1677" w:type="dxa"/>
                  <w:vAlign w:val="center"/>
                </w:tcPr>
                <w:p>
                  <w:pPr>
                    <w:pStyle w:val="38"/>
                  </w:pPr>
                  <w:r>
                    <w:rPr>
                      <w:rFonts w:hint="eastAsia"/>
                    </w:rPr>
                    <w:t>单位</w:t>
                  </w:r>
                </w:p>
              </w:tc>
              <w:tc>
                <w:tcPr>
                  <w:tcW w:w="3141" w:type="dxa"/>
                  <w:vAlign w:val="center"/>
                </w:tcPr>
                <w:p>
                  <w:pPr>
                    <w:pStyle w:val="38"/>
                    <w:rPr>
                      <w:rFonts w:hint="eastAsia" w:eastAsia="宋体"/>
                      <w:lang w:val="en-US" w:eastAsia="zh-CN"/>
                    </w:rPr>
                  </w:pPr>
                  <w:r>
                    <w:rPr>
                      <w:rFonts w:hint="eastAsia"/>
                      <w:lang w:val="en-US" w:eastAsia="zh-CN"/>
                    </w:rPr>
                    <w:t>换算说明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4" w:type="dxa"/>
                  <w:vAlign w:val="center"/>
                </w:tcPr>
                <w:p>
                  <w:pPr>
                    <w:pStyle w:val="38"/>
                  </w:pPr>
                  <w:r>
                    <w:rPr>
                      <w:rFonts w:hint="eastAsia"/>
                    </w:rPr>
                    <w:t>1</w:t>
                  </w:r>
                </w:p>
              </w:tc>
              <w:tc>
                <w:tcPr>
                  <w:tcW w:w="1268" w:type="dxa"/>
                  <w:vAlign w:val="center"/>
                </w:tcPr>
                <w:p>
                  <w:pPr>
                    <w:pStyle w:val="38"/>
                    <w:rPr>
                      <w:rFonts w:hint="eastAsia" w:eastAsia="宋体"/>
                      <w:lang w:eastAsia="zh-CN"/>
                    </w:rPr>
                  </w:pPr>
                  <w:r>
                    <w:rPr>
                      <w:rFonts w:hint="eastAsia"/>
                    </w:rPr>
                    <w:t>纸</w:t>
                  </w:r>
                  <w:r>
                    <w:rPr>
                      <w:rFonts w:hint="eastAsia"/>
                      <w:lang w:val="en-US" w:eastAsia="zh-CN"/>
                    </w:rPr>
                    <w:t>筒</w:t>
                  </w:r>
                </w:p>
              </w:tc>
              <w:tc>
                <w:tcPr>
                  <w:tcW w:w="1391" w:type="dxa"/>
                  <w:vAlign w:val="center"/>
                </w:tcPr>
                <w:p>
                  <w:pPr>
                    <w:pStyle w:val="38"/>
                    <w:rPr>
                      <w:rFonts w:hint="default" w:eastAsia="宋体"/>
                      <w:lang w:val="en-US" w:eastAsia="zh-CN"/>
                    </w:rPr>
                  </w:pPr>
                  <w:r>
                    <w:rPr>
                      <w:rFonts w:hint="eastAsia"/>
                      <w:lang w:val="en-US" w:eastAsia="zh-CN"/>
                    </w:rPr>
                    <w:t>3064</w:t>
                  </w:r>
                </w:p>
              </w:tc>
              <w:tc>
                <w:tcPr>
                  <w:tcW w:w="1677" w:type="dxa"/>
                  <w:vAlign w:val="center"/>
                </w:tcPr>
                <w:p>
                  <w:pPr>
                    <w:pStyle w:val="38"/>
                  </w:pPr>
                  <w:r>
                    <w:rPr>
                      <w:rFonts w:hint="eastAsia"/>
                      <w:lang w:val="en-US" w:eastAsia="zh-CN"/>
                    </w:rPr>
                    <w:t>米</w:t>
                  </w:r>
                  <w:r>
                    <w:rPr>
                      <w:rFonts w:hint="eastAsia"/>
                    </w:rPr>
                    <w:t>/天</w:t>
                  </w:r>
                </w:p>
              </w:tc>
              <w:tc>
                <w:tcPr>
                  <w:tcW w:w="3141" w:type="dxa"/>
                  <w:vAlign w:val="center"/>
                </w:tcPr>
                <w:p>
                  <w:pPr>
                    <w:pStyle w:val="38"/>
                    <w:rPr>
                      <w:rFonts w:hint="default"/>
                      <w:lang w:val="en-US" w:eastAsia="zh-CN"/>
                    </w:rPr>
                  </w:pPr>
                  <w:r>
                    <w:rPr>
                      <w:rFonts w:hint="eastAsia"/>
                      <w:sz w:val="21"/>
                      <w:szCs w:val="21"/>
                      <w:lang w:val="en-US" w:eastAsia="zh-CN"/>
                    </w:rPr>
                    <w:t>纸筒平均重量1.2kg/m，日产量重量=3063</w:t>
                  </w:r>
                  <w:r>
                    <w:rPr>
                      <w:rFonts w:hint="default" w:ascii="Arial" w:hAnsi="Arial" w:cs="Arial"/>
                      <w:sz w:val="21"/>
                      <w:szCs w:val="21"/>
                      <w:lang w:val="en-US" w:eastAsia="zh-CN"/>
                    </w:rPr>
                    <w:t>×</w:t>
                  </w:r>
                  <w:r>
                    <w:rPr>
                      <w:rFonts w:hint="eastAsia"/>
                      <w:sz w:val="21"/>
                      <w:szCs w:val="21"/>
                      <w:lang w:val="en-US" w:eastAsia="zh-CN"/>
                    </w:rPr>
                    <w:t>1.2=3676kg/天</w:t>
                  </w:r>
                </w:p>
              </w:tc>
            </w:tr>
          </w:tbl>
          <w:p>
            <w:pPr>
              <w:ind w:firstLine="48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（3）主要设备</w:t>
            </w:r>
          </w:p>
          <w:p>
            <w:pPr>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项目主要生产设备见下表：</w:t>
            </w:r>
          </w:p>
          <w:p>
            <w:pPr>
              <w:spacing w:before="163" w:beforeLines="50" w:line="240" w:lineRule="auto"/>
              <w:ind w:firstLine="0" w:firstLineChars="0"/>
              <w:jc w:val="center"/>
              <w:rPr>
                <w:rFonts w:hint="eastAsia"/>
                <w:b/>
                <w:color w:val="000000"/>
                <w:sz w:val="21"/>
              </w:rPr>
            </w:pPr>
            <w:r>
              <w:rPr>
                <w:rFonts w:hint="eastAsia"/>
                <w:b/>
                <w:color w:val="000000"/>
                <w:sz w:val="21"/>
              </w:rPr>
              <w:t>表2-3  主要生产设备</w:t>
            </w:r>
          </w:p>
          <w:tbl>
            <w:tblPr>
              <w:tblStyle w:val="29"/>
              <w:tblW w:w="85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0"/>
              <w:gridCol w:w="2593"/>
              <w:gridCol w:w="1185"/>
              <w:gridCol w:w="1341"/>
              <w:gridCol w:w="762"/>
              <w:gridCol w:w="1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 w:hRule="atLeast"/>
                <w:jc w:val="center"/>
              </w:trPr>
              <w:tc>
                <w:tcPr>
                  <w:tcW w:w="780" w:type="dxa"/>
                  <w:tcBorders>
                    <w:tl2br w:val="nil"/>
                    <w:tr2bl w:val="nil"/>
                  </w:tcBorders>
                  <w:vAlign w:val="center"/>
                </w:tcPr>
                <w:p>
                  <w:pPr>
                    <w:pStyle w:val="38"/>
                    <w:jc w:val="center"/>
                    <w:rPr>
                      <w:rFonts w:hint="eastAsia"/>
                      <w:spacing w:val="12"/>
                    </w:rPr>
                  </w:pPr>
                  <w:r>
                    <w:rPr>
                      <w:rFonts w:hint="eastAsia"/>
                      <w:spacing w:val="12"/>
                    </w:rPr>
                    <w:t>序号</w:t>
                  </w:r>
                </w:p>
              </w:tc>
              <w:tc>
                <w:tcPr>
                  <w:tcW w:w="2593" w:type="dxa"/>
                  <w:tcBorders>
                    <w:tl2br w:val="nil"/>
                    <w:tr2bl w:val="nil"/>
                  </w:tcBorders>
                  <w:vAlign w:val="center"/>
                </w:tcPr>
                <w:p>
                  <w:pPr>
                    <w:pStyle w:val="38"/>
                    <w:jc w:val="center"/>
                    <w:rPr>
                      <w:rFonts w:hint="eastAsia"/>
                      <w:spacing w:val="12"/>
                    </w:rPr>
                  </w:pPr>
                  <w:r>
                    <w:rPr>
                      <w:rFonts w:hint="eastAsia"/>
                      <w:spacing w:val="12"/>
                    </w:rPr>
                    <w:t>设备名称</w:t>
                  </w:r>
                </w:p>
              </w:tc>
              <w:tc>
                <w:tcPr>
                  <w:tcW w:w="1185" w:type="dxa"/>
                  <w:tcBorders>
                    <w:tl2br w:val="nil"/>
                    <w:tr2bl w:val="nil"/>
                  </w:tcBorders>
                  <w:vAlign w:val="center"/>
                </w:tcPr>
                <w:p>
                  <w:pPr>
                    <w:pStyle w:val="38"/>
                    <w:jc w:val="center"/>
                    <w:rPr>
                      <w:rFonts w:hint="eastAsia"/>
                      <w:spacing w:val="12"/>
                    </w:rPr>
                  </w:pPr>
                  <w:r>
                    <w:rPr>
                      <w:rFonts w:hint="eastAsia"/>
                      <w:spacing w:val="12"/>
                    </w:rPr>
                    <w:t>数量</w:t>
                  </w:r>
                </w:p>
              </w:tc>
              <w:tc>
                <w:tcPr>
                  <w:tcW w:w="1341" w:type="dxa"/>
                  <w:tcBorders>
                    <w:tl2br w:val="nil"/>
                    <w:tr2bl w:val="nil"/>
                  </w:tcBorders>
                  <w:vAlign w:val="center"/>
                </w:tcPr>
                <w:p>
                  <w:pPr>
                    <w:pStyle w:val="38"/>
                    <w:jc w:val="center"/>
                    <w:rPr>
                      <w:rFonts w:hint="eastAsia"/>
                      <w:spacing w:val="12"/>
                    </w:rPr>
                  </w:pPr>
                  <w:r>
                    <w:rPr>
                      <w:rFonts w:hint="eastAsia"/>
                      <w:spacing w:val="12"/>
                    </w:rPr>
                    <w:t>单位</w:t>
                  </w:r>
                </w:p>
              </w:tc>
              <w:tc>
                <w:tcPr>
                  <w:tcW w:w="762" w:type="dxa"/>
                  <w:tcBorders>
                    <w:tl2br w:val="nil"/>
                    <w:tr2bl w:val="nil"/>
                  </w:tcBorders>
                  <w:vAlign w:val="center"/>
                </w:tcPr>
                <w:p>
                  <w:pPr>
                    <w:pStyle w:val="38"/>
                    <w:jc w:val="center"/>
                    <w:rPr>
                      <w:rFonts w:hint="eastAsia"/>
                      <w:spacing w:val="12"/>
                      <w:lang w:val="en-US" w:eastAsia="zh-CN"/>
                    </w:rPr>
                  </w:pPr>
                  <w:r>
                    <w:rPr>
                      <w:rFonts w:hint="eastAsia"/>
                      <w:spacing w:val="12"/>
                      <w:lang w:val="en-US" w:eastAsia="zh-CN"/>
                    </w:rPr>
                    <w:t>位置</w:t>
                  </w:r>
                </w:p>
              </w:tc>
              <w:tc>
                <w:tcPr>
                  <w:tcW w:w="1920" w:type="dxa"/>
                  <w:tcBorders>
                    <w:tl2br w:val="nil"/>
                    <w:tr2bl w:val="nil"/>
                  </w:tcBorders>
                  <w:vAlign w:val="center"/>
                </w:tcPr>
                <w:p>
                  <w:pPr>
                    <w:pStyle w:val="38"/>
                    <w:jc w:val="center"/>
                    <w:rPr>
                      <w:rFonts w:hint="eastAsia"/>
                      <w:spacing w:val="12"/>
                      <w:lang w:val="en-US" w:eastAsia="zh-CN"/>
                    </w:rPr>
                  </w:pPr>
                  <w:r>
                    <w:rPr>
                      <w:rFonts w:hint="eastAsia"/>
                      <w:spacing w:val="12"/>
                      <w:lang w:val="en-US" w:eastAsia="zh-CN"/>
                    </w:rPr>
                    <w:t>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80" w:type="dxa"/>
                  <w:tcBorders>
                    <w:tl2br w:val="nil"/>
                    <w:tr2bl w:val="nil"/>
                  </w:tcBorders>
                  <w:vAlign w:val="center"/>
                </w:tcPr>
                <w:p>
                  <w:pPr>
                    <w:pStyle w:val="38"/>
                    <w:jc w:val="center"/>
                    <w:rPr>
                      <w:rFonts w:hint="eastAsia"/>
                      <w:spacing w:val="12"/>
                    </w:rPr>
                  </w:pPr>
                  <w:r>
                    <w:rPr>
                      <w:rFonts w:hint="eastAsia"/>
                      <w:spacing w:val="12"/>
                    </w:rPr>
                    <w:t>1</w:t>
                  </w:r>
                </w:p>
              </w:tc>
              <w:tc>
                <w:tcPr>
                  <w:tcW w:w="2593" w:type="dxa"/>
                  <w:tcBorders>
                    <w:tl2br w:val="nil"/>
                    <w:tr2bl w:val="nil"/>
                  </w:tcBorders>
                  <w:vAlign w:val="center"/>
                </w:tcPr>
                <w:p>
                  <w:pPr>
                    <w:pStyle w:val="38"/>
                    <w:jc w:val="center"/>
                    <w:rPr>
                      <w:rFonts w:hint="eastAsia"/>
                      <w:spacing w:val="12"/>
                    </w:rPr>
                  </w:pPr>
                  <w:r>
                    <w:rPr>
                      <w:rFonts w:hint="eastAsia"/>
                      <w:spacing w:val="12"/>
                    </w:rPr>
                    <w:t>数控纸管机</w:t>
                  </w:r>
                </w:p>
              </w:tc>
              <w:tc>
                <w:tcPr>
                  <w:tcW w:w="1185" w:type="dxa"/>
                  <w:tcBorders>
                    <w:tl2br w:val="nil"/>
                    <w:tr2bl w:val="nil"/>
                  </w:tcBorders>
                  <w:vAlign w:val="center"/>
                </w:tcPr>
                <w:p>
                  <w:pPr>
                    <w:pStyle w:val="38"/>
                    <w:jc w:val="center"/>
                    <w:rPr>
                      <w:rFonts w:hint="eastAsia"/>
                      <w:spacing w:val="12"/>
                    </w:rPr>
                  </w:pPr>
                  <w:r>
                    <w:rPr>
                      <w:rFonts w:hint="eastAsia"/>
                      <w:spacing w:val="12"/>
                    </w:rPr>
                    <w:t>1</w:t>
                  </w:r>
                </w:p>
              </w:tc>
              <w:tc>
                <w:tcPr>
                  <w:tcW w:w="1341" w:type="dxa"/>
                  <w:tcBorders>
                    <w:tl2br w:val="nil"/>
                    <w:tr2bl w:val="nil"/>
                  </w:tcBorders>
                  <w:vAlign w:val="center"/>
                </w:tcPr>
                <w:p>
                  <w:pPr>
                    <w:pStyle w:val="38"/>
                    <w:jc w:val="center"/>
                    <w:rPr>
                      <w:rFonts w:hint="eastAsia"/>
                      <w:spacing w:val="12"/>
                    </w:rPr>
                  </w:pPr>
                  <w:r>
                    <w:rPr>
                      <w:rFonts w:hint="eastAsia"/>
                      <w:spacing w:val="12"/>
                    </w:rPr>
                    <w:t>个</w:t>
                  </w:r>
                </w:p>
              </w:tc>
              <w:tc>
                <w:tcPr>
                  <w:tcW w:w="762" w:type="dxa"/>
                  <w:vMerge w:val="restart"/>
                  <w:tcBorders>
                    <w:tl2br w:val="nil"/>
                    <w:tr2bl w:val="nil"/>
                  </w:tcBorders>
                  <w:vAlign w:val="center"/>
                </w:tcPr>
                <w:p>
                  <w:pPr>
                    <w:pStyle w:val="38"/>
                    <w:jc w:val="center"/>
                    <w:rPr>
                      <w:rFonts w:hint="eastAsia"/>
                      <w:spacing w:val="12"/>
                      <w:lang w:val="en-US" w:eastAsia="zh-CN"/>
                    </w:rPr>
                  </w:pPr>
                  <w:r>
                    <w:rPr>
                      <w:rFonts w:hint="eastAsia"/>
                      <w:spacing w:val="12"/>
                      <w:lang w:val="en-US" w:eastAsia="zh-CN"/>
                    </w:rPr>
                    <w:t>生产车间</w:t>
                  </w:r>
                </w:p>
              </w:tc>
              <w:tc>
                <w:tcPr>
                  <w:tcW w:w="1920" w:type="dxa"/>
                  <w:tcBorders>
                    <w:tl2br w:val="nil"/>
                    <w:tr2bl w:val="nil"/>
                  </w:tcBorders>
                  <w:vAlign w:val="center"/>
                </w:tcPr>
                <w:p>
                  <w:pPr>
                    <w:pStyle w:val="38"/>
                    <w:jc w:val="center"/>
                    <w:rPr>
                      <w:rFonts w:hint="eastAsia"/>
                      <w:spacing w:val="12"/>
                    </w:rPr>
                  </w:pPr>
                  <w:r>
                    <w:rPr>
                      <w:rFonts w:hint="eastAsia"/>
                      <w:spacing w:val="12"/>
                      <w:lang w:val="en-US" w:eastAsia="zh-CN"/>
                    </w:rPr>
                    <w:t>过胶工序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tcBorders>
                    <w:tl2br w:val="nil"/>
                    <w:tr2bl w:val="nil"/>
                  </w:tcBorders>
                  <w:vAlign w:val="center"/>
                </w:tcPr>
                <w:p>
                  <w:pPr>
                    <w:pStyle w:val="38"/>
                    <w:jc w:val="center"/>
                    <w:rPr>
                      <w:rFonts w:hint="eastAsia"/>
                      <w:spacing w:val="12"/>
                    </w:rPr>
                  </w:pPr>
                  <w:r>
                    <w:rPr>
                      <w:rFonts w:hint="eastAsia"/>
                      <w:spacing w:val="12"/>
                    </w:rPr>
                    <w:t>2</w:t>
                  </w:r>
                </w:p>
              </w:tc>
              <w:tc>
                <w:tcPr>
                  <w:tcW w:w="2593" w:type="dxa"/>
                  <w:tcBorders>
                    <w:tl2br w:val="nil"/>
                    <w:tr2bl w:val="nil"/>
                  </w:tcBorders>
                  <w:vAlign w:val="center"/>
                </w:tcPr>
                <w:p>
                  <w:pPr>
                    <w:pStyle w:val="38"/>
                    <w:jc w:val="center"/>
                    <w:rPr>
                      <w:rFonts w:hint="eastAsia"/>
                      <w:spacing w:val="12"/>
                    </w:rPr>
                  </w:pPr>
                  <w:r>
                    <w:rPr>
                      <w:rFonts w:hint="eastAsia"/>
                      <w:spacing w:val="12"/>
                      <w:lang w:val="en-US" w:eastAsia="zh-CN"/>
                    </w:rPr>
                    <w:t>全自动复卷</w:t>
                  </w:r>
                  <w:r>
                    <w:rPr>
                      <w:rFonts w:hint="eastAsia"/>
                      <w:spacing w:val="12"/>
                    </w:rPr>
                    <w:t>机</w:t>
                  </w:r>
                </w:p>
              </w:tc>
              <w:tc>
                <w:tcPr>
                  <w:tcW w:w="1185" w:type="dxa"/>
                  <w:tcBorders>
                    <w:tl2br w:val="nil"/>
                    <w:tr2bl w:val="nil"/>
                  </w:tcBorders>
                  <w:vAlign w:val="center"/>
                </w:tcPr>
                <w:p>
                  <w:pPr>
                    <w:pStyle w:val="38"/>
                    <w:jc w:val="center"/>
                    <w:rPr>
                      <w:rFonts w:hint="eastAsia"/>
                      <w:spacing w:val="12"/>
                    </w:rPr>
                  </w:pPr>
                  <w:r>
                    <w:rPr>
                      <w:rFonts w:hint="eastAsia"/>
                      <w:spacing w:val="12"/>
                    </w:rPr>
                    <w:t>1</w:t>
                  </w:r>
                </w:p>
              </w:tc>
              <w:tc>
                <w:tcPr>
                  <w:tcW w:w="1341" w:type="dxa"/>
                  <w:tcBorders>
                    <w:tl2br w:val="nil"/>
                    <w:tr2bl w:val="nil"/>
                  </w:tcBorders>
                  <w:vAlign w:val="center"/>
                </w:tcPr>
                <w:p>
                  <w:pPr>
                    <w:pStyle w:val="38"/>
                    <w:jc w:val="center"/>
                    <w:rPr>
                      <w:rFonts w:hint="eastAsia"/>
                      <w:spacing w:val="12"/>
                    </w:rPr>
                  </w:pPr>
                  <w:r>
                    <w:rPr>
                      <w:rFonts w:hint="eastAsia"/>
                      <w:spacing w:val="12"/>
                    </w:rPr>
                    <w:t>个</w:t>
                  </w:r>
                </w:p>
              </w:tc>
              <w:tc>
                <w:tcPr>
                  <w:tcW w:w="762" w:type="dxa"/>
                  <w:vMerge w:val="continue"/>
                  <w:tcBorders>
                    <w:tl2br w:val="nil"/>
                    <w:tr2bl w:val="nil"/>
                  </w:tcBorders>
                  <w:vAlign w:val="center"/>
                </w:tcPr>
                <w:p>
                  <w:pPr>
                    <w:pStyle w:val="38"/>
                    <w:jc w:val="center"/>
                    <w:rPr>
                      <w:rFonts w:hint="eastAsia"/>
                      <w:spacing w:val="12"/>
                    </w:rPr>
                  </w:pPr>
                </w:p>
              </w:tc>
              <w:tc>
                <w:tcPr>
                  <w:tcW w:w="1920" w:type="dxa"/>
                  <w:tcBorders>
                    <w:tl2br w:val="nil"/>
                    <w:tr2bl w:val="nil"/>
                  </w:tcBorders>
                  <w:vAlign w:val="center"/>
                </w:tcPr>
                <w:p>
                  <w:pPr>
                    <w:pStyle w:val="38"/>
                    <w:jc w:val="center"/>
                    <w:rPr>
                      <w:rFonts w:hint="eastAsia"/>
                      <w:spacing w:val="12"/>
                      <w:lang w:val="en-US" w:eastAsia="zh-CN"/>
                    </w:rPr>
                  </w:pPr>
                  <w:r>
                    <w:rPr>
                      <w:rFonts w:hint="eastAsia"/>
                      <w:spacing w:val="12"/>
                      <w:lang w:val="en-US" w:eastAsia="zh-CN"/>
                    </w:rPr>
                    <w:t>复卷工序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tcBorders>
                    <w:tl2br w:val="nil"/>
                    <w:tr2bl w:val="nil"/>
                  </w:tcBorders>
                  <w:vAlign w:val="center"/>
                </w:tcPr>
                <w:p>
                  <w:pPr>
                    <w:pStyle w:val="38"/>
                    <w:jc w:val="center"/>
                    <w:rPr>
                      <w:rFonts w:hint="eastAsia"/>
                      <w:spacing w:val="12"/>
                    </w:rPr>
                  </w:pPr>
                  <w:r>
                    <w:rPr>
                      <w:rFonts w:hint="eastAsia"/>
                      <w:spacing w:val="12"/>
                    </w:rPr>
                    <w:t>3</w:t>
                  </w:r>
                </w:p>
              </w:tc>
              <w:tc>
                <w:tcPr>
                  <w:tcW w:w="2593" w:type="dxa"/>
                  <w:tcBorders>
                    <w:tl2br w:val="nil"/>
                    <w:tr2bl w:val="nil"/>
                  </w:tcBorders>
                  <w:vAlign w:val="center"/>
                </w:tcPr>
                <w:p>
                  <w:pPr>
                    <w:pStyle w:val="38"/>
                    <w:jc w:val="center"/>
                    <w:rPr>
                      <w:rFonts w:hint="eastAsia"/>
                      <w:spacing w:val="12"/>
                    </w:rPr>
                  </w:pPr>
                  <w:r>
                    <w:rPr>
                      <w:rFonts w:hint="eastAsia"/>
                      <w:spacing w:val="12"/>
                    </w:rPr>
                    <w:t>精切机</w:t>
                  </w:r>
                </w:p>
              </w:tc>
              <w:tc>
                <w:tcPr>
                  <w:tcW w:w="1185" w:type="dxa"/>
                  <w:tcBorders>
                    <w:tl2br w:val="nil"/>
                    <w:tr2bl w:val="nil"/>
                  </w:tcBorders>
                  <w:vAlign w:val="center"/>
                </w:tcPr>
                <w:p>
                  <w:pPr>
                    <w:pStyle w:val="38"/>
                    <w:jc w:val="center"/>
                    <w:rPr>
                      <w:rFonts w:hint="eastAsia"/>
                      <w:spacing w:val="12"/>
                    </w:rPr>
                  </w:pPr>
                  <w:r>
                    <w:rPr>
                      <w:rFonts w:hint="eastAsia"/>
                      <w:spacing w:val="12"/>
                    </w:rPr>
                    <w:t>1</w:t>
                  </w:r>
                </w:p>
              </w:tc>
              <w:tc>
                <w:tcPr>
                  <w:tcW w:w="1341" w:type="dxa"/>
                  <w:tcBorders>
                    <w:tl2br w:val="nil"/>
                    <w:tr2bl w:val="nil"/>
                  </w:tcBorders>
                  <w:vAlign w:val="center"/>
                </w:tcPr>
                <w:p>
                  <w:pPr>
                    <w:pStyle w:val="38"/>
                    <w:jc w:val="center"/>
                    <w:rPr>
                      <w:rFonts w:hint="eastAsia"/>
                      <w:spacing w:val="12"/>
                    </w:rPr>
                  </w:pPr>
                  <w:r>
                    <w:rPr>
                      <w:rFonts w:hint="eastAsia"/>
                      <w:spacing w:val="12"/>
                    </w:rPr>
                    <w:t>个</w:t>
                  </w:r>
                </w:p>
              </w:tc>
              <w:tc>
                <w:tcPr>
                  <w:tcW w:w="762" w:type="dxa"/>
                  <w:vMerge w:val="continue"/>
                  <w:tcBorders>
                    <w:tl2br w:val="nil"/>
                    <w:tr2bl w:val="nil"/>
                  </w:tcBorders>
                  <w:vAlign w:val="center"/>
                </w:tcPr>
                <w:p>
                  <w:pPr>
                    <w:pStyle w:val="38"/>
                    <w:jc w:val="center"/>
                    <w:rPr>
                      <w:rFonts w:hint="eastAsia"/>
                      <w:spacing w:val="12"/>
                    </w:rPr>
                  </w:pPr>
                </w:p>
              </w:tc>
              <w:tc>
                <w:tcPr>
                  <w:tcW w:w="1920" w:type="dxa"/>
                  <w:tcBorders>
                    <w:tl2br w:val="nil"/>
                    <w:tr2bl w:val="nil"/>
                  </w:tcBorders>
                  <w:vAlign w:val="center"/>
                </w:tcPr>
                <w:p>
                  <w:pPr>
                    <w:pStyle w:val="38"/>
                    <w:jc w:val="center"/>
                    <w:rPr>
                      <w:rFonts w:hint="eastAsia"/>
                      <w:spacing w:val="12"/>
                      <w:lang w:val="en-US" w:eastAsia="zh-CN"/>
                    </w:rPr>
                  </w:pPr>
                  <w:r>
                    <w:rPr>
                      <w:rFonts w:hint="eastAsia"/>
                      <w:spacing w:val="12"/>
                      <w:lang w:val="en-US" w:eastAsia="zh-CN"/>
                    </w:rPr>
                    <w:t>切割工序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tcBorders>
                    <w:tl2br w:val="nil"/>
                    <w:tr2bl w:val="nil"/>
                  </w:tcBorders>
                  <w:vAlign w:val="center"/>
                </w:tcPr>
                <w:p>
                  <w:pPr>
                    <w:pStyle w:val="38"/>
                    <w:jc w:val="center"/>
                    <w:rPr>
                      <w:rFonts w:hint="eastAsia"/>
                      <w:spacing w:val="12"/>
                    </w:rPr>
                  </w:pPr>
                  <w:r>
                    <w:rPr>
                      <w:rFonts w:hint="eastAsia"/>
                      <w:spacing w:val="12"/>
                    </w:rPr>
                    <w:t>4</w:t>
                  </w:r>
                </w:p>
              </w:tc>
              <w:tc>
                <w:tcPr>
                  <w:tcW w:w="2593" w:type="dxa"/>
                  <w:tcBorders>
                    <w:tl2br w:val="nil"/>
                    <w:tr2bl w:val="nil"/>
                  </w:tcBorders>
                  <w:vAlign w:val="center"/>
                </w:tcPr>
                <w:p>
                  <w:pPr>
                    <w:pStyle w:val="38"/>
                    <w:jc w:val="center"/>
                    <w:rPr>
                      <w:rFonts w:hint="eastAsia"/>
                      <w:spacing w:val="12"/>
                    </w:rPr>
                  </w:pPr>
                  <w:r>
                    <w:rPr>
                      <w:rFonts w:hint="eastAsia"/>
                      <w:spacing w:val="12"/>
                      <w:lang w:val="en-US" w:eastAsia="zh-CN"/>
                    </w:rPr>
                    <w:t>全自动</w:t>
                  </w:r>
                  <w:r>
                    <w:rPr>
                      <w:rFonts w:hint="eastAsia"/>
                      <w:spacing w:val="12"/>
                    </w:rPr>
                    <w:t>磨头机</w:t>
                  </w:r>
                </w:p>
              </w:tc>
              <w:tc>
                <w:tcPr>
                  <w:tcW w:w="1185" w:type="dxa"/>
                  <w:tcBorders>
                    <w:tl2br w:val="nil"/>
                    <w:tr2bl w:val="nil"/>
                  </w:tcBorders>
                  <w:vAlign w:val="center"/>
                </w:tcPr>
                <w:p>
                  <w:pPr>
                    <w:pStyle w:val="38"/>
                    <w:jc w:val="center"/>
                    <w:rPr>
                      <w:rFonts w:hint="eastAsia"/>
                      <w:spacing w:val="12"/>
                    </w:rPr>
                  </w:pPr>
                  <w:r>
                    <w:rPr>
                      <w:rFonts w:hint="eastAsia"/>
                      <w:spacing w:val="12"/>
                    </w:rPr>
                    <w:t>1</w:t>
                  </w:r>
                </w:p>
              </w:tc>
              <w:tc>
                <w:tcPr>
                  <w:tcW w:w="1341" w:type="dxa"/>
                  <w:tcBorders>
                    <w:tl2br w:val="nil"/>
                    <w:tr2bl w:val="nil"/>
                  </w:tcBorders>
                  <w:vAlign w:val="center"/>
                </w:tcPr>
                <w:p>
                  <w:pPr>
                    <w:pStyle w:val="38"/>
                    <w:jc w:val="center"/>
                    <w:rPr>
                      <w:rFonts w:hint="eastAsia"/>
                      <w:spacing w:val="12"/>
                    </w:rPr>
                  </w:pPr>
                  <w:r>
                    <w:rPr>
                      <w:rFonts w:hint="eastAsia"/>
                      <w:spacing w:val="12"/>
                    </w:rPr>
                    <w:t>个</w:t>
                  </w:r>
                </w:p>
              </w:tc>
              <w:tc>
                <w:tcPr>
                  <w:tcW w:w="762" w:type="dxa"/>
                  <w:vMerge w:val="continue"/>
                  <w:tcBorders>
                    <w:tl2br w:val="nil"/>
                    <w:tr2bl w:val="nil"/>
                  </w:tcBorders>
                  <w:vAlign w:val="center"/>
                </w:tcPr>
                <w:p>
                  <w:pPr>
                    <w:pStyle w:val="38"/>
                    <w:jc w:val="center"/>
                    <w:rPr>
                      <w:rFonts w:hint="eastAsia"/>
                      <w:spacing w:val="12"/>
                    </w:rPr>
                  </w:pPr>
                </w:p>
              </w:tc>
              <w:tc>
                <w:tcPr>
                  <w:tcW w:w="1920" w:type="dxa"/>
                  <w:tcBorders>
                    <w:tl2br w:val="nil"/>
                    <w:tr2bl w:val="nil"/>
                  </w:tcBorders>
                  <w:vAlign w:val="center"/>
                </w:tcPr>
                <w:p>
                  <w:pPr>
                    <w:pStyle w:val="38"/>
                    <w:jc w:val="center"/>
                    <w:rPr>
                      <w:rFonts w:hint="eastAsia"/>
                      <w:spacing w:val="12"/>
                      <w:lang w:val="en-US" w:eastAsia="zh-CN"/>
                    </w:rPr>
                  </w:pPr>
                  <w:r>
                    <w:rPr>
                      <w:rFonts w:hint="eastAsia"/>
                      <w:spacing w:val="12"/>
                      <w:lang w:val="en-US" w:eastAsia="zh-CN"/>
                    </w:rPr>
                    <w:t>切割工序</w:t>
                  </w:r>
                </w:p>
              </w:tc>
            </w:tr>
          </w:tbl>
          <w:p>
            <w:pPr>
              <w:pStyle w:val="4"/>
              <w:framePr w:hSpace="0" w:wrap="auto" w:vAnchor="margin" w:hAnchor="text" w:xAlign="left" w:yAlign="inline"/>
            </w:pPr>
            <w:r>
              <w:rPr>
                <w:rFonts w:hint="eastAsia"/>
              </w:rPr>
              <w:t>2</w:t>
            </w:r>
            <w:r>
              <w:t>.4</w:t>
            </w:r>
            <w:r>
              <w:rPr>
                <w:rFonts w:hint="eastAsia"/>
              </w:rPr>
              <w:t>主要原辅材料</w:t>
            </w:r>
          </w:p>
          <w:p>
            <w:pPr>
              <w:ind w:firstLine="480"/>
            </w:pPr>
            <w:r>
              <w:rPr>
                <w:rFonts w:hint="eastAsia"/>
              </w:rPr>
              <w:t>（1）主要原辅材料及能源消耗</w:t>
            </w:r>
          </w:p>
          <w:p>
            <w:pPr>
              <w:spacing w:before="163" w:beforeLines="50" w:line="240" w:lineRule="auto"/>
              <w:ind w:firstLine="0" w:firstLineChars="0"/>
              <w:jc w:val="center"/>
              <w:rPr>
                <w:b/>
                <w:color w:val="000000"/>
                <w:sz w:val="21"/>
              </w:rPr>
            </w:pPr>
            <w:r>
              <w:rPr>
                <w:rFonts w:hint="eastAsia"/>
                <w:b/>
                <w:color w:val="000000"/>
                <w:sz w:val="21"/>
              </w:rPr>
              <w:t>表</w:t>
            </w:r>
            <w:r>
              <w:rPr>
                <w:b/>
                <w:color w:val="000000"/>
                <w:sz w:val="21"/>
              </w:rPr>
              <w:t xml:space="preserve">2-4  </w:t>
            </w:r>
            <w:r>
              <w:rPr>
                <w:rFonts w:hint="eastAsia"/>
                <w:b/>
                <w:color w:val="000000"/>
                <w:sz w:val="21"/>
              </w:rPr>
              <w:t>项目能源消耗及原辅材料消耗情况表</w:t>
            </w:r>
          </w:p>
          <w:tbl>
            <w:tblPr>
              <w:tblStyle w:val="29"/>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48"/>
              <w:gridCol w:w="967"/>
              <w:gridCol w:w="1947"/>
              <w:gridCol w:w="598"/>
              <w:gridCol w:w="750"/>
              <w:gridCol w:w="1774"/>
              <w:gridCol w:w="19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48" w:type="dxa"/>
                  <w:tcBorders>
                    <w:tl2br w:val="nil"/>
                    <w:tr2bl w:val="nil"/>
                  </w:tcBorders>
                  <w:vAlign w:val="center"/>
                </w:tcPr>
                <w:p>
                  <w:pPr>
                    <w:spacing w:line="240" w:lineRule="auto"/>
                    <w:ind w:firstLine="0" w:firstLineChars="0"/>
                    <w:jc w:val="center"/>
                    <w:rPr>
                      <w:snapToGrid w:val="0"/>
                      <w:color w:val="000000"/>
                      <w:sz w:val="21"/>
                    </w:rPr>
                  </w:pPr>
                  <w:r>
                    <w:rPr>
                      <w:rFonts w:hint="eastAsia"/>
                      <w:snapToGrid w:val="0"/>
                      <w:color w:val="000000"/>
                      <w:sz w:val="21"/>
                    </w:rPr>
                    <w:t>序号</w:t>
                  </w:r>
                </w:p>
              </w:tc>
              <w:tc>
                <w:tcPr>
                  <w:tcW w:w="967" w:type="dxa"/>
                  <w:tcBorders>
                    <w:tl2br w:val="nil"/>
                    <w:tr2bl w:val="nil"/>
                  </w:tcBorders>
                  <w:vAlign w:val="center"/>
                </w:tcPr>
                <w:p>
                  <w:pPr>
                    <w:spacing w:line="240" w:lineRule="auto"/>
                    <w:ind w:firstLine="0" w:firstLineChars="0"/>
                    <w:jc w:val="center"/>
                    <w:rPr>
                      <w:snapToGrid w:val="0"/>
                      <w:color w:val="000000"/>
                      <w:sz w:val="21"/>
                    </w:rPr>
                  </w:pPr>
                  <w:r>
                    <w:rPr>
                      <w:rFonts w:hint="eastAsia"/>
                      <w:snapToGrid w:val="0"/>
                      <w:color w:val="000000"/>
                      <w:sz w:val="21"/>
                    </w:rPr>
                    <w:t>原辅材料名称</w:t>
                  </w:r>
                </w:p>
              </w:tc>
              <w:tc>
                <w:tcPr>
                  <w:tcW w:w="1947" w:type="dxa"/>
                  <w:tcBorders>
                    <w:tl2br w:val="nil"/>
                    <w:tr2bl w:val="nil"/>
                  </w:tcBorders>
                  <w:vAlign w:val="center"/>
                </w:tcPr>
                <w:p>
                  <w:pPr>
                    <w:spacing w:line="240" w:lineRule="auto"/>
                    <w:ind w:firstLine="0" w:firstLineChars="0"/>
                    <w:jc w:val="center"/>
                    <w:rPr>
                      <w:rFonts w:hint="default" w:eastAsia="宋体"/>
                      <w:snapToGrid w:val="0"/>
                      <w:color w:val="000000"/>
                      <w:sz w:val="21"/>
                      <w:lang w:val="en-US" w:eastAsia="zh-CN"/>
                    </w:rPr>
                  </w:pPr>
                  <w:r>
                    <w:rPr>
                      <w:rFonts w:hint="eastAsia"/>
                      <w:snapToGrid w:val="0"/>
                      <w:color w:val="000000"/>
                      <w:sz w:val="21"/>
                      <w:lang w:val="en-US" w:eastAsia="zh-CN"/>
                    </w:rPr>
                    <w:t>成分</w:t>
                  </w:r>
                </w:p>
              </w:tc>
              <w:tc>
                <w:tcPr>
                  <w:tcW w:w="598" w:type="dxa"/>
                  <w:tcBorders>
                    <w:tl2br w:val="nil"/>
                    <w:tr2bl w:val="nil"/>
                  </w:tcBorders>
                  <w:vAlign w:val="center"/>
                </w:tcPr>
                <w:p>
                  <w:pPr>
                    <w:spacing w:line="240" w:lineRule="auto"/>
                    <w:ind w:firstLine="0" w:firstLineChars="0"/>
                    <w:jc w:val="center"/>
                    <w:rPr>
                      <w:snapToGrid w:val="0"/>
                      <w:color w:val="000000"/>
                      <w:sz w:val="21"/>
                    </w:rPr>
                  </w:pPr>
                  <w:r>
                    <w:rPr>
                      <w:rFonts w:hint="eastAsia"/>
                      <w:snapToGrid w:val="0"/>
                      <w:color w:val="000000"/>
                      <w:sz w:val="21"/>
                    </w:rPr>
                    <w:t>单位</w:t>
                  </w:r>
                </w:p>
              </w:tc>
              <w:tc>
                <w:tcPr>
                  <w:tcW w:w="750" w:type="dxa"/>
                  <w:tcBorders>
                    <w:tl2br w:val="nil"/>
                    <w:tr2bl w:val="nil"/>
                  </w:tcBorders>
                  <w:vAlign w:val="center"/>
                </w:tcPr>
                <w:p>
                  <w:pPr>
                    <w:spacing w:line="240" w:lineRule="auto"/>
                    <w:ind w:firstLine="0" w:firstLineChars="0"/>
                    <w:jc w:val="center"/>
                    <w:rPr>
                      <w:color w:val="000000"/>
                      <w:sz w:val="21"/>
                    </w:rPr>
                  </w:pPr>
                  <w:r>
                    <w:rPr>
                      <w:rFonts w:hint="eastAsia"/>
                      <w:color w:val="000000"/>
                      <w:sz w:val="21"/>
                    </w:rPr>
                    <w:t>年耗量</w:t>
                  </w:r>
                </w:p>
              </w:tc>
              <w:tc>
                <w:tcPr>
                  <w:tcW w:w="1774" w:type="dxa"/>
                  <w:tcBorders>
                    <w:tl2br w:val="nil"/>
                    <w:tr2bl w:val="nil"/>
                  </w:tcBorders>
                  <w:vAlign w:val="center"/>
                </w:tcPr>
                <w:p>
                  <w:pPr>
                    <w:spacing w:line="240" w:lineRule="auto"/>
                    <w:ind w:firstLine="0" w:firstLineChars="0"/>
                    <w:jc w:val="center"/>
                    <w:rPr>
                      <w:color w:val="000000"/>
                      <w:sz w:val="21"/>
                    </w:rPr>
                  </w:pPr>
                  <w:r>
                    <w:rPr>
                      <w:rFonts w:hint="eastAsia"/>
                      <w:color w:val="000000"/>
                      <w:sz w:val="21"/>
                      <w:lang w:eastAsia="zh"/>
                    </w:rPr>
                    <w:t>外购</w:t>
                  </w:r>
                  <w:r>
                    <w:rPr>
                      <w:rFonts w:hint="eastAsia"/>
                      <w:color w:val="000000"/>
                      <w:sz w:val="21"/>
                    </w:rPr>
                    <w:t>来源</w:t>
                  </w:r>
                </w:p>
              </w:tc>
              <w:tc>
                <w:tcPr>
                  <w:tcW w:w="1995" w:type="dxa"/>
                  <w:tcBorders>
                    <w:tl2br w:val="nil"/>
                    <w:tr2bl w:val="nil"/>
                  </w:tcBorders>
                  <w:vAlign w:val="center"/>
                </w:tcPr>
                <w:p>
                  <w:pPr>
                    <w:spacing w:line="240" w:lineRule="auto"/>
                    <w:ind w:firstLine="0" w:firstLineChars="0"/>
                    <w:jc w:val="center"/>
                    <w:rPr>
                      <w:rFonts w:hint="eastAsia" w:eastAsia="宋体"/>
                      <w:color w:val="000000"/>
                      <w:sz w:val="21"/>
                      <w:lang w:val="en-US" w:eastAsia="zh-CN"/>
                    </w:rPr>
                  </w:pPr>
                  <w:r>
                    <w:rPr>
                      <w:rFonts w:hint="eastAsia"/>
                      <w:color w:val="000000"/>
                      <w:sz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48" w:type="dxa"/>
                  <w:tcBorders>
                    <w:tl2br w:val="nil"/>
                    <w:tr2bl w:val="nil"/>
                  </w:tcBorders>
                  <w:vAlign w:val="center"/>
                </w:tcPr>
                <w:p>
                  <w:pPr>
                    <w:spacing w:line="240" w:lineRule="auto"/>
                    <w:ind w:firstLine="0" w:firstLineChars="0"/>
                    <w:jc w:val="center"/>
                    <w:rPr>
                      <w:snapToGrid w:val="0"/>
                      <w:color w:val="000000"/>
                      <w:sz w:val="21"/>
                    </w:rPr>
                  </w:pPr>
                  <w:r>
                    <w:rPr>
                      <w:snapToGrid w:val="0"/>
                      <w:color w:val="000000"/>
                      <w:sz w:val="21"/>
                    </w:rPr>
                    <w:t>1</w:t>
                  </w:r>
                </w:p>
              </w:tc>
              <w:tc>
                <w:tcPr>
                  <w:tcW w:w="967" w:type="dxa"/>
                  <w:tcBorders>
                    <w:tl2br w:val="nil"/>
                    <w:tr2bl w:val="nil"/>
                  </w:tcBorders>
                  <w:vAlign w:val="center"/>
                </w:tcPr>
                <w:p>
                  <w:pPr>
                    <w:pStyle w:val="38"/>
                    <w:ind w:left="0" w:leftChars="0" w:firstLine="0" w:firstLineChars="0"/>
                    <w:rPr>
                      <w:snapToGrid w:val="0"/>
                      <w:color w:val="000000"/>
                    </w:rPr>
                  </w:pPr>
                  <w:r>
                    <w:rPr>
                      <w:rFonts w:hint="eastAsia"/>
                    </w:rPr>
                    <w:t>纱管纸</w:t>
                  </w:r>
                </w:p>
              </w:tc>
              <w:tc>
                <w:tcPr>
                  <w:tcW w:w="1947" w:type="dxa"/>
                  <w:tcBorders>
                    <w:tl2br w:val="nil"/>
                    <w:tr2bl w:val="nil"/>
                  </w:tcBorders>
                  <w:vAlign w:val="center"/>
                </w:tcPr>
                <w:p>
                  <w:pPr>
                    <w:spacing w:line="240" w:lineRule="auto"/>
                    <w:ind w:firstLine="0" w:firstLineChars="0"/>
                    <w:jc w:val="center"/>
                    <w:rPr>
                      <w:rFonts w:hint="eastAsia" w:eastAsia="宋体"/>
                      <w:snapToGrid w:val="0"/>
                      <w:color w:val="000000"/>
                      <w:sz w:val="21"/>
                      <w:lang w:val="en-US" w:eastAsia="zh-CN"/>
                    </w:rPr>
                  </w:pPr>
                  <w:r>
                    <w:rPr>
                      <w:rFonts w:hint="eastAsia"/>
                      <w:snapToGrid w:val="0"/>
                      <w:color w:val="000000"/>
                      <w:sz w:val="21"/>
                      <w:lang w:val="en-US" w:eastAsia="zh-CN"/>
                    </w:rPr>
                    <w:t>/</w:t>
                  </w:r>
                </w:p>
              </w:tc>
              <w:tc>
                <w:tcPr>
                  <w:tcW w:w="598" w:type="dxa"/>
                  <w:tcBorders>
                    <w:tl2br w:val="nil"/>
                    <w:tr2bl w:val="nil"/>
                  </w:tcBorders>
                  <w:vAlign w:val="center"/>
                </w:tcPr>
                <w:p>
                  <w:pPr>
                    <w:spacing w:line="240" w:lineRule="auto"/>
                    <w:ind w:firstLine="0" w:firstLineChars="0"/>
                    <w:jc w:val="center"/>
                    <w:rPr>
                      <w:snapToGrid w:val="0"/>
                      <w:color w:val="000000"/>
                      <w:sz w:val="21"/>
                    </w:rPr>
                  </w:pPr>
                  <w:r>
                    <w:rPr>
                      <w:snapToGrid w:val="0"/>
                      <w:color w:val="000000"/>
                      <w:sz w:val="21"/>
                    </w:rPr>
                    <w:t>t/a</w:t>
                  </w:r>
                </w:p>
              </w:tc>
              <w:tc>
                <w:tcPr>
                  <w:tcW w:w="750" w:type="dxa"/>
                  <w:tcBorders>
                    <w:tl2br w:val="nil"/>
                    <w:tr2bl w:val="nil"/>
                  </w:tcBorders>
                  <w:vAlign w:val="center"/>
                </w:tcPr>
                <w:p>
                  <w:pPr>
                    <w:pStyle w:val="38"/>
                    <w:ind w:left="0" w:leftChars="0" w:firstLine="0" w:firstLineChars="0"/>
                    <w:rPr>
                      <w:color w:val="000000"/>
                    </w:rPr>
                  </w:pPr>
                  <w:r>
                    <w:rPr>
                      <w:rFonts w:hint="eastAsia"/>
                      <w:spacing w:val="12"/>
                      <w:lang w:val="en-US" w:eastAsia="zh-CN"/>
                    </w:rPr>
                    <w:t>816</w:t>
                  </w:r>
                </w:p>
              </w:tc>
              <w:tc>
                <w:tcPr>
                  <w:tcW w:w="1774" w:type="dxa"/>
                  <w:tcBorders>
                    <w:tl2br w:val="nil"/>
                    <w:tr2bl w:val="nil"/>
                  </w:tcBorders>
                  <w:vAlign w:val="center"/>
                </w:tcPr>
                <w:p>
                  <w:pPr>
                    <w:spacing w:line="240" w:lineRule="auto"/>
                    <w:ind w:firstLine="0" w:firstLineChars="0"/>
                    <w:jc w:val="center"/>
                    <w:rPr>
                      <w:color w:val="000000"/>
                      <w:sz w:val="21"/>
                    </w:rPr>
                  </w:pPr>
                  <w:r>
                    <w:rPr>
                      <w:rFonts w:hint="eastAsia" w:cs="Times New Roman"/>
                      <w:spacing w:val="12"/>
                      <w:sz w:val="21"/>
                      <w:szCs w:val="21"/>
                    </w:rPr>
                    <w:t>巴州汇盛纸业</w:t>
                  </w:r>
                </w:p>
              </w:tc>
              <w:tc>
                <w:tcPr>
                  <w:tcW w:w="1995" w:type="dxa"/>
                  <w:tcBorders>
                    <w:tl2br w:val="nil"/>
                    <w:tr2bl w:val="nil"/>
                  </w:tcBorders>
                  <w:vAlign w:val="center"/>
                </w:tcPr>
                <w:p>
                  <w:pPr>
                    <w:spacing w:line="240" w:lineRule="auto"/>
                    <w:ind w:firstLine="0" w:firstLineChars="0"/>
                    <w:jc w:val="center"/>
                    <w:rPr>
                      <w:rFonts w:hint="default" w:eastAsia="宋体" w:cs="Times New Roman"/>
                      <w:spacing w:val="12"/>
                      <w:sz w:val="21"/>
                      <w:szCs w:val="21"/>
                      <w:lang w:val="en-US" w:eastAsia="zh-CN"/>
                    </w:rPr>
                  </w:pPr>
                  <w:r>
                    <w:rPr>
                      <w:rFonts w:hint="eastAsia" w:cs="Times New Roman"/>
                      <w:spacing w:val="12"/>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48" w:type="dxa"/>
                  <w:tcBorders>
                    <w:tl2br w:val="nil"/>
                    <w:tr2bl w:val="nil"/>
                  </w:tcBorders>
                  <w:vAlign w:val="center"/>
                </w:tcPr>
                <w:p>
                  <w:pPr>
                    <w:spacing w:line="240" w:lineRule="auto"/>
                    <w:ind w:firstLine="0" w:firstLineChars="0"/>
                    <w:jc w:val="center"/>
                    <w:rPr>
                      <w:snapToGrid w:val="0"/>
                      <w:color w:val="000000"/>
                      <w:sz w:val="21"/>
                    </w:rPr>
                  </w:pPr>
                  <w:r>
                    <w:rPr>
                      <w:snapToGrid w:val="0"/>
                      <w:color w:val="000000"/>
                      <w:sz w:val="21"/>
                    </w:rPr>
                    <w:t>2</w:t>
                  </w:r>
                </w:p>
              </w:tc>
              <w:tc>
                <w:tcPr>
                  <w:tcW w:w="967" w:type="dxa"/>
                  <w:tcBorders>
                    <w:tl2br w:val="nil"/>
                    <w:tr2bl w:val="nil"/>
                  </w:tcBorders>
                  <w:vAlign w:val="center"/>
                </w:tcPr>
                <w:p>
                  <w:pPr>
                    <w:pStyle w:val="38"/>
                    <w:ind w:left="0" w:leftChars="0" w:firstLine="0" w:firstLineChars="0"/>
                    <w:rPr>
                      <w:snapToGrid w:val="0"/>
                      <w:color w:val="000000"/>
                    </w:rPr>
                  </w:pPr>
                  <w:r>
                    <w:rPr>
                      <w:rFonts w:hint="eastAsia"/>
                    </w:rPr>
                    <w:t>牛皮纸</w:t>
                  </w:r>
                </w:p>
              </w:tc>
              <w:tc>
                <w:tcPr>
                  <w:tcW w:w="1947" w:type="dxa"/>
                  <w:tcBorders>
                    <w:tl2br w:val="nil"/>
                    <w:tr2bl w:val="nil"/>
                  </w:tcBorders>
                  <w:vAlign w:val="center"/>
                </w:tcPr>
                <w:p>
                  <w:pPr>
                    <w:spacing w:line="240" w:lineRule="auto"/>
                    <w:ind w:firstLine="0" w:firstLineChars="0"/>
                    <w:jc w:val="center"/>
                    <w:rPr>
                      <w:rFonts w:hint="eastAsia" w:eastAsia="宋体"/>
                      <w:snapToGrid w:val="0"/>
                      <w:color w:val="000000"/>
                      <w:sz w:val="21"/>
                      <w:lang w:val="en-US" w:eastAsia="zh-CN"/>
                    </w:rPr>
                  </w:pPr>
                  <w:r>
                    <w:rPr>
                      <w:rFonts w:hint="eastAsia"/>
                      <w:snapToGrid w:val="0"/>
                      <w:color w:val="000000"/>
                      <w:sz w:val="21"/>
                      <w:lang w:val="en-US" w:eastAsia="zh-CN"/>
                    </w:rPr>
                    <w:t>/</w:t>
                  </w:r>
                </w:p>
              </w:tc>
              <w:tc>
                <w:tcPr>
                  <w:tcW w:w="598" w:type="dxa"/>
                  <w:tcBorders>
                    <w:tl2br w:val="nil"/>
                    <w:tr2bl w:val="nil"/>
                  </w:tcBorders>
                  <w:vAlign w:val="center"/>
                </w:tcPr>
                <w:p>
                  <w:pPr>
                    <w:spacing w:line="240" w:lineRule="auto"/>
                    <w:ind w:firstLine="0" w:firstLineChars="0"/>
                    <w:jc w:val="center"/>
                    <w:rPr>
                      <w:snapToGrid w:val="0"/>
                      <w:color w:val="000000"/>
                      <w:sz w:val="21"/>
                    </w:rPr>
                  </w:pPr>
                  <w:r>
                    <w:rPr>
                      <w:snapToGrid w:val="0"/>
                      <w:color w:val="000000"/>
                      <w:sz w:val="21"/>
                    </w:rPr>
                    <w:t>t/a</w:t>
                  </w:r>
                </w:p>
              </w:tc>
              <w:tc>
                <w:tcPr>
                  <w:tcW w:w="750" w:type="dxa"/>
                  <w:tcBorders>
                    <w:tl2br w:val="nil"/>
                    <w:tr2bl w:val="nil"/>
                  </w:tcBorders>
                  <w:vAlign w:val="center"/>
                </w:tcPr>
                <w:p>
                  <w:pPr>
                    <w:pStyle w:val="38"/>
                    <w:ind w:left="0" w:leftChars="0" w:firstLine="0" w:firstLineChars="0"/>
                    <w:rPr>
                      <w:color w:val="000000"/>
                    </w:rPr>
                  </w:pPr>
                  <w:r>
                    <w:rPr>
                      <w:color w:val="000000"/>
                    </w:rPr>
                    <w:t>81.6</w:t>
                  </w:r>
                </w:p>
              </w:tc>
              <w:tc>
                <w:tcPr>
                  <w:tcW w:w="1774" w:type="dxa"/>
                  <w:tcBorders>
                    <w:tl2br w:val="nil"/>
                    <w:tr2bl w:val="nil"/>
                  </w:tcBorders>
                  <w:vAlign w:val="center"/>
                </w:tcPr>
                <w:p>
                  <w:pPr>
                    <w:spacing w:line="240" w:lineRule="auto"/>
                    <w:ind w:firstLine="0" w:firstLineChars="0"/>
                    <w:jc w:val="center"/>
                    <w:rPr>
                      <w:color w:val="000000"/>
                      <w:sz w:val="21"/>
                    </w:rPr>
                  </w:pPr>
                  <w:r>
                    <w:rPr>
                      <w:rFonts w:cs="Times New Roman"/>
                      <w:spacing w:val="12"/>
                      <w:sz w:val="21"/>
                      <w:szCs w:val="21"/>
                    </w:rPr>
                    <w:t>新疆图森纸业有限公司</w:t>
                  </w:r>
                </w:p>
              </w:tc>
              <w:tc>
                <w:tcPr>
                  <w:tcW w:w="1995" w:type="dxa"/>
                  <w:tcBorders>
                    <w:tl2br w:val="nil"/>
                    <w:tr2bl w:val="nil"/>
                  </w:tcBorders>
                  <w:vAlign w:val="center"/>
                </w:tcPr>
                <w:p>
                  <w:pPr>
                    <w:spacing w:line="240" w:lineRule="auto"/>
                    <w:ind w:firstLine="0" w:firstLineChars="0"/>
                    <w:jc w:val="center"/>
                    <w:rPr>
                      <w:rFonts w:hint="eastAsia" w:eastAsia="宋体" w:cs="Times New Roman"/>
                      <w:spacing w:val="12"/>
                      <w:sz w:val="21"/>
                      <w:szCs w:val="21"/>
                      <w:lang w:val="en-US" w:eastAsia="zh-CN"/>
                    </w:rPr>
                  </w:pPr>
                  <w:r>
                    <w:rPr>
                      <w:rFonts w:hint="eastAsia" w:cs="Times New Roman"/>
                      <w:spacing w:val="12"/>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48" w:type="dxa"/>
                  <w:tcBorders>
                    <w:tl2br w:val="nil"/>
                    <w:tr2bl w:val="nil"/>
                  </w:tcBorders>
                  <w:vAlign w:val="center"/>
                </w:tcPr>
                <w:p>
                  <w:pPr>
                    <w:spacing w:line="240" w:lineRule="auto"/>
                    <w:ind w:firstLine="0" w:firstLineChars="0"/>
                    <w:jc w:val="center"/>
                    <w:rPr>
                      <w:snapToGrid w:val="0"/>
                      <w:color w:val="000000"/>
                      <w:sz w:val="21"/>
                    </w:rPr>
                  </w:pPr>
                  <w:r>
                    <w:rPr>
                      <w:rFonts w:hint="eastAsia"/>
                      <w:snapToGrid w:val="0"/>
                      <w:color w:val="000000"/>
                      <w:sz w:val="21"/>
                    </w:rPr>
                    <w:t>3</w:t>
                  </w:r>
                </w:p>
              </w:tc>
              <w:tc>
                <w:tcPr>
                  <w:tcW w:w="967" w:type="dxa"/>
                  <w:tcBorders>
                    <w:tl2br w:val="nil"/>
                    <w:tr2bl w:val="nil"/>
                  </w:tcBorders>
                  <w:vAlign w:val="center"/>
                </w:tcPr>
                <w:p>
                  <w:pPr>
                    <w:pStyle w:val="38"/>
                    <w:ind w:left="0" w:leftChars="0" w:firstLine="0" w:firstLineChars="0"/>
                    <w:rPr>
                      <w:lang w:eastAsia="zh"/>
                    </w:rPr>
                  </w:pPr>
                  <w:r>
                    <w:rPr>
                      <w:rFonts w:hint="eastAsia"/>
                      <w:lang w:eastAsia="zh"/>
                    </w:rPr>
                    <w:t>环保型</w:t>
                  </w:r>
                  <w:r>
                    <w:rPr>
                      <w:rFonts w:hint="eastAsia"/>
                    </w:rPr>
                    <w:t>水基</w:t>
                  </w:r>
                  <w:r>
                    <w:rPr>
                      <w:rFonts w:hint="eastAsia"/>
                      <w:lang w:eastAsia="zh"/>
                    </w:rPr>
                    <w:t>胶粘剂</w:t>
                  </w:r>
                </w:p>
              </w:tc>
              <w:tc>
                <w:tcPr>
                  <w:tcW w:w="1947" w:type="dxa"/>
                  <w:tcBorders>
                    <w:tl2br w:val="nil"/>
                    <w:tr2bl w:val="nil"/>
                  </w:tcBorders>
                  <w:vAlign w:val="center"/>
                </w:tcPr>
                <w:p>
                  <w:pPr>
                    <w:spacing w:line="240" w:lineRule="auto"/>
                    <w:ind w:firstLine="0" w:firstLineChars="0"/>
                    <w:jc w:val="center"/>
                    <w:rPr>
                      <w:rFonts w:hint="default"/>
                      <w:snapToGrid w:val="0"/>
                      <w:color w:val="000000"/>
                      <w:sz w:val="21"/>
                      <w:lang w:val="en-US"/>
                    </w:rPr>
                  </w:pPr>
                  <w:r>
                    <w:rPr>
                      <w:rFonts w:hint="eastAsia" w:cs="Times New Roman"/>
                      <w:snapToGrid w:val="0"/>
                      <w:color w:val="000000"/>
                      <w:sz w:val="21"/>
                      <w:lang w:val="en-US" w:eastAsia="zh-CN"/>
                    </w:rPr>
                    <w:t>水84%、瓷土10%、聚乙烯醇5%、玉米淀粉1%</w:t>
                  </w:r>
                </w:p>
              </w:tc>
              <w:tc>
                <w:tcPr>
                  <w:tcW w:w="598" w:type="dxa"/>
                  <w:tcBorders>
                    <w:tl2br w:val="nil"/>
                    <w:tr2bl w:val="nil"/>
                  </w:tcBorders>
                  <w:vAlign w:val="center"/>
                </w:tcPr>
                <w:p>
                  <w:pPr>
                    <w:spacing w:line="240" w:lineRule="auto"/>
                    <w:ind w:firstLine="0" w:firstLineChars="0"/>
                    <w:jc w:val="center"/>
                    <w:rPr>
                      <w:snapToGrid w:val="0"/>
                      <w:color w:val="000000"/>
                      <w:sz w:val="21"/>
                    </w:rPr>
                  </w:pPr>
                  <w:r>
                    <w:rPr>
                      <w:snapToGrid w:val="0"/>
                      <w:color w:val="000000"/>
                      <w:sz w:val="21"/>
                    </w:rPr>
                    <w:t>t/a</w:t>
                  </w:r>
                </w:p>
              </w:tc>
              <w:tc>
                <w:tcPr>
                  <w:tcW w:w="750" w:type="dxa"/>
                  <w:tcBorders>
                    <w:tl2br w:val="nil"/>
                    <w:tr2bl w:val="nil"/>
                  </w:tcBorders>
                  <w:vAlign w:val="center"/>
                </w:tcPr>
                <w:p>
                  <w:pPr>
                    <w:pStyle w:val="38"/>
                    <w:ind w:left="0" w:leftChars="0" w:firstLine="0" w:firstLineChars="0"/>
                    <w:rPr>
                      <w:rFonts w:ascii="Times New Roman" w:hAnsi="Times New Roman" w:eastAsia="宋体" w:cs="Times New Roman"/>
                      <w:color w:val="auto"/>
                      <w:spacing w:val="12"/>
                      <w:kern w:val="2"/>
                      <w:sz w:val="21"/>
                      <w:szCs w:val="21"/>
                      <w:lang w:val="en-US" w:eastAsia="zh" w:bidi="ar-SA"/>
                    </w:rPr>
                  </w:pPr>
                  <w:r>
                    <w:rPr>
                      <w:rFonts w:ascii="Times New Roman" w:hAnsi="Times New Roman" w:eastAsia="宋体" w:cs="Times New Roman"/>
                      <w:color w:val="auto"/>
                      <w:spacing w:val="12"/>
                      <w:kern w:val="2"/>
                      <w:sz w:val="21"/>
                      <w:szCs w:val="21"/>
                      <w:lang w:val="en-US" w:eastAsia="zh" w:bidi="ar-SA"/>
                    </w:rPr>
                    <w:t>136</w:t>
                  </w:r>
                </w:p>
              </w:tc>
              <w:tc>
                <w:tcPr>
                  <w:tcW w:w="1774"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pacing w:val="12"/>
                      <w:kern w:val="2"/>
                      <w:sz w:val="21"/>
                      <w:szCs w:val="21"/>
                      <w:lang w:val="en-US" w:eastAsia="zh-CN" w:bidi="ar-SA"/>
                    </w:rPr>
                  </w:pPr>
                  <w:r>
                    <w:rPr>
                      <w:rFonts w:hint="eastAsia" w:ascii="Times New Roman" w:hAnsi="Times New Roman" w:eastAsia="宋体" w:cs="Times New Roman"/>
                      <w:color w:val="auto"/>
                      <w:spacing w:val="12"/>
                      <w:kern w:val="2"/>
                      <w:sz w:val="21"/>
                      <w:szCs w:val="21"/>
                      <w:lang w:val="en-US" w:eastAsia="zh-CN" w:bidi="ar-SA"/>
                    </w:rPr>
                    <w:t>巴州旺优美商贸有限公司</w:t>
                  </w:r>
                </w:p>
              </w:tc>
              <w:tc>
                <w:tcPr>
                  <w:tcW w:w="1995" w:type="dxa"/>
                  <w:tcBorders>
                    <w:tl2br w:val="nil"/>
                    <w:tr2bl w:val="nil"/>
                  </w:tcBorders>
                  <w:vAlign w:val="center"/>
                </w:tcPr>
                <w:p>
                  <w:pPr>
                    <w:spacing w:line="240" w:lineRule="auto"/>
                    <w:ind w:firstLine="0" w:firstLineChars="0"/>
                    <w:jc w:val="center"/>
                    <w:rPr>
                      <w:rFonts w:hint="eastAsia" w:ascii="Times New Roman" w:hAnsi="Times New Roman" w:eastAsia="宋体" w:cs="Times New Roman"/>
                      <w:color w:val="auto"/>
                      <w:spacing w:val="12"/>
                      <w:kern w:val="2"/>
                      <w:sz w:val="21"/>
                      <w:szCs w:val="21"/>
                      <w:lang w:val="en-US" w:eastAsia="zh-CN" w:bidi="ar-SA"/>
                    </w:rPr>
                  </w:pPr>
                  <w:r>
                    <w:rPr>
                      <w:rFonts w:hint="eastAsia" w:ascii="Times New Roman" w:hAnsi="Times New Roman" w:eastAsia="宋体" w:cs="Times New Roman"/>
                      <w:color w:val="auto"/>
                      <w:spacing w:val="12"/>
                      <w:kern w:val="2"/>
                      <w:sz w:val="21"/>
                      <w:szCs w:val="21"/>
                      <w:lang w:val="en-US" w:eastAsia="zh-CN" w:bidi="ar-SA"/>
                    </w:rPr>
                    <w:t>环保型水基胶粘剂应符合《环境标志产品技术要求 胶粘剂》等国家及地方环保标准</w:t>
                  </w:r>
                </w:p>
              </w:tc>
            </w:tr>
          </w:tbl>
          <w:p>
            <w:pPr>
              <w:ind w:firstLine="480"/>
              <w:textAlignment w:val="auto"/>
            </w:pPr>
            <w:r>
              <w:rPr>
                <w:rFonts w:hint="eastAsia"/>
              </w:rPr>
              <w:t>（2）主要原辅材料理化性质</w:t>
            </w:r>
          </w:p>
          <w:p>
            <w:pPr>
              <w:spacing w:before="163" w:beforeLines="50" w:line="240" w:lineRule="auto"/>
              <w:ind w:firstLine="0" w:firstLineChars="0"/>
              <w:jc w:val="center"/>
              <w:rPr>
                <w:b/>
                <w:color w:val="000000"/>
                <w:sz w:val="21"/>
              </w:rPr>
            </w:pPr>
            <w:r>
              <w:rPr>
                <w:rFonts w:hint="eastAsia"/>
                <w:b/>
                <w:color w:val="000000"/>
                <w:sz w:val="21"/>
              </w:rPr>
              <w:t>表</w:t>
            </w:r>
            <w:r>
              <w:rPr>
                <w:b/>
                <w:color w:val="000000"/>
                <w:sz w:val="21"/>
              </w:rPr>
              <w:t>2-</w:t>
            </w:r>
            <w:r>
              <w:rPr>
                <w:rFonts w:hint="eastAsia"/>
                <w:b/>
                <w:color w:val="000000"/>
                <w:sz w:val="21"/>
              </w:rPr>
              <w:t>5</w:t>
            </w:r>
            <w:r>
              <w:rPr>
                <w:b/>
                <w:color w:val="000000"/>
                <w:sz w:val="21"/>
              </w:rPr>
              <w:t xml:space="preserve">  </w:t>
            </w:r>
            <w:r>
              <w:rPr>
                <w:rFonts w:hint="eastAsia"/>
                <w:b/>
                <w:color w:val="000000"/>
                <w:sz w:val="21"/>
              </w:rPr>
              <w:t>主要原辅材料理化性质</w:t>
            </w:r>
          </w:p>
          <w:tbl>
            <w:tblPr>
              <w:tblStyle w:val="29"/>
              <w:tblW w:w="85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7"/>
              <w:gridCol w:w="1694"/>
              <w:gridCol w:w="6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Align w:val="center"/>
                </w:tcPr>
                <w:p>
                  <w:pPr>
                    <w:spacing w:line="240" w:lineRule="auto"/>
                    <w:ind w:firstLine="0" w:firstLineChars="0"/>
                    <w:jc w:val="center"/>
                    <w:rPr>
                      <w:rFonts w:cs="Times New Roman"/>
                      <w:snapToGrid w:val="0"/>
                      <w:color w:val="000000"/>
                      <w:sz w:val="21"/>
                    </w:rPr>
                  </w:pPr>
                  <w:r>
                    <w:rPr>
                      <w:rFonts w:hint="eastAsia" w:cs="Times New Roman"/>
                      <w:snapToGrid w:val="0"/>
                      <w:color w:val="000000"/>
                      <w:sz w:val="21"/>
                    </w:rPr>
                    <w:t>序号</w:t>
                  </w:r>
                </w:p>
              </w:tc>
              <w:tc>
                <w:tcPr>
                  <w:tcW w:w="1095" w:type="dxa"/>
                  <w:vAlign w:val="center"/>
                </w:tcPr>
                <w:p>
                  <w:pPr>
                    <w:spacing w:line="240" w:lineRule="auto"/>
                    <w:ind w:firstLine="0" w:firstLineChars="0"/>
                    <w:jc w:val="center"/>
                    <w:rPr>
                      <w:rFonts w:cs="Times New Roman"/>
                      <w:snapToGrid w:val="0"/>
                      <w:color w:val="000000"/>
                      <w:sz w:val="21"/>
                    </w:rPr>
                  </w:pPr>
                  <w:r>
                    <w:rPr>
                      <w:rFonts w:hint="eastAsia" w:cs="Times New Roman"/>
                      <w:snapToGrid w:val="0"/>
                      <w:color w:val="000000"/>
                      <w:sz w:val="21"/>
                    </w:rPr>
                    <w:t>名称</w:t>
                  </w:r>
                </w:p>
              </w:tc>
              <w:tc>
                <w:tcPr>
                  <w:tcW w:w="6538" w:type="dxa"/>
                  <w:vAlign w:val="center"/>
                </w:tcPr>
                <w:p>
                  <w:pPr>
                    <w:spacing w:line="240" w:lineRule="auto"/>
                    <w:ind w:firstLine="0" w:firstLineChars="0"/>
                    <w:jc w:val="center"/>
                    <w:rPr>
                      <w:rFonts w:cs="Times New Roman"/>
                      <w:snapToGrid w:val="0"/>
                      <w:color w:val="000000"/>
                      <w:sz w:val="21"/>
                    </w:rPr>
                  </w:pPr>
                  <w:r>
                    <w:rPr>
                      <w:rFonts w:hint="eastAsia" w:cs="Times New Roman"/>
                      <w:snapToGrid w:val="0"/>
                      <w:color w:val="000000"/>
                      <w:sz w:val="21"/>
                    </w:rPr>
                    <w:t>理化性质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8" w:type="dxa"/>
                  <w:vAlign w:val="center"/>
                </w:tcPr>
                <w:p>
                  <w:pPr>
                    <w:spacing w:line="240" w:lineRule="auto"/>
                    <w:ind w:firstLine="0" w:firstLineChars="0"/>
                    <w:jc w:val="center"/>
                    <w:rPr>
                      <w:rFonts w:cs="Times New Roman"/>
                      <w:snapToGrid w:val="0"/>
                      <w:color w:val="000000"/>
                      <w:sz w:val="21"/>
                    </w:rPr>
                  </w:pPr>
                  <w:r>
                    <w:rPr>
                      <w:rFonts w:cs="Times New Roman"/>
                      <w:snapToGrid w:val="0"/>
                      <w:color w:val="000000"/>
                      <w:sz w:val="21"/>
                    </w:rPr>
                    <w:t>1</w:t>
                  </w:r>
                </w:p>
              </w:tc>
              <w:tc>
                <w:tcPr>
                  <w:tcW w:w="1095" w:type="dxa"/>
                  <w:vAlign w:val="center"/>
                </w:tcPr>
                <w:p>
                  <w:pPr>
                    <w:spacing w:line="240" w:lineRule="auto"/>
                    <w:ind w:firstLine="0" w:firstLineChars="0"/>
                    <w:jc w:val="center"/>
                    <w:rPr>
                      <w:rFonts w:cs="Times New Roman"/>
                      <w:snapToGrid w:val="0"/>
                      <w:color w:val="000000"/>
                      <w:sz w:val="21"/>
                    </w:rPr>
                  </w:pPr>
                  <w:r>
                    <w:rPr>
                      <w:rFonts w:hint="eastAsia" w:cs="Times New Roman"/>
                      <w:sz w:val="21"/>
                      <w:szCs w:val="21"/>
                      <w:lang w:eastAsia="zh"/>
                    </w:rPr>
                    <w:t>环保型水</w:t>
                  </w:r>
                  <w:r>
                    <w:rPr>
                      <w:rFonts w:hint="eastAsia" w:cs="Times New Roman"/>
                      <w:sz w:val="21"/>
                      <w:szCs w:val="21"/>
                    </w:rPr>
                    <w:t>基</w:t>
                  </w:r>
                  <w:r>
                    <w:rPr>
                      <w:rFonts w:hint="eastAsia" w:cs="Times New Roman"/>
                      <w:sz w:val="21"/>
                      <w:szCs w:val="21"/>
                      <w:lang w:eastAsia="zh"/>
                    </w:rPr>
                    <w:t>胶粘剂（DDT-BT-A1）</w:t>
                  </w:r>
                </w:p>
              </w:tc>
              <w:tc>
                <w:tcPr>
                  <w:tcW w:w="6538" w:type="dxa"/>
                  <w:vAlign w:val="center"/>
                </w:tcPr>
                <w:p>
                  <w:pPr>
                    <w:spacing w:line="240" w:lineRule="auto"/>
                    <w:ind w:firstLine="420" w:firstLineChars="200"/>
                    <w:jc w:val="left"/>
                    <w:rPr>
                      <w:rFonts w:hint="default" w:cs="Times New Roman"/>
                      <w:snapToGrid w:val="0"/>
                      <w:color w:val="000000"/>
                      <w:sz w:val="21"/>
                      <w:lang w:val="en-US" w:eastAsia="zh-CN"/>
                    </w:rPr>
                  </w:pPr>
                  <w:r>
                    <w:rPr>
                      <w:rFonts w:hint="eastAsia" w:cs="Times New Roman"/>
                      <w:sz w:val="21"/>
                      <w:szCs w:val="21"/>
                      <w:lang w:eastAsia="zh"/>
                    </w:rPr>
                    <w:t>水</w:t>
                  </w:r>
                  <w:r>
                    <w:rPr>
                      <w:rFonts w:hint="eastAsia" w:cs="Times New Roman"/>
                      <w:sz w:val="21"/>
                      <w:szCs w:val="21"/>
                    </w:rPr>
                    <w:t>基</w:t>
                  </w:r>
                  <w:r>
                    <w:rPr>
                      <w:rFonts w:hint="eastAsia" w:cs="Times New Roman"/>
                      <w:sz w:val="21"/>
                      <w:szCs w:val="21"/>
                      <w:lang w:eastAsia="zh"/>
                    </w:rPr>
                    <w:t>胶粘剂</w:t>
                  </w:r>
                  <w:r>
                    <w:rPr>
                      <w:rFonts w:hint="eastAsia" w:cs="Times New Roman"/>
                      <w:sz w:val="21"/>
                      <w:szCs w:val="21"/>
                    </w:rPr>
                    <w:t>是一种以水为溶剂的胶黏剂，</w:t>
                  </w:r>
                  <w:r>
                    <w:rPr>
                      <w:rFonts w:hint="eastAsia" w:cs="Times New Roman"/>
                      <w:snapToGrid w:val="0"/>
                      <w:color w:val="000000"/>
                      <w:sz w:val="21"/>
                    </w:rPr>
                    <w:t>主要成分包括</w:t>
                  </w:r>
                  <w:r>
                    <w:rPr>
                      <w:rFonts w:hint="eastAsia" w:cs="Times New Roman"/>
                      <w:snapToGrid w:val="0"/>
                      <w:color w:val="000000"/>
                      <w:sz w:val="21"/>
                      <w:lang w:val="en-US" w:eastAsia="zh-CN"/>
                    </w:rPr>
                    <w:t>水84%、聚乙烯醇5%、瓷土10%、玉米淀粉1%加温生成。其中聚乙烯醇的理化性质如下：</w:t>
                  </w:r>
                </w:p>
                <w:p>
                  <w:pPr>
                    <w:spacing w:line="240" w:lineRule="auto"/>
                    <w:ind w:firstLine="420" w:firstLineChars="200"/>
                    <w:jc w:val="left"/>
                    <w:rPr>
                      <w:rFonts w:hint="eastAsia" w:cs="Times New Roman"/>
                      <w:snapToGrid w:val="0"/>
                      <w:color w:val="000000"/>
                      <w:sz w:val="21"/>
                      <w:lang w:val="en-US" w:eastAsia="zh-CN"/>
                    </w:rPr>
                  </w:pPr>
                  <w:r>
                    <w:rPr>
                      <w:rFonts w:hint="eastAsia" w:cs="Times New Roman"/>
                      <w:snapToGrid w:val="0"/>
                      <w:color w:val="000000"/>
                      <w:sz w:val="21"/>
                      <w:lang w:val="en-US" w:eastAsia="zh-CN"/>
                    </w:rPr>
                    <w:t>聚乙烯醇：通常为白色或淡黄色的粉末、颗粒或纤维状固体。白色片状、絮状或粉末状固体，由醋酸乙烯经聚合、醇解得到的一类可溶于水的特殊高分子聚合物；化学式[C</w:t>
                  </w:r>
                  <w:r>
                    <w:rPr>
                      <w:rFonts w:hint="eastAsia" w:cs="Times New Roman"/>
                      <w:snapToGrid w:val="0"/>
                      <w:color w:val="000000"/>
                      <w:sz w:val="21"/>
                      <w:vertAlign w:val="subscript"/>
                      <w:lang w:val="en-US" w:eastAsia="zh-CN"/>
                    </w:rPr>
                    <w:t>2</w:t>
                  </w:r>
                  <w:r>
                    <w:rPr>
                      <w:rFonts w:hint="eastAsia" w:cs="Times New Roman"/>
                      <w:snapToGrid w:val="0"/>
                      <w:color w:val="000000"/>
                      <w:sz w:val="21"/>
                      <w:lang w:val="en-US" w:eastAsia="zh-CN"/>
                    </w:rPr>
                    <w:t>H</w:t>
                  </w:r>
                  <w:r>
                    <w:rPr>
                      <w:rFonts w:hint="eastAsia" w:cs="Times New Roman"/>
                      <w:snapToGrid w:val="0"/>
                      <w:color w:val="000000"/>
                      <w:sz w:val="21"/>
                      <w:vertAlign w:val="subscript"/>
                      <w:lang w:val="en-US" w:eastAsia="zh-CN"/>
                    </w:rPr>
                    <w:t>4</w:t>
                  </w:r>
                  <w:r>
                    <w:rPr>
                      <w:rFonts w:hint="eastAsia" w:cs="Times New Roman"/>
                      <w:snapToGrid w:val="0"/>
                      <w:color w:val="000000"/>
                      <w:sz w:val="21"/>
                      <w:lang w:val="en-US" w:eastAsia="zh-CN"/>
                    </w:rPr>
                    <w:t>O]n；聚乙烯醇的聚合度分为超高聚合度（分子量25～30万）、高聚合度（分子量17~22万）、中聚合度（分子量12～15万）和低聚合度（2.5～3.5万）；相对密度（25℃/4℃）1.27～1.31（固体）、1.02(10%溶液）；引燃温度410℃（粉云）；熔点&gt;200℃，溶于水，粘度受到浓度、温度以及分子量的影响。随着浓度的增加或温度的降低，溶液粘度会增加；而分子量越高，粘度也越大。它在许多工业应用以及日常生活中广泛使用，比如作为粘合剂、涂料、纺织品处理剂和医药辅料等。</w:t>
                  </w:r>
                </w:p>
                <w:p>
                  <w:pPr>
                    <w:spacing w:line="240" w:lineRule="auto"/>
                    <w:ind w:firstLine="420" w:firstLineChars="200"/>
                    <w:jc w:val="left"/>
                    <w:rPr>
                      <w:rFonts w:hint="eastAsia" w:cs="Times New Roman"/>
                      <w:snapToGrid w:val="0"/>
                      <w:color w:val="000000"/>
                      <w:sz w:val="21"/>
                      <w:lang w:val="en-US" w:eastAsia="zh-CN"/>
                    </w:rPr>
                  </w:pPr>
                  <w:r>
                    <w:rPr>
                      <w:rFonts w:hint="eastAsia" w:cs="Times New Roman"/>
                      <w:snapToGrid w:val="0"/>
                      <w:color w:val="000000"/>
                      <w:sz w:val="21"/>
                      <w:lang w:val="en-US" w:eastAsia="zh-CN"/>
                    </w:rPr>
                    <w:t>瓷土：是无毒的，并且在许多行业中被广泛使用。它是一种天然存在的粘土矿物，主要成分是高岭石（Al₂Si₂O₅(OH)₄），具有良好的化学稳定性，是一种层状硅酸盐矿物，通常为白色或淡灰色，有时也可能呈现红色或其他颜色，这取决于其中含有的杂质。作为填充剂和颜料载体应用于油漆、涂料中。</w:t>
                  </w:r>
                </w:p>
                <w:p>
                  <w:pPr>
                    <w:spacing w:line="240" w:lineRule="auto"/>
                    <w:ind w:firstLine="420" w:firstLineChars="200"/>
                    <w:jc w:val="left"/>
                    <w:rPr>
                      <w:rFonts w:hint="default" w:cs="Times New Roman"/>
                      <w:snapToGrid w:val="0"/>
                      <w:color w:val="000000"/>
                      <w:sz w:val="21"/>
                      <w:lang w:val="en-US" w:eastAsia="zh-CN"/>
                    </w:rPr>
                  </w:pPr>
                  <w:r>
                    <w:rPr>
                      <w:rFonts w:hint="eastAsia" w:cs="Times New Roman"/>
                      <w:snapToGrid w:val="0"/>
                      <w:color w:val="000000"/>
                      <w:sz w:val="21"/>
                      <w:lang w:val="en-US" w:eastAsia="zh-CN"/>
                    </w:rPr>
                    <w:t>玉米淀粉：通常为白色或略带黄色的细粉，无味、无臭。玉米淀粉可以用来提高纸张的干湿强度。通过添加到纸浆中，它能够在纤维之间形成一种粘合剂，从而增加纸张的抗拉强度、耐破度以及表面强度。由于其良好的生物降解性和环保特性，玉米淀粉有时被用作某些化学助剂的绿色替代品，例如作为湿部添加剂来改善纸张成型过程中的留着率和滤水性能。</w:t>
                  </w:r>
                </w:p>
                <w:p>
                  <w:pPr>
                    <w:spacing w:line="240" w:lineRule="auto"/>
                    <w:ind w:firstLine="420" w:firstLineChars="200"/>
                    <w:jc w:val="left"/>
                    <w:rPr>
                      <w:rFonts w:hint="eastAsia" w:cs="Times New Roman"/>
                      <w:snapToGrid w:val="0"/>
                      <w:color w:val="000000"/>
                      <w:sz w:val="21"/>
                      <w:lang w:eastAsia="zh"/>
                    </w:rPr>
                  </w:pPr>
                  <w:r>
                    <w:rPr>
                      <w:rFonts w:hint="eastAsia" w:cs="Times New Roman"/>
                      <w:sz w:val="21"/>
                      <w:szCs w:val="21"/>
                      <w:lang w:eastAsia="zh"/>
                    </w:rPr>
                    <w:t>水</w:t>
                  </w:r>
                  <w:r>
                    <w:rPr>
                      <w:rFonts w:hint="eastAsia" w:cs="Times New Roman"/>
                      <w:sz w:val="21"/>
                      <w:szCs w:val="21"/>
                    </w:rPr>
                    <w:t>基</w:t>
                  </w:r>
                  <w:r>
                    <w:rPr>
                      <w:rFonts w:hint="eastAsia" w:cs="Times New Roman"/>
                      <w:sz w:val="21"/>
                      <w:szCs w:val="21"/>
                      <w:lang w:eastAsia="zh"/>
                    </w:rPr>
                    <w:t>胶粘剂</w:t>
                  </w:r>
                  <w:r>
                    <w:rPr>
                      <w:rFonts w:cs="Times New Roman"/>
                      <w:snapToGrid w:val="0"/>
                      <w:color w:val="000000"/>
                      <w:sz w:val="21"/>
                    </w:rPr>
                    <w:t>以水作为分散介质</w:t>
                  </w:r>
                  <w:r>
                    <w:rPr>
                      <w:rFonts w:hint="eastAsia" w:cs="Times New Roman"/>
                      <w:snapToGrid w:val="0"/>
                      <w:color w:val="000000"/>
                      <w:sz w:val="21"/>
                      <w:lang w:eastAsia="zh"/>
                    </w:rPr>
                    <w:t>，通常为透明或半透明液体</w:t>
                  </w:r>
                  <w:r>
                    <w:rPr>
                      <w:rFonts w:cs="Times New Roman"/>
                      <w:snapToGrid w:val="0"/>
                      <w:color w:val="000000"/>
                      <w:sz w:val="21"/>
                    </w:rPr>
                    <w:t>。虽然以水为基础，但经过处理后的水基胶粘剂能具备一定的耐水性能符合国家或国际上关于有害物质限量的标准，如不含甲醛、苯等有害物质</w:t>
                  </w:r>
                  <w:r>
                    <w:rPr>
                      <w:rFonts w:hint="eastAsia" w:cs="Times New Roman"/>
                      <w:snapToGrid w:val="0"/>
                      <w:color w:val="000000"/>
                      <w:sz w:val="21"/>
                    </w:rPr>
                    <w:t>，不会产生有害气体</w:t>
                  </w:r>
                  <w:r>
                    <w:rPr>
                      <w:rFonts w:cs="Times New Roman"/>
                      <w:snapToGrid w:val="0"/>
                      <w:color w:val="000000"/>
                      <w:sz w:val="21"/>
                    </w:rPr>
                    <w:t>。这类产品通常具有无毒、无味、不易燃等特点，因此更加安全环保。它们广泛应用于纸张、木材、织物、皮革等多种材料的粘合</w:t>
                  </w:r>
                  <w:r>
                    <w:rPr>
                      <w:rFonts w:hint="eastAsia" w:cs="Times New Roman"/>
                      <w:snapToGrid w:val="0"/>
                      <w:color w:val="000000"/>
                      <w:sz w:val="21"/>
                      <w:lang w:eastAsia="zh"/>
                    </w:rPr>
                    <w:t>。</w:t>
                  </w:r>
                </w:p>
                <w:p>
                  <w:pPr>
                    <w:spacing w:line="240" w:lineRule="auto"/>
                    <w:ind w:firstLine="420" w:firstLineChars="200"/>
                    <w:jc w:val="left"/>
                    <w:rPr>
                      <w:rFonts w:cs="Times New Roman"/>
                      <w:snapToGrid w:val="0"/>
                      <w:color w:val="000000"/>
                      <w:sz w:val="21"/>
                      <w:lang w:eastAsia="zh"/>
                    </w:rPr>
                  </w:pPr>
                  <w:r>
                    <w:rPr>
                      <w:rFonts w:hint="eastAsia" w:cs="Times New Roman"/>
                      <w:snapToGrid w:val="0"/>
                      <w:color w:val="000000"/>
                      <w:sz w:val="21"/>
                      <w:lang w:val="en-US" w:eastAsia="zh-CN"/>
                    </w:rPr>
                    <w:t>根据世界卫生组织（WHO，1989）对总挥发性有机物的定义：熔点低于室温而沸点在50-260℃之间的挥发性有机</w:t>
                  </w:r>
                  <w:r>
                    <w:rPr>
                      <w:rFonts w:hint="eastAsia" w:ascii="Times New Roman" w:hAnsi="Times New Roman" w:eastAsia="宋体" w:cs="Times New Roman"/>
                      <w:snapToGrid w:val="0"/>
                      <w:color w:val="000000"/>
                      <w:kern w:val="2"/>
                      <w:sz w:val="21"/>
                      <w:szCs w:val="22"/>
                      <w:lang w:val="en-US" w:eastAsia="zh-CN" w:bidi="ar-SA"/>
                    </w:rPr>
                    <w:t>化合物的总称。综合水基胶粘剂的物料组成（水、聚乙烯醇、瓷土、玉米淀粉均无VOCs属性）、核心成分理化性质（熔点、稳定性等均不满足VOCs定义），以及项目常温生产、自然晾干的工艺特点，可判定：本项目使用的水基胶粘剂在生产过程中无挥发性有机物（VOCs）产生，且具备无毒、无有害气体释放等环保特性，不存在因VOCs导致的环境风险，符合环保型胶粘剂的使用要求。</w:t>
                  </w:r>
                </w:p>
              </w:tc>
            </w:tr>
          </w:tbl>
          <w:p>
            <w:pPr>
              <w:spacing w:before="163" w:beforeLines="50" w:line="240" w:lineRule="auto"/>
              <w:ind w:firstLine="0" w:firstLineChars="0"/>
              <w:jc w:val="center"/>
              <w:rPr>
                <w:rFonts w:hint="default"/>
                <w:b/>
                <w:color w:val="000000"/>
                <w:sz w:val="21"/>
                <w:lang w:val="en-US" w:eastAsia="zh-CN"/>
              </w:rPr>
            </w:pPr>
            <w:bookmarkStart w:id="6" w:name="_Hlk76403418"/>
            <w:r>
              <w:rPr>
                <w:rFonts w:hint="eastAsia"/>
                <w:b/>
                <w:color w:val="000000"/>
                <w:sz w:val="21"/>
                <w:lang w:val="en-US" w:eastAsia="zh-CN"/>
              </w:rPr>
              <w:t>表2-6 本项目纸筒主要物料平衡表</w:t>
            </w:r>
          </w:p>
          <w:tbl>
            <w:tblPr>
              <w:tblStyle w:val="30"/>
              <w:tblW w:w="858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146"/>
              <w:gridCol w:w="2146"/>
              <w:gridCol w:w="2146"/>
              <w:gridCol w:w="21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4292" w:type="dxa"/>
                  <w:gridSpan w:val="2"/>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投入量</w:t>
                  </w:r>
                </w:p>
              </w:tc>
              <w:tc>
                <w:tcPr>
                  <w:tcW w:w="4292" w:type="dxa"/>
                  <w:gridSpan w:val="2"/>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产出量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2146" w:type="dxa"/>
                  <w:tcBorders>
                    <w:tl2br w:val="nil"/>
                    <w:tr2bl w:val="nil"/>
                  </w:tcBorders>
                  <w:vAlign w:val="center"/>
                </w:tcPr>
                <w:p>
                  <w:pPr>
                    <w:pStyle w:val="38"/>
                    <w:ind w:left="0" w:leftChars="0" w:firstLine="0" w:firstLineChars="0"/>
                    <w:rPr>
                      <w:rFonts w:hint="eastAsia" w:eastAsia="宋体"/>
                      <w:sz w:val="21"/>
                      <w:szCs w:val="21"/>
                      <w:vertAlign w:val="baseline"/>
                      <w:lang w:val="en-US" w:eastAsia="zh-CN"/>
                    </w:rPr>
                  </w:pPr>
                  <w:r>
                    <w:rPr>
                      <w:rFonts w:hint="eastAsia"/>
                    </w:rPr>
                    <w:t>纱管纸</w:t>
                  </w:r>
                </w:p>
              </w:tc>
              <w:tc>
                <w:tcPr>
                  <w:tcW w:w="2146" w:type="dxa"/>
                  <w:tcBorders>
                    <w:tl2br w:val="nil"/>
                    <w:tr2bl w:val="nil"/>
                  </w:tcBorders>
                  <w:vAlign w:val="center"/>
                </w:tcPr>
                <w:p>
                  <w:pPr>
                    <w:pStyle w:val="38"/>
                    <w:ind w:left="0" w:leftChars="0" w:firstLine="0" w:firstLineChars="0"/>
                    <w:rPr>
                      <w:rFonts w:hint="default"/>
                      <w:sz w:val="21"/>
                      <w:szCs w:val="21"/>
                      <w:vertAlign w:val="baseline"/>
                      <w:lang w:val="en-US"/>
                    </w:rPr>
                  </w:pPr>
                  <w:r>
                    <w:rPr>
                      <w:rFonts w:hint="eastAsia"/>
                      <w:spacing w:val="12"/>
                      <w:lang w:val="en-US" w:eastAsia="zh-CN"/>
                    </w:rPr>
                    <w:t>816</w:t>
                  </w:r>
                  <w:r>
                    <w:rPr>
                      <w:rFonts w:hint="eastAsia"/>
                      <w:sz w:val="21"/>
                      <w:szCs w:val="21"/>
                      <w:vertAlign w:val="baseline"/>
                      <w:lang w:val="en-US" w:eastAsia="zh-CN"/>
                    </w:rPr>
                    <w:t>t/a（3t/d）</w:t>
                  </w:r>
                </w:p>
              </w:tc>
              <w:tc>
                <w:tcPr>
                  <w:tcW w:w="2146" w:type="dxa"/>
                  <w:vMerge w:val="restart"/>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eastAsia" w:eastAsia="宋体"/>
                      <w:sz w:val="21"/>
                      <w:szCs w:val="21"/>
                      <w:vertAlign w:val="baseline"/>
                      <w:lang w:val="en-US" w:eastAsia="zh-CN"/>
                    </w:rPr>
                  </w:pPr>
                  <w:r>
                    <w:rPr>
                      <w:rFonts w:hint="eastAsia"/>
                      <w:sz w:val="21"/>
                      <w:szCs w:val="21"/>
                      <w:vertAlign w:val="baseline"/>
                      <w:lang w:val="en-US" w:eastAsia="zh-CN"/>
                    </w:rPr>
                    <w:t>纸筒</w:t>
                  </w:r>
                </w:p>
              </w:tc>
              <w:tc>
                <w:tcPr>
                  <w:tcW w:w="2146" w:type="dxa"/>
                  <w:vMerge w:val="restart"/>
                  <w:tcBorders>
                    <w:tl2br w:val="nil"/>
                    <w:tr2bl w:val="nil"/>
                  </w:tcBorders>
                  <w:vAlign w:val="center"/>
                </w:tcPr>
                <w:p>
                  <w:pPr>
                    <w:pStyle w:val="2"/>
                    <w:framePr w:hSpace="0" w:wrap="auto" w:vAnchor="margin" w:hAnchor="text" w:xAlign="left" w:yAlign="inline"/>
                    <w:spacing w:line="240" w:lineRule="auto"/>
                    <w:jc w:val="center"/>
                    <w:rPr>
                      <w:rFonts w:hint="eastAsia"/>
                      <w:sz w:val="21"/>
                      <w:szCs w:val="21"/>
                      <w:vertAlign w:val="baseline"/>
                      <w:lang w:val="en-US" w:eastAsia="zh-CN"/>
                    </w:rPr>
                  </w:pPr>
                  <w:r>
                    <w:rPr>
                      <w:rFonts w:hint="eastAsia"/>
                      <w:sz w:val="21"/>
                      <w:szCs w:val="21"/>
                      <w:vertAlign w:val="baseline"/>
                      <w:lang w:val="en-US" w:eastAsia="zh-CN"/>
                    </w:rPr>
                    <w:t>83.33万m/a</w:t>
                  </w:r>
                </w:p>
                <w:p>
                  <w:pPr>
                    <w:pStyle w:val="2"/>
                    <w:framePr w:hSpace="0" w:wrap="auto" w:vAnchor="margin" w:hAnchor="text" w:xAlign="left" w:yAlign="inline"/>
                    <w:spacing w:line="240" w:lineRule="auto"/>
                    <w:ind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（折1000t/a）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2146" w:type="dxa"/>
                  <w:tcBorders>
                    <w:tl2br w:val="nil"/>
                    <w:tr2bl w:val="nil"/>
                  </w:tcBorders>
                  <w:vAlign w:val="center"/>
                </w:tcPr>
                <w:p>
                  <w:pPr>
                    <w:pStyle w:val="38"/>
                    <w:ind w:left="0" w:leftChars="0" w:firstLine="0" w:firstLineChars="0"/>
                    <w:rPr>
                      <w:rFonts w:hint="eastAsia"/>
                      <w:sz w:val="21"/>
                      <w:szCs w:val="21"/>
                      <w:vertAlign w:val="baseline"/>
                    </w:rPr>
                  </w:pPr>
                  <w:r>
                    <w:rPr>
                      <w:rFonts w:hint="eastAsia"/>
                    </w:rPr>
                    <w:t>牛皮纸</w:t>
                  </w:r>
                </w:p>
              </w:tc>
              <w:tc>
                <w:tcPr>
                  <w:tcW w:w="2146" w:type="dxa"/>
                  <w:tcBorders>
                    <w:tl2br w:val="nil"/>
                    <w:tr2bl w:val="nil"/>
                  </w:tcBorders>
                  <w:vAlign w:val="center"/>
                </w:tcPr>
                <w:p>
                  <w:pPr>
                    <w:pStyle w:val="38"/>
                    <w:ind w:left="0" w:leftChars="0" w:firstLine="0" w:firstLineChars="0"/>
                    <w:rPr>
                      <w:rFonts w:hint="default"/>
                      <w:sz w:val="21"/>
                      <w:szCs w:val="21"/>
                      <w:vertAlign w:val="baseline"/>
                      <w:lang w:val="en-US"/>
                    </w:rPr>
                  </w:pPr>
                  <w:r>
                    <w:rPr>
                      <w:color w:val="000000"/>
                    </w:rPr>
                    <w:t>81.6</w:t>
                  </w:r>
                  <w:r>
                    <w:rPr>
                      <w:rFonts w:hint="eastAsia"/>
                      <w:sz w:val="21"/>
                      <w:szCs w:val="21"/>
                      <w:vertAlign w:val="baseline"/>
                      <w:lang w:val="en-US" w:eastAsia="zh-CN"/>
                    </w:rPr>
                    <w:t>t/a（0.3t/d）</w:t>
                  </w:r>
                </w:p>
              </w:tc>
              <w:tc>
                <w:tcPr>
                  <w:tcW w:w="2146" w:type="dxa"/>
                  <w:vMerge w:val="continue"/>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eastAsia"/>
                      <w:sz w:val="21"/>
                      <w:szCs w:val="21"/>
                      <w:vertAlign w:val="baseline"/>
                    </w:rPr>
                  </w:pPr>
                </w:p>
              </w:tc>
              <w:tc>
                <w:tcPr>
                  <w:tcW w:w="2146" w:type="dxa"/>
                  <w:vMerge w:val="continue"/>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eastAsia"/>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2146" w:type="dxa"/>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eastAsia" w:eastAsia="宋体"/>
                      <w:sz w:val="21"/>
                      <w:szCs w:val="21"/>
                      <w:vertAlign w:val="baseline"/>
                      <w:lang w:val="en-US" w:eastAsia="zh-CN"/>
                    </w:rPr>
                  </w:pPr>
                  <w:r>
                    <w:rPr>
                      <w:rFonts w:hint="eastAsia"/>
                      <w:sz w:val="21"/>
                      <w:szCs w:val="21"/>
                      <w:vertAlign w:val="baseline"/>
                      <w:lang w:val="en-US" w:eastAsia="zh-CN"/>
                    </w:rPr>
                    <w:t>水性胶粘剂</w:t>
                  </w:r>
                </w:p>
              </w:tc>
              <w:tc>
                <w:tcPr>
                  <w:tcW w:w="2146" w:type="dxa"/>
                  <w:tcBorders>
                    <w:tl2br w:val="nil"/>
                    <w:tr2bl w:val="nil"/>
                  </w:tcBorders>
                  <w:vAlign w:val="center"/>
                </w:tcPr>
                <w:p>
                  <w:pPr>
                    <w:pStyle w:val="38"/>
                    <w:ind w:left="0" w:leftChars="0" w:firstLine="0" w:firstLineChars="0"/>
                    <w:rPr>
                      <w:rFonts w:hint="eastAsia"/>
                      <w:sz w:val="21"/>
                      <w:szCs w:val="21"/>
                      <w:vertAlign w:val="baseline"/>
                    </w:rPr>
                  </w:pPr>
                  <w:r>
                    <w:rPr>
                      <w:rFonts w:ascii="Times New Roman" w:hAnsi="Times New Roman" w:eastAsia="宋体" w:cs="Times New Roman"/>
                      <w:color w:val="auto"/>
                      <w:spacing w:val="12"/>
                      <w:kern w:val="2"/>
                      <w:sz w:val="21"/>
                      <w:szCs w:val="21"/>
                      <w:lang w:val="en-US" w:eastAsia="zh" w:bidi="ar-SA"/>
                    </w:rPr>
                    <w:t>136</w:t>
                  </w:r>
                  <w:r>
                    <w:rPr>
                      <w:rFonts w:hint="eastAsia"/>
                      <w:sz w:val="21"/>
                      <w:szCs w:val="21"/>
                      <w:vertAlign w:val="baseline"/>
                      <w:lang w:val="en-US" w:eastAsia="zh-CN"/>
                    </w:rPr>
                    <w:t>t/a（0.5t/d）</w:t>
                  </w:r>
                </w:p>
              </w:tc>
              <w:tc>
                <w:tcPr>
                  <w:tcW w:w="2146" w:type="dxa"/>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eastAsia" w:eastAsia="宋体"/>
                      <w:sz w:val="21"/>
                      <w:szCs w:val="21"/>
                      <w:vertAlign w:val="baseline"/>
                      <w:lang w:val="en-US" w:eastAsia="zh-CN"/>
                    </w:rPr>
                  </w:pPr>
                  <w:r>
                    <w:rPr>
                      <w:rFonts w:hint="eastAsia"/>
                      <w:sz w:val="21"/>
                      <w:szCs w:val="21"/>
                      <w:vertAlign w:val="baseline"/>
                      <w:lang w:val="en-US" w:eastAsia="zh-CN"/>
                    </w:rPr>
                    <w:t>废边角料</w:t>
                  </w:r>
                </w:p>
              </w:tc>
              <w:tc>
                <w:tcPr>
                  <w:tcW w:w="2146" w:type="dxa"/>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33.6t/a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2146" w:type="dxa"/>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eastAsia" w:eastAsia="宋体"/>
                      <w:sz w:val="21"/>
                      <w:szCs w:val="21"/>
                      <w:vertAlign w:val="baseline"/>
                      <w:lang w:val="en-US" w:eastAsia="zh-CN"/>
                    </w:rPr>
                  </w:pPr>
                  <w:r>
                    <w:rPr>
                      <w:rFonts w:hint="eastAsia"/>
                      <w:sz w:val="21"/>
                      <w:szCs w:val="21"/>
                      <w:vertAlign w:val="baseline"/>
                      <w:lang w:val="en-US" w:eastAsia="zh-CN"/>
                    </w:rPr>
                    <w:t>合计</w:t>
                  </w:r>
                </w:p>
              </w:tc>
              <w:tc>
                <w:tcPr>
                  <w:tcW w:w="2146" w:type="dxa"/>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1033.6t/a</w:t>
                  </w:r>
                </w:p>
              </w:tc>
              <w:tc>
                <w:tcPr>
                  <w:tcW w:w="2146" w:type="dxa"/>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eastAsia" w:eastAsia="宋体"/>
                      <w:sz w:val="21"/>
                      <w:szCs w:val="21"/>
                      <w:vertAlign w:val="baseline"/>
                      <w:lang w:val="en-US" w:eastAsia="zh-CN"/>
                    </w:rPr>
                  </w:pPr>
                  <w:r>
                    <w:rPr>
                      <w:rFonts w:hint="eastAsia"/>
                      <w:sz w:val="21"/>
                      <w:szCs w:val="21"/>
                      <w:vertAlign w:val="baseline"/>
                      <w:lang w:val="en-US" w:eastAsia="zh-CN"/>
                    </w:rPr>
                    <w:t>合计</w:t>
                  </w:r>
                </w:p>
              </w:tc>
              <w:tc>
                <w:tcPr>
                  <w:tcW w:w="2146" w:type="dxa"/>
                  <w:tcBorders>
                    <w:tl2br w:val="nil"/>
                    <w:tr2bl w:val="nil"/>
                  </w:tcBorders>
                  <w:vAlign w:val="center"/>
                </w:tcPr>
                <w:p>
                  <w:pPr>
                    <w:pStyle w:val="2"/>
                    <w:framePr w:hSpace="0" w:wrap="auto" w:vAnchor="margin" w:hAnchor="text" w:xAlign="left" w:yAlign="inline"/>
                    <w:spacing w:line="240" w:lineRule="auto"/>
                    <w:ind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1033.6t/a</w:t>
                  </w:r>
                </w:p>
              </w:tc>
            </w:tr>
          </w:tbl>
          <w:p>
            <w:pPr>
              <w:pStyle w:val="2"/>
              <w:framePr w:hSpace="0" w:wrap="auto" w:vAnchor="margin" w:hAnchor="text" w:xAlign="left" w:yAlign="inline"/>
              <w:jc w:val="left"/>
              <w:rPr>
                <w:rFonts w:hint="default" w:eastAsia="宋体"/>
                <w:sz w:val="21"/>
                <w:szCs w:val="21"/>
                <w:lang w:val="en-US" w:eastAsia="zh-CN"/>
              </w:rPr>
            </w:pPr>
            <w:r>
              <w:rPr>
                <w:rFonts w:hint="eastAsia"/>
                <w:sz w:val="21"/>
                <w:szCs w:val="21"/>
                <w:lang w:val="en-US" w:eastAsia="zh-CN"/>
              </w:rPr>
              <w:t>注：1.固废均为产生量；2.纸筒平均重量1.2kg/m，折合1000t/a。</w:t>
            </w:r>
          </w:p>
          <w:p>
            <w:pPr>
              <w:pStyle w:val="4"/>
              <w:framePr w:hSpace="0" w:wrap="auto" w:vAnchor="margin" w:hAnchor="text" w:xAlign="left" w:yAlign="inline"/>
            </w:pPr>
            <w:r>
              <w:rPr>
                <w:rFonts w:hint="eastAsia"/>
              </w:rPr>
              <w:t>2</w:t>
            </w:r>
            <w:r>
              <w:t>.5</w:t>
            </w:r>
            <w:r>
              <w:rPr>
                <w:rFonts w:hint="eastAsia"/>
              </w:rPr>
              <w:t>劳动定员及工作制度</w:t>
            </w:r>
          </w:p>
          <w:bookmarkEnd w:id="6"/>
          <w:p>
            <w:pPr>
              <w:ind w:firstLine="480"/>
              <w:rPr>
                <w:bCs/>
              </w:rPr>
            </w:pPr>
            <w:r>
              <w:rPr>
                <w:color w:val="000000"/>
              </w:rPr>
              <w:t>本项目</w:t>
            </w:r>
            <w:r>
              <w:rPr>
                <w:rFonts w:hint="eastAsia"/>
                <w:color w:val="000000"/>
              </w:rPr>
              <w:t>劳动定员5人，</w:t>
            </w:r>
            <w:r>
              <w:rPr>
                <w:color w:val="000000"/>
              </w:rPr>
              <w:t>年工作</w:t>
            </w:r>
            <w:r>
              <w:rPr>
                <w:rFonts w:hint="default"/>
                <w:color w:val="000000"/>
              </w:rPr>
              <w:t>272</w:t>
            </w:r>
            <w:r>
              <w:rPr>
                <w:color w:val="000000"/>
              </w:rPr>
              <w:t>天</w:t>
            </w:r>
            <w:r>
              <w:rPr>
                <w:rFonts w:hint="eastAsia"/>
                <w:color w:val="000000"/>
              </w:rPr>
              <w:t>，每天</w:t>
            </w:r>
            <w:r>
              <w:rPr>
                <w:color w:val="000000"/>
              </w:rPr>
              <w:t>8</w:t>
            </w:r>
            <w:r>
              <w:rPr>
                <w:rFonts w:hint="eastAsia"/>
                <w:color w:val="000000"/>
              </w:rPr>
              <w:t>小时工作制，项目区内不设食宿</w:t>
            </w:r>
            <w:r>
              <w:rPr>
                <w:rFonts w:hint="eastAsia"/>
                <w:bCs/>
              </w:rPr>
              <w:t>。</w:t>
            </w:r>
          </w:p>
          <w:p>
            <w:pPr>
              <w:pStyle w:val="4"/>
              <w:framePr w:hSpace="0" w:wrap="auto" w:vAnchor="margin" w:hAnchor="text" w:xAlign="left" w:yAlign="inline"/>
            </w:pPr>
            <w:r>
              <w:t>2.6</w:t>
            </w:r>
            <w:r>
              <w:rPr>
                <w:rFonts w:hint="eastAsia"/>
              </w:rPr>
              <w:t>平面布置</w:t>
            </w:r>
          </w:p>
          <w:p>
            <w:pPr>
              <w:ind w:firstLine="480"/>
            </w:pPr>
            <w:r>
              <w:rPr>
                <w:rFonts w:hint="eastAsia"/>
              </w:rPr>
              <w:t>项目租赁已建成厂房，按生产流程布置设备摆放</w:t>
            </w:r>
            <w:r>
              <w:rPr>
                <w:rFonts w:hint="eastAsia"/>
                <w:bCs/>
                <w:kern w:val="0"/>
                <w:szCs w:val="24"/>
              </w:rPr>
              <w:t xml:space="preserve">。厂区整体布局紧凑合理，顺应装运流程，便于产品的运输及日常管理和应急救援，详见附图5 </w:t>
            </w:r>
            <w:r>
              <w:rPr>
                <w:rFonts w:hint="eastAsia"/>
                <w:bCs/>
                <w:kern w:val="0"/>
                <w:szCs w:val="24"/>
                <w:lang w:eastAsia="zh-CN"/>
              </w:rPr>
              <w:t>《</w:t>
            </w:r>
            <w:r>
              <w:rPr>
                <w:rFonts w:hint="eastAsia"/>
                <w:bCs/>
                <w:kern w:val="0"/>
                <w:szCs w:val="24"/>
              </w:rPr>
              <w:t>生产车间平面布置图</w:t>
            </w:r>
            <w:r>
              <w:rPr>
                <w:rFonts w:hint="eastAsia"/>
                <w:bCs/>
                <w:kern w:val="0"/>
                <w:szCs w:val="24"/>
                <w:lang w:eastAsia="zh-CN"/>
              </w:rPr>
              <w:t>》</w:t>
            </w:r>
            <w:r>
              <w:rPr>
                <w:rFonts w:hint="eastAsia"/>
                <w:bCs/>
                <w:kern w:val="0"/>
                <w:szCs w:val="24"/>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（1）平面布置合理性分析</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color w:val="000000" w:themeColor="text1"/>
                <w14:textFill>
                  <w14:solidFill>
                    <w14:schemeClr w14:val="tx1"/>
                  </w14:solidFill>
                </w14:textFill>
              </w:rPr>
              <w:t>项目以产品的加工生产流程为原则布置，顺延了物料走向，交通方便，便于物料的运输；</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w:t>
            </w:r>
            <w:r>
              <w:rPr>
                <w:color w:val="000000" w:themeColor="text1"/>
                <w14:textFill>
                  <w14:solidFill>
                    <w14:schemeClr w14:val="tx1"/>
                  </w14:solidFill>
                </w14:textFill>
              </w:rPr>
              <w:t>该项目评价范围内不涉及自然保护区、风景名胜区等需要特殊保护的敏感目标，因此生产过程对其环境影响较小；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w:t>
            </w:r>
            <w:r>
              <w:rPr>
                <w:color w:val="000000" w:themeColor="text1"/>
                <w14:textFill>
                  <w14:solidFill>
                    <w14:schemeClr w14:val="tx1"/>
                  </w14:solidFill>
                </w14:textFill>
              </w:rPr>
              <w:t>由于拟建项目对外界环境要求不高，且周围企业采取相应的环保措施后能够满足</w:t>
            </w:r>
            <w:r>
              <w:rPr>
                <w:rFonts w:hint="eastAsia"/>
                <w:color w:val="000000" w:themeColor="text1"/>
                <w14:textFill>
                  <w14:solidFill>
                    <w14:schemeClr w14:val="tx1"/>
                  </w14:solidFill>
                </w14:textFill>
              </w:rPr>
              <w:t>相应大气污染物排放标准和工业企业厂界环境噪声排放标准，对拟建项目环境影响程度较小。因此，拟建项目与厂区周围环境相协调；</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④厂区平面布置可以满足企业生产和管理要求，符合国家和地方有关环保、防火、安全、卫生等方面的要求；</w:t>
            </w:r>
          </w:p>
          <w:p>
            <w:pPr>
              <w:ind w:firstLine="480"/>
            </w:pPr>
            <w:r>
              <w:rPr>
                <w:rFonts w:hint="eastAsia"/>
                <w:color w:val="000000" w:themeColor="text1"/>
                <w14:textFill>
                  <w14:solidFill>
                    <w14:schemeClr w14:val="tx1"/>
                  </w14:solidFill>
                </w14:textFill>
              </w:rPr>
              <w:t>⑤厂区内通道宽阔，能满足产品的运输和消防要求，由以上分析，项目区平面布置较为合理，</w:t>
            </w:r>
            <w:r>
              <w:rPr>
                <w:color w:val="000000" w:themeColor="text1"/>
                <w14:textFill>
                  <w14:solidFill>
                    <w14:schemeClr w14:val="tx1"/>
                  </w14:solidFill>
                </w14:textFill>
              </w:rPr>
              <w:t>具体</w:t>
            </w:r>
            <w:r>
              <w:rPr>
                <w:rFonts w:hint="eastAsia"/>
                <w:color w:val="000000" w:themeColor="text1"/>
                <w14:textFill>
                  <w14:solidFill>
                    <w14:schemeClr w14:val="tx1"/>
                  </w14:solidFill>
                </w14:textFill>
              </w:rPr>
              <w:t>平面布置图见附图2</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附图5</w:t>
            </w:r>
            <w:r>
              <w:t>。</w:t>
            </w:r>
          </w:p>
          <w:p>
            <w:pPr>
              <w:keepNext/>
              <w:keepLines/>
              <w:spacing w:before="240" w:after="120" w:line="240" w:lineRule="auto"/>
              <w:ind w:firstLine="0" w:firstLineChars="0"/>
              <w:outlineLvl w:val="1"/>
              <w:rPr>
                <w:rFonts w:cs="Times New Roman"/>
                <w:b/>
                <w:bCs/>
                <w:color w:val="000000"/>
                <w:szCs w:val="32"/>
              </w:rPr>
            </w:pPr>
            <w:r>
              <w:rPr>
                <w:rFonts w:cs="Times New Roman"/>
                <w:b/>
                <w:bCs/>
                <w:color w:val="000000"/>
                <w:szCs w:val="32"/>
              </w:rPr>
              <w:t>2.7</w:t>
            </w:r>
            <w:r>
              <w:rPr>
                <w:rFonts w:hint="eastAsia" w:cs="Times New Roman"/>
                <w:b/>
                <w:bCs/>
                <w:color w:val="000000"/>
                <w:szCs w:val="32"/>
              </w:rPr>
              <w:t>公用工程</w:t>
            </w:r>
          </w:p>
          <w:p>
            <w:pPr>
              <w:ind w:firstLine="0" w:firstLineChars="0"/>
              <w:rPr>
                <w:b/>
                <w:bCs/>
              </w:rPr>
            </w:pPr>
            <w:r>
              <w:rPr>
                <w:rFonts w:hint="eastAsia"/>
                <w:b/>
                <w:bCs/>
              </w:rPr>
              <w:t>2</w:t>
            </w:r>
            <w:r>
              <w:rPr>
                <w:b/>
                <w:bCs/>
              </w:rPr>
              <w:t>.7.1</w:t>
            </w:r>
            <w:r>
              <w:rPr>
                <w:rFonts w:hint="eastAsia"/>
                <w:b/>
                <w:bCs/>
              </w:rPr>
              <w:t>给排水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纸筒加工工艺无需用水，不产生生产废水。员工依托本厂已建好的卫生间，不在生产车间内，本项目无废水产生。</w:t>
            </w:r>
          </w:p>
          <w:p>
            <w:pPr>
              <w:ind w:firstLine="0" w:firstLineChars="0"/>
              <w:rPr>
                <w:b/>
                <w:bCs/>
              </w:rPr>
            </w:pPr>
            <w:r>
              <w:rPr>
                <w:rFonts w:hint="eastAsia"/>
                <w:b/>
                <w:bCs/>
              </w:rPr>
              <w:t>2</w:t>
            </w:r>
            <w:r>
              <w:rPr>
                <w:b/>
                <w:bCs/>
              </w:rPr>
              <w:t>.7.3</w:t>
            </w:r>
            <w:r>
              <w:rPr>
                <w:rFonts w:hint="eastAsia"/>
                <w:b/>
                <w:bCs/>
              </w:rPr>
              <w:t>供电</w:t>
            </w:r>
          </w:p>
          <w:p>
            <w:pPr>
              <w:ind w:firstLine="480"/>
              <w:jc w:val="left"/>
            </w:pPr>
            <w:r>
              <w:rPr>
                <w:rFonts w:hint="eastAsia"/>
              </w:rPr>
              <w:t>本项目用电由市政电网提供。</w:t>
            </w:r>
          </w:p>
          <w:p>
            <w:pPr>
              <w:ind w:firstLine="0" w:firstLineChars="0"/>
              <w:jc w:val="left"/>
              <w:rPr>
                <w:b/>
                <w:bCs/>
              </w:rPr>
            </w:pPr>
            <w:r>
              <w:rPr>
                <w:rFonts w:hint="eastAsia"/>
                <w:b/>
                <w:bCs/>
              </w:rPr>
              <w:t>2</w:t>
            </w:r>
            <w:r>
              <w:rPr>
                <w:b/>
                <w:bCs/>
              </w:rPr>
              <w:t>.7.4供暖</w:t>
            </w:r>
          </w:p>
          <w:p>
            <w:pPr>
              <w:ind w:firstLine="480"/>
              <w:jc w:val="left"/>
              <w:rPr>
                <w:rFonts w:hint="eastAsia" w:eastAsia="宋体"/>
                <w:lang w:val="en-US" w:eastAsia="zh-CN"/>
              </w:rPr>
            </w:pPr>
            <w:r>
              <w:rPr>
                <w:rFonts w:hint="eastAsia"/>
                <w:color w:val="000000" w:themeColor="text1"/>
                <w:lang w:val="en-US" w:eastAsia="zh-CN"/>
                <w14:textFill>
                  <w14:solidFill>
                    <w14:schemeClr w14:val="tx1"/>
                  </w14:solidFill>
                </w14:textFill>
              </w:rPr>
              <w:t>冬季厂房内不提供集中供暖，生产过程中所需的加热需求通过电加热设备满足。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456" w:type="dxa"/>
            <w:vAlign w:val="center"/>
          </w:tcPr>
          <w:p>
            <w:pPr>
              <w:widowControl/>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工艺流程和产排污环节</w:t>
            </w:r>
          </w:p>
        </w:tc>
        <w:tc>
          <w:tcPr>
            <w:tcW w:w="8830" w:type="dxa"/>
          </w:tcPr>
          <w:p>
            <w:pPr>
              <w:pStyle w:val="4"/>
              <w:framePr w:hSpace="0" w:wrap="auto" w:vAnchor="margin" w:hAnchor="text" w:xAlign="left" w:yAlign="inline"/>
            </w:pPr>
            <w:r>
              <w:rPr>
                <w:rFonts w:hint="eastAsia"/>
              </w:rPr>
              <w:t>2</w:t>
            </w:r>
            <w:r>
              <w:t>.8</w:t>
            </w:r>
            <w:r>
              <w:rPr>
                <w:rFonts w:hint="eastAsia"/>
              </w:rPr>
              <w:t>工艺流程与产污环节分析</w:t>
            </w:r>
          </w:p>
          <w:p>
            <w:pPr>
              <w:ind w:firstLine="480"/>
              <w:rPr>
                <w:bCs/>
                <w:snapToGrid w:val="0"/>
                <w:kern w:val="0"/>
              </w:rPr>
            </w:pPr>
            <w:r>
              <w:rPr>
                <w:rFonts w:hint="eastAsia"/>
              </w:rPr>
              <w:t>项目租赁</w:t>
            </w:r>
            <w:r>
              <w:rPr>
                <w:rFonts w:hint="eastAsia" w:cs="Times New Roman"/>
                <w:szCs w:val="24"/>
              </w:rPr>
              <w:t>巴州鑫达资产管理有限公司</w:t>
            </w:r>
            <w:r>
              <w:rPr>
                <w:rFonts w:hint="eastAsia"/>
              </w:rPr>
              <w:t>已建成厂房，项目区施工期主要为场地基础施工及设备安装调试，对环境影响较小，故施工期不在进行分析。</w:t>
            </w:r>
          </w:p>
          <w:p>
            <w:pPr>
              <w:ind w:firstLine="0" w:firstLineChars="0"/>
              <w:rPr>
                <w:b/>
              </w:rPr>
            </w:pPr>
            <w:r>
              <w:rPr>
                <w:rFonts w:hint="eastAsia"/>
                <w:b/>
              </w:rPr>
              <w:t>2</w:t>
            </w:r>
            <w:r>
              <w:rPr>
                <w:b/>
              </w:rPr>
              <w:t>.8.2</w:t>
            </w:r>
            <w:r>
              <w:rPr>
                <w:rFonts w:hint="eastAsia"/>
                <w:b/>
              </w:rPr>
              <w:t>营运期工艺流程分析</w:t>
            </w:r>
          </w:p>
          <w:p>
            <w:pPr>
              <w:ind w:firstLine="0" w:firstLineChars="0"/>
              <w:rPr>
                <w:b/>
                <w:bCs/>
              </w:rPr>
            </w:pPr>
            <w:r>
              <w:rPr>
                <w:b/>
                <w:bCs/>
              </w:rPr>
              <w:t>1</w:t>
            </w:r>
            <w:r>
              <w:rPr>
                <w:rFonts w:hint="eastAsia"/>
                <w:b/>
                <w:bCs/>
              </w:rPr>
              <w:t>、生产工艺流程</w:t>
            </w:r>
          </w:p>
          <w:p>
            <w:pPr>
              <w:pStyle w:val="2"/>
              <w:framePr w:hSpace="0" w:wrap="auto" w:vAnchor="margin" w:hAnchor="text" w:xAlign="left" w:yAlign="inline"/>
              <w:ind w:firstLine="480" w:firstLineChars="200"/>
              <w:jc w:val="both"/>
            </w:pPr>
            <w:r>
              <w:rPr>
                <w:rFonts w:hint="eastAsia"/>
              </w:rPr>
              <w:t>纸筒生产工艺</w:t>
            </w:r>
          </w:p>
          <w:p>
            <w:pPr>
              <w:ind w:firstLine="0" w:firstLineChars="0"/>
            </w:pPr>
            <w:r>
              <w:rPr>
                <w:rFonts w:hint="eastAsia"/>
              </w:rPr>
              <w:drawing>
                <wp:inline distT="0" distB="0" distL="114300" distR="114300">
                  <wp:extent cx="5464175" cy="1289685"/>
                  <wp:effectExtent l="9525" t="9525" r="12700" b="15240"/>
                  <wp:docPr id="1" name="图片 1" descr="截图2024111019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20241110191029"/>
                          <pic:cNvPicPr>
                            <a:picLocks noChangeAspect="1"/>
                          </pic:cNvPicPr>
                        </pic:nvPicPr>
                        <pic:blipFill>
                          <a:blip r:embed="rId14"/>
                          <a:stretch>
                            <a:fillRect/>
                          </a:stretch>
                        </pic:blipFill>
                        <pic:spPr>
                          <a:xfrm>
                            <a:off x="0" y="0"/>
                            <a:ext cx="5464175" cy="1289685"/>
                          </a:xfrm>
                          <a:prstGeom prst="rect">
                            <a:avLst/>
                          </a:prstGeom>
                          <a:ln>
                            <a:solidFill>
                              <a:schemeClr val="tx1"/>
                            </a:solidFill>
                          </a:ln>
                        </pic:spPr>
                      </pic:pic>
                    </a:graphicData>
                  </a:graphic>
                </wp:inline>
              </w:drawing>
            </w:r>
          </w:p>
          <w:p>
            <w:pPr>
              <w:spacing w:line="240" w:lineRule="auto"/>
              <w:ind w:firstLine="422"/>
              <w:jc w:val="center"/>
              <w:rPr>
                <w:b/>
                <w:bCs/>
                <w:sz w:val="21"/>
                <w:szCs w:val="21"/>
              </w:rPr>
            </w:pPr>
            <w:r>
              <w:rPr>
                <w:rFonts w:hint="eastAsia"/>
                <w:b/>
                <w:bCs/>
                <w:sz w:val="21"/>
                <w:szCs w:val="21"/>
              </w:rPr>
              <w:t>图1 纸筒生产工艺流程及产物环节示意图</w:t>
            </w:r>
          </w:p>
          <w:p>
            <w:pPr>
              <w:ind w:firstLine="480"/>
              <w:rPr>
                <w:rFonts w:ascii="Segoe UI" w:hAnsi="Segoe UI" w:eastAsia="Segoe UI" w:cs="Segoe UI"/>
                <w:i w:val="0"/>
                <w:iCs w:val="0"/>
                <w:caps w:val="0"/>
                <w:spacing w:val="0"/>
                <w:sz w:val="24"/>
                <w:szCs w:val="24"/>
                <w:shd w:val="clear" w:fill="FFFFFF"/>
              </w:rPr>
            </w:pPr>
            <w:r>
              <w:rPr>
                <w:rFonts w:ascii="Segoe UI" w:hAnsi="Segoe UI" w:eastAsia="Segoe UI" w:cs="Segoe UI"/>
                <w:i w:val="0"/>
                <w:iCs w:val="0"/>
                <w:caps w:val="0"/>
                <w:spacing w:val="0"/>
                <w:sz w:val="24"/>
                <w:szCs w:val="24"/>
                <w:shd w:val="clear" w:fill="FFFFFF"/>
              </w:rPr>
              <w:t>本项目生产纸筒的原料为外购的砂管纸</w:t>
            </w:r>
            <w:r>
              <w:rPr>
                <w:rFonts w:hint="eastAsia"/>
              </w:rPr>
              <w:t>，</w:t>
            </w:r>
            <w:r>
              <w:rPr>
                <w:rFonts w:ascii="Segoe UI" w:hAnsi="Segoe UI" w:eastAsia="Segoe UI" w:cs="Segoe UI"/>
                <w:i w:val="0"/>
                <w:iCs w:val="0"/>
                <w:caps w:val="0"/>
                <w:spacing w:val="0"/>
                <w:sz w:val="24"/>
                <w:szCs w:val="24"/>
                <w:shd w:val="clear" w:fill="FFFFFF"/>
              </w:rPr>
              <w:t>这些砂管纸以成卷状态运至厂区原料仓库储存。</w:t>
            </w:r>
          </w:p>
          <w:p>
            <w:pPr>
              <w:ind w:firstLine="480"/>
            </w:pPr>
            <w:r>
              <w:rPr>
                <w:rFonts w:hint="eastAsia"/>
              </w:rPr>
              <w:t>工艺流程说明：</w:t>
            </w:r>
            <w:r>
              <w:rPr>
                <w:rFonts w:ascii="Segoe UI" w:hAnsi="Segoe UI" w:eastAsia="Segoe UI" w:cs="Segoe UI"/>
                <w:i w:val="0"/>
                <w:iCs w:val="0"/>
                <w:caps w:val="0"/>
                <w:spacing w:val="0"/>
                <w:sz w:val="24"/>
                <w:szCs w:val="24"/>
                <w:shd w:val="clear" w:fill="FFFFFF"/>
              </w:rPr>
              <w:t>先将砂管纸取出，经人工核对规格（如宽度、厚度）后，逐一放入卷管机的进料口。砂管纸在卷管机内依次经过三个关键工序：首先是过胶环节，通过机械辊轴将预先调制好的水基胶粘剂均匀涂抹在砂管纸的粘合面上；随后进入压力与动力复卷工序，在设备的机械压力作用下，多条涂胶后的砂管纸紧密贴合，同时借助卷管机的动力系统带动芯轴旋转，使砂管纸围绕芯轴逐层复卷，逐渐形成具有一定强度和圆度的圆柱形纸筒；复卷成型后，纸筒需进入晾干工序：由于粘合过程中使用了水基胶粘剂，此时纸筒表面及层间仍含有少量水分，需将其放置在通风干燥的晾置区（或通过传送带输送至晾干架），利用自然通风让水分缓慢蒸发，确保胶粘剂充分固化，增强纸筒的粘合强度和结构稳定性。待纸筒完全晾干后，卷管机会根据预设的产品长度，启动内置的切断装置，通过高速旋转的刀片将连续成型的纸筒精准切断，最终形成单段的纸筒产品，切断后的产品经传送带输送至质检区进行外观和尺寸检查。</w:t>
            </w:r>
          </w:p>
          <w:p>
            <w:pPr>
              <w:pStyle w:val="4"/>
              <w:framePr w:hSpace="0" w:wrap="auto" w:vAnchor="margin" w:hAnchor="text" w:xAlign="left" w:yAlign="inline"/>
              <w:rPr>
                <w:rFonts w:hint="eastAsia" w:eastAsia="宋体"/>
                <w:lang w:val="en-US" w:eastAsia="zh-CN"/>
              </w:rPr>
            </w:pPr>
            <w:r>
              <w:t>2.8.3</w:t>
            </w:r>
            <w:r>
              <w:rPr>
                <w:rFonts w:hint="eastAsia"/>
              </w:rPr>
              <w:t>主要污染工序</w:t>
            </w:r>
            <w:r>
              <w:rPr>
                <w:rFonts w:hint="eastAsia"/>
                <w:lang w:val="en-US" w:eastAsia="zh-CN"/>
              </w:rPr>
              <w:t xml:space="preserve"> </w:t>
            </w:r>
          </w:p>
          <w:p>
            <w:pPr>
              <w:ind w:firstLine="48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本项目主要污染工序见表</w:t>
            </w:r>
            <w:r>
              <w:rPr>
                <w:bCs/>
                <w:color w:val="000000" w:themeColor="text1"/>
                <w:kern w:val="0"/>
                <w14:textFill>
                  <w14:solidFill>
                    <w14:schemeClr w14:val="tx1"/>
                  </w14:solidFill>
                </w14:textFill>
              </w:rPr>
              <w:t>2-</w:t>
            </w:r>
            <w:r>
              <w:rPr>
                <w:rFonts w:hint="eastAsia"/>
                <w:bCs/>
                <w:color w:val="000000" w:themeColor="text1"/>
                <w:kern w:val="0"/>
                <w:lang w:val="en-US" w:eastAsia="zh-CN"/>
                <w14:textFill>
                  <w14:solidFill>
                    <w14:schemeClr w14:val="tx1"/>
                  </w14:solidFill>
                </w14:textFill>
              </w:rPr>
              <w:t>7</w:t>
            </w:r>
            <w:r>
              <w:rPr>
                <w:rFonts w:hint="eastAsia"/>
                <w:bCs/>
                <w:color w:val="000000" w:themeColor="text1"/>
                <w:kern w:val="0"/>
                <w14:textFill>
                  <w14:solidFill>
                    <w14:schemeClr w14:val="tx1"/>
                  </w14:solidFill>
                </w14:textFill>
              </w:rPr>
              <w:t>：</w:t>
            </w:r>
          </w:p>
          <w:p>
            <w:pPr>
              <w:pStyle w:val="2"/>
              <w:framePr w:hSpace="0" w:wrap="auto" w:vAnchor="margin" w:hAnchor="text" w:xAlign="left" w:yAlign="inline"/>
              <w:spacing w:line="240" w:lineRule="auto"/>
              <w:rPr>
                <w:rFonts w:cs="Times New Roman"/>
                <w:b/>
                <w:bCs/>
                <w:sz w:val="21"/>
                <w:szCs w:val="21"/>
              </w:rPr>
            </w:pPr>
            <w:r>
              <w:rPr>
                <w:rFonts w:cs="Times New Roman"/>
                <w:b/>
                <w:bCs/>
                <w:sz w:val="21"/>
                <w:szCs w:val="21"/>
              </w:rPr>
              <w:t>表2-</w:t>
            </w:r>
            <w:r>
              <w:rPr>
                <w:rFonts w:hint="eastAsia" w:cs="Times New Roman"/>
                <w:b/>
                <w:bCs/>
                <w:sz w:val="21"/>
                <w:szCs w:val="21"/>
                <w:lang w:val="en-US" w:eastAsia="zh-CN"/>
              </w:rPr>
              <w:t>7</w:t>
            </w:r>
            <w:r>
              <w:rPr>
                <w:rFonts w:cs="Times New Roman"/>
                <w:b/>
                <w:bCs/>
                <w:sz w:val="21"/>
                <w:szCs w:val="21"/>
              </w:rPr>
              <w:t xml:space="preserve">  主要污染工序汇总</w:t>
            </w:r>
          </w:p>
          <w:tbl>
            <w:tblPr>
              <w:tblStyle w:val="29"/>
              <w:tblW w:w="85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70"/>
              <w:gridCol w:w="1935"/>
              <w:gridCol w:w="2638"/>
              <w:gridCol w:w="2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70" w:type="dxa"/>
                  <w:vAlign w:val="center"/>
                </w:tcPr>
                <w:p>
                  <w:pPr>
                    <w:spacing w:line="240" w:lineRule="auto"/>
                    <w:ind w:firstLine="0" w:firstLineChars="0"/>
                    <w:contextualSpacing/>
                    <w:jc w:val="center"/>
                    <w:rPr>
                      <w:color w:val="000000"/>
                      <w:sz w:val="21"/>
                      <w:szCs w:val="21"/>
                    </w:rPr>
                  </w:pPr>
                  <w:r>
                    <w:rPr>
                      <w:rFonts w:hint="eastAsia"/>
                      <w:color w:val="000000"/>
                      <w:sz w:val="21"/>
                      <w:szCs w:val="21"/>
                    </w:rPr>
                    <w:t>污染物类别</w:t>
                  </w:r>
                </w:p>
              </w:tc>
              <w:tc>
                <w:tcPr>
                  <w:tcW w:w="1935" w:type="dxa"/>
                  <w:vAlign w:val="center"/>
                </w:tcPr>
                <w:p>
                  <w:pPr>
                    <w:spacing w:line="240" w:lineRule="auto"/>
                    <w:ind w:firstLine="0" w:firstLineChars="0"/>
                    <w:contextualSpacing/>
                    <w:jc w:val="center"/>
                    <w:rPr>
                      <w:color w:val="000000"/>
                      <w:sz w:val="21"/>
                      <w:szCs w:val="21"/>
                    </w:rPr>
                  </w:pPr>
                  <w:r>
                    <w:rPr>
                      <w:rFonts w:hint="eastAsia"/>
                      <w:color w:val="000000"/>
                      <w:sz w:val="21"/>
                      <w:szCs w:val="21"/>
                    </w:rPr>
                    <w:t>产生工序</w:t>
                  </w:r>
                </w:p>
              </w:tc>
              <w:tc>
                <w:tcPr>
                  <w:tcW w:w="2638" w:type="dxa"/>
                  <w:vAlign w:val="center"/>
                </w:tcPr>
                <w:p>
                  <w:pPr>
                    <w:spacing w:line="240" w:lineRule="auto"/>
                    <w:ind w:firstLine="0" w:firstLineChars="0"/>
                    <w:contextualSpacing/>
                    <w:jc w:val="center"/>
                    <w:rPr>
                      <w:color w:val="000000"/>
                      <w:sz w:val="21"/>
                      <w:szCs w:val="21"/>
                    </w:rPr>
                  </w:pPr>
                  <w:r>
                    <w:rPr>
                      <w:rFonts w:hint="eastAsia"/>
                      <w:color w:val="000000"/>
                      <w:sz w:val="21"/>
                      <w:szCs w:val="21"/>
                    </w:rPr>
                    <w:t>污染物</w:t>
                  </w:r>
                </w:p>
              </w:tc>
              <w:tc>
                <w:tcPr>
                  <w:tcW w:w="2638" w:type="dxa"/>
                  <w:vAlign w:val="center"/>
                </w:tcPr>
                <w:p>
                  <w:pPr>
                    <w:spacing w:line="240" w:lineRule="auto"/>
                    <w:ind w:firstLine="0" w:firstLineChars="0"/>
                    <w:contextualSpacing/>
                    <w:jc w:val="center"/>
                    <w:rPr>
                      <w:color w:val="000000"/>
                      <w:sz w:val="21"/>
                      <w:szCs w:val="21"/>
                    </w:rPr>
                  </w:pPr>
                  <w:r>
                    <w:rPr>
                      <w:rFonts w:hint="eastAsia"/>
                      <w:color w:val="000000"/>
                      <w:sz w:val="21"/>
                      <w:szCs w:val="21"/>
                    </w:rPr>
                    <w:t>治理措施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70" w:type="dxa"/>
                  <w:vAlign w:val="center"/>
                </w:tcPr>
                <w:p>
                  <w:pPr>
                    <w:spacing w:line="240" w:lineRule="auto"/>
                    <w:ind w:firstLine="0" w:firstLineChars="0"/>
                    <w:contextualSpacing/>
                    <w:jc w:val="center"/>
                    <w:rPr>
                      <w:rFonts w:hint="default" w:eastAsia="宋体"/>
                      <w:color w:val="000000"/>
                      <w:sz w:val="21"/>
                      <w:szCs w:val="21"/>
                      <w:lang w:val="en-US" w:eastAsia="zh-CN"/>
                    </w:rPr>
                  </w:pPr>
                  <w:r>
                    <w:rPr>
                      <w:rFonts w:hint="eastAsia"/>
                      <w:color w:val="000000"/>
                      <w:sz w:val="21"/>
                      <w:szCs w:val="21"/>
                      <w:lang w:val="en-US" w:eastAsia="zh-CN"/>
                    </w:rPr>
                    <w:t>生产废气</w:t>
                  </w:r>
                </w:p>
              </w:tc>
              <w:tc>
                <w:tcPr>
                  <w:tcW w:w="1935" w:type="dxa"/>
                  <w:shd w:val="clear" w:color="auto" w:fill="auto"/>
                  <w:vAlign w:val="center"/>
                </w:tcPr>
                <w:p>
                  <w:pPr>
                    <w:spacing w:line="240" w:lineRule="auto"/>
                    <w:ind w:firstLine="0" w:firstLineChars="0"/>
                    <w:contextualSpacing/>
                    <w:jc w:val="center"/>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rPr>
                    <w:t>切割工序</w:t>
                  </w:r>
                </w:p>
              </w:tc>
              <w:tc>
                <w:tcPr>
                  <w:tcW w:w="2638" w:type="dxa"/>
                  <w:shd w:val="clear" w:color="auto" w:fill="auto"/>
                  <w:vAlign w:val="center"/>
                </w:tcPr>
                <w:p>
                  <w:pPr>
                    <w:spacing w:line="240" w:lineRule="auto"/>
                    <w:ind w:firstLine="0" w:firstLineChars="0"/>
                    <w:contextualSpacing/>
                    <w:jc w:val="center"/>
                    <w:rPr>
                      <w:rFonts w:hint="eastAsia" w:ascii="Times New Roman" w:hAnsi="Times New Roman" w:eastAsia="宋体" w:cstheme="minorBidi"/>
                      <w:color w:val="000000"/>
                      <w:kern w:val="2"/>
                      <w:sz w:val="21"/>
                      <w:szCs w:val="21"/>
                      <w:lang w:val="en-US" w:eastAsia="zh-CN" w:bidi="ar-SA"/>
                    </w:rPr>
                  </w:pPr>
                  <w:r>
                    <w:rPr>
                      <w:rFonts w:hint="eastAsia"/>
                      <w:color w:val="000000"/>
                      <w:sz w:val="21"/>
                      <w:szCs w:val="21"/>
                    </w:rPr>
                    <w:t>颗粒物</w:t>
                  </w:r>
                </w:p>
              </w:tc>
              <w:tc>
                <w:tcPr>
                  <w:tcW w:w="2638" w:type="dxa"/>
                  <w:shd w:val="clear" w:color="auto" w:fill="auto"/>
                  <w:vAlign w:val="center"/>
                </w:tcPr>
                <w:p>
                  <w:pPr>
                    <w:spacing w:line="240" w:lineRule="auto"/>
                    <w:ind w:firstLine="0" w:firstLineChars="0"/>
                    <w:contextualSpacing/>
                    <w:jc w:val="center"/>
                    <w:rPr>
                      <w:rFonts w:hint="default" w:ascii="Times New Roman" w:hAnsi="Times New Roman" w:eastAsia="宋体" w:cstheme="minorBidi"/>
                      <w:color w:val="000000"/>
                      <w:kern w:val="2"/>
                      <w:sz w:val="21"/>
                      <w:szCs w:val="21"/>
                      <w:lang w:val="en-US" w:eastAsia="zh-CN" w:bidi="ar-SA"/>
                    </w:rPr>
                  </w:pPr>
                  <w:r>
                    <w:rPr>
                      <w:rFonts w:hint="eastAsia" w:cstheme="minorBidi"/>
                      <w:color w:val="000000"/>
                      <w:kern w:val="2"/>
                      <w:sz w:val="21"/>
                      <w:szCs w:val="21"/>
                      <w:lang w:val="en-US" w:eastAsia="zh-CN" w:bidi="ar-SA"/>
                    </w:rPr>
                    <w:t>自然降沉，收集后外售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70" w:type="dxa"/>
                  <w:vMerge w:val="restart"/>
                  <w:vAlign w:val="center"/>
                </w:tcPr>
                <w:p>
                  <w:pPr>
                    <w:spacing w:line="240" w:lineRule="auto"/>
                    <w:ind w:firstLine="0" w:firstLineChars="0"/>
                    <w:contextualSpacing/>
                    <w:jc w:val="center"/>
                    <w:rPr>
                      <w:color w:val="000000"/>
                      <w:sz w:val="21"/>
                      <w:szCs w:val="21"/>
                    </w:rPr>
                  </w:pPr>
                  <w:r>
                    <w:rPr>
                      <w:rFonts w:hint="eastAsia"/>
                      <w:color w:val="000000"/>
                      <w:sz w:val="21"/>
                      <w:szCs w:val="21"/>
                    </w:rPr>
                    <w:t>固体废物</w:t>
                  </w:r>
                </w:p>
              </w:tc>
              <w:tc>
                <w:tcPr>
                  <w:tcW w:w="1935" w:type="dxa"/>
                  <w:vAlign w:val="center"/>
                </w:tcPr>
                <w:p>
                  <w:pPr>
                    <w:spacing w:line="240" w:lineRule="auto"/>
                    <w:ind w:firstLine="0" w:firstLineChars="0"/>
                    <w:contextualSpacing/>
                    <w:jc w:val="center"/>
                    <w:rPr>
                      <w:color w:val="000000"/>
                      <w:sz w:val="21"/>
                      <w:szCs w:val="21"/>
                    </w:rPr>
                  </w:pPr>
                  <w:r>
                    <w:rPr>
                      <w:rFonts w:hint="eastAsia"/>
                      <w:color w:val="000000"/>
                      <w:sz w:val="21"/>
                      <w:szCs w:val="21"/>
                      <w:lang w:val="en-US" w:eastAsia="zh-CN"/>
                    </w:rPr>
                    <w:t>质检</w:t>
                  </w:r>
                  <w:r>
                    <w:rPr>
                      <w:rFonts w:hint="eastAsia"/>
                      <w:color w:val="000000"/>
                      <w:sz w:val="21"/>
                      <w:szCs w:val="21"/>
                      <w:lang w:eastAsia="zh"/>
                    </w:rPr>
                    <w:t>工序</w:t>
                  </w:r>
                </w:p>
              </w:tc>
              <w:tc>
                <w:tcPr>
                  <w:tcW w:w="2638" w:type="dxa"/>
                  <w:vAlign w:val="center"/>
                </w:tcPr>
                <w:p>
                  <w:pPr>
                    <w:spacing w:line="240" w:lineRule="auto"/>
                    <w:ind w:firstLine="0" w:firstLineChars="0"/>
                    <w:contextualSpacing/>
                    <w:jc w:val="center"/>
                    <w:rPr>
                      <w:color w:val="000000"/>
                      <w:sz w:val="21"/>
                      <w:szCs w:val="21"/>
                    </w:rPr>
                  </w:pPr>
                  <w:r>
                    <w:rPr>
                      <w:rFonts w:hint="eastAsia"/>
                      <w:sz w:val="21"/>
                      <w:szCs w:val="21"/>
                    </w:rPr>
                    <w:t>废纸、边角料</w:t>
                  </w:r>
                </w:p>
              </w:tc>
              <w:tc>
                <w:tcPr>
                  <w:tcW w:w="2638" w:type="dxa"/>
                  <w:vMerge w:val="restart"/>
                  <w:vAlign w:val="center"/>
                </w:tcPr>
                <w:p>
                  <w:pPr>
                    <w:spacing w:line="240" w:lineRule="auto"/>
                    <w:ind w:firstLine="0" w:firstLineChars="0"/>
                    <w:contextualSpacing/>
                    <w:jc w:val="center"/>
                    <w:rPr>
                      <w:sz w:val="21"/>
                      <w:szCs w:val="21"/>
                    </w:rPr>
                  </w:pPr>
                  <w:r>
                    <w:rPr>
                      <w:rFonts w:hint="eastAsia"/>
                      <w:sz w:val="21"/>
                      <w:szCs w:val="21"/>
                    </w:rPr>
                    <w:t>收集后外卖给回收商回收利用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70" w:type="dxa"/>
                  <w:vMerge w:val="continue"/>
                  <w:vAlign w:val="center"/>
                </w:tcPr>
                <w:p>
                  <w:pPr>
                    <w:spacing w:line="240" w:lineRule="auto"/>
                    <w:ind w:firstLine="0" w:firstLineChars="0"/>
                    <w:contextualSpacing/>
                    <w:jc w:val="center"/>
                    <w:rPr>
                      <w:color w:val="000000"/>
                      <w:sz w:val="21"/>
                      <w:szCs w:val="21"/>
                    </w:rPr>
                  </w:pPr>
                </w:p>
              </w:tc>
              <w:tc>
                <w:tcPr>
                  <w:tcW w:w="1935" w:type="dxa"/>
                  <w:vAlign w:val="center"/>
                </w:tcPr>
                <w:p>
                  <w:pPr>
                    <w:spacing w:line="240" w:lineRule="auto"/>
                    <w:ind w:firstLine="0" w:firstLineChars="0"/>
                    <w:contextualSpacing/>
                    <w:jc w:val="center"/>
                    <w:rPr>
                      <w:color w:val="000000"/>
                      <w:sz w:val="21"/>
                      <w:szCs w:val="21"/>
                    </w:rPr>
                  </w:pPr>
                  <w:r>
                    <w:rPr>
                      <w:rFonts w:hint="eastAsia"/>
                      <w:color w:val="000000"/>
                      <w:sz w:val="21"/>
                      <w:szCs w:val="21"/>
                    </w:rPr>
                    <w:t>切割工序</w:t>
                  </w:r>
                </w:p>
              </w:tc>
              <w:tc>
                <w:tcPr>
                  <w:tcW w:w="2638" w:type="dxa"/>
                  <w:vAlign w:val="center"/>
                </w:tcPr>
                <w:p>
                  <w:pPr>
                    <w:spacing w:line="240" w:lineRule="auto"/>
                    <w:ind w:firstLine="0" w:firstLineChars="0"/>
                    <w:contextualSpacing/>
                    <w:jc w:val="center"/>
                    <w:rPr>
                      <w:sz w:val="21"/>
                      <w:szCs w:val="21"/>
                    </w:rPr>
                  </w:pPr>
                  <w:r>
                    <w:rPr>
                      <w:rFonts w:hint="eastAsia"/>
                      <w:sz w:val="21"/>
                      <w:szCs w:val="21"/>
                    </w:rPr>
                    <w:t>废纸、边角料</w:t>
                  </w:r>
                </w:p>
              </w:tc>
              <w:tc>
                <w:tcPr>
                  <w:tcW w:w="2638" w:type="dxa"/>
                  <w:vMerge w:val="continue"/>
                  <w:vAlign w:val="center"/>
                </w:tcPr>
                <w:p>
                  <w:pPr>
                    <w:spacing w:line="240" w:lineRule="auto"/>
                    <w:ind w:firstLine="0" w:firstLineChars="0"/>
                    <w:contextualSpacing/>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70" w:type="dxa"/>
                  <w:vAlign w:val="center"/>
                </w:tcPr>
                <w:p>
                  <w:pPr>
                    <w:spacing w:line="240" w:lineRule="auto"/>
                    <w:ind w:firstLine="0" w:firstLineChars="0"/>
                    <w:contextualSpacing/>
                    <w:jc w:val="center"/>
                    <w:rPr>
                      <w:color w:val="000000"/>
                      <w:sz w:val="21"/>
                      <w:szCs w:val="21"/>
                    </w:rPr>
                  </w:pPr>
                  <w:r>
                    <w:rPr>
                      <w:rFonts w:hint="eastAsia"/>
                      <w:color w:val="000000"/>
                      <w:sz w:val="21"/>
                      <w:szCs w:val="21"/>
                    </w:rPr>
                    <w:t>噪声</w:t>
                  </w:r>
                </w:p>
              </w:tc>
              <w:tc>
                <w:tcPr>
                  <w:tcW w:w="1935" w:type="dxa"/>
                  <w:vAlign w:val="center"/>
                </w:tcPr>
                <w:p>
                  <w:pPr>
                    <w:spacing w:line="240" w:lineRule="auto"/>
                    <w:ind w:firstLine="0" w:firstLineChars="0"/>
                    <w:contextualSpacing/>
                    <w:jc w:val="center"/>
                    <w:rPr>
                      <w:color w:val="000000"/>
                      <w:sz w:val="21"/>
                      <w:szCs w:val="21"/>
                    </w:rPr>
                  </w:pPr>
                  <w:r>
                    <w:rPr>
                      <w:rFonts w:hint="eastAsia"/>
                      <w:sz w:val="21"/>
                      <w:szCs w:val="21"/>
                    </w:rPr>
                    <w:t>机械设备运行</w:t>
                  </w:r>
                </w:p>
              </w:tc>
              <w:tc>
                <w:tcPr>
                  <w:tcW w:w="2638" w:type="dxa"/>
                  <w:vAlign w:val="center"/>
                </w:tcPr>
                <w:p>
                  <w:pPr>
                    <w:spacing w:line="240" w:lineRule="auto"/>
                    <w:ind w:firstLine="0" w:firstLineChars="0"/>
                    <w:contextualSpacing/>
                    <w:jc w:val="center"/>
                    <w:rPr>
                      <w:sz w:val="21"/>
                      <w:szCs w:val="21"/>
                    </w:rPr>
                  </w:pPr>
                  <w:r>
                    <w:rPr>
                      <w:rFonts w:hint="eastAsia"/>
                      <w:sz w:val="21"/>
                      <w:szCs w:val="21"/>
                    </w:rPr>
                    <w:t>设备噪声</w:t>
                  </w:r>
                </w:p>
              </w:tc>
              <w:tc>
                <w:tcPr>
                  <w:tcW w:w="2638" w:type="dxa"/>
                  <w:vAlign w:val="center"/>
                </w:tcPr>
                <w:p>
                  <w:pPr>
                    <w:spacing w:line="240" w:lineRule="auto"/>
                    <w:ind w:firstLine="0" w:firstLineChars="0"/>
                    <w:contextualSpacing/>
                    <w:jc w:val="center"/>
                    <w:rPr>
                      <w:sz w:val="21"/>
                      <w:szCs w:val="21"/>
                    </w:rPr>
                  </w:pPr>
                  <w:r>
                    <w:rPr>
                      <w:rFonts w:hint="eastAsia"/>
                      <w:sz w:val="21"/>
                      <w:szCs w:val="21"/>
                    </w:rPr>
                    <w:t>厂房隔声，设备基础减振</w:t>
                  </w:r>
                </w:p>
              </w:tc>
            </w:tr>
          </w:tbl>
          <w:p>
            <w:pPr>
              <w:ind w:firstLine="420"/>
              <w:rPr>
                <w:rFonts w:hint="eastAsia" w:ascii="宋体" w:hAnsi="宋体" w:cs="Times New Roman"/>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9" w:hRule="atLeast"/>
          <w:jc w:val="center"/>
        </w:trPr>
        <w:tc>
          <w:tcPr>
            <w:tcW w:w="456" w:type="dxa"/>
            <w:vAlign w:val="center"/>
          </w:tcPr>
          <w:p>
            <w:pPr>
              <w:widowControl/>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szCs w:val="24"/>
              </w:rPr>
              <w:t>与项目有关的原有环境污染问题</w:t>
            </w:r>
          </w:p>
        </w:tc>
        <w:tc>
          <w:tcPr>
            <w:tcW w:w="8830" w:type="dxa"/>
            <w:vAlign w:val="center"/>
          </w:tcPr>
          <w:p>
            <w:pPr>
              <w:ind w:firstLine="480"/>
              <w:jc w:val="center"/>
            </w:pPr>
            <w:bookmarkStart w:id="7" w:name="_Hlk76400585"/>
            <w:r>
              <w:rPr>
                <w:rFonts w:hint="eastAsia"/>
              </w:rPr>
              <w:t>本项目为新建项目，无原有污染源问题。</w:t>
            </w:r>
            <w:bookmarkEnd w:id="7"/>
          </w:p>
        </w:tc>
      </w:tr>
    </w:tbl>
    <w:p>
      <w:pPr>
        <w:ind w:firstLine="480"/>
      </w:pPr>
    </w:p>
    <w:p>
      <w:pPr>
        <w:pStyle w:val="35"/>
        <w:ind w:firstLine="420"/>
        <w:sectPr>
          <w:headerReference r:id="rId11" w:type="default"/>
          <w:footerReference r:id="rId12"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docGrid w:type="lines" w:linePitch="326" w:charSpace="0"/>
        </w:sectPr>
      </w:pPr>
    </w:p>
    <w:p>
      <w:pPr>
        <w:pStyle w:val="3"/>
      </w:pPr>
      <w:r>
        <w:rPr>
          <w:rFonts w:hint="eastAsia"/>
        </w:rPr>
        <w:t>三、区域环境质量现状、环境保护目标及评价标准</w:t>
      </w:r>
    </w:p>
    <w:tbl>
      <w:tblPr>
        <w:tblStyle w:val="29"/>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8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26" w:type="dxa"/>
            <w:vAlign w:val="center"/>
          </w:tcPr>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区域</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环境</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质量</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现状</w:t>
            </w:r>
          </w:p>
        </w:tc>
        <w:tc>
          <w:tcPr>
            <w:tcW w:w="8460" w:type="dxa"/>
            <w:vAlign w:val="center"/>
          </w:tcPr>
          <w:p>
            <w:pPr>
              <w:pStyle w:val="4"/>
            </w:pPr>
            <w:bookmarkStart w:id="8" w:name="_Hlk76400648"/>
            <w:r>
              <w:rPr>
                <w:rFonts w:hint="eastAsia"/>
              </w:rPr>
              <w:t>3</w:t>
            </w:r>
            <w:r>
              <w:t>.1</w:t>
            </w:r>
            <w:r>
              <w:rPr>
                <w:rFonts w:hint="eastAsia"/>
              </w:rPr>
              <w:t>环境空气质量评价</w:t>
            </w:r>
          </w:p>
          <w:bookmarkEnd w:id="8"/>
          <w:p>
            <w:pPr>
              <w:ind w:firstLine="0" w:firstLineChars="0"/>
              <w:rPr>
                <w:b/>
                <w:color w:val="000000" w:themeColor="text1"/>
                <w:kern w:val="0"/>
                <w14:textFill>
                  <w14:solidFill>
                    <w14:schemeClr w14:val="tx1"/>
                  </w14:solidFill>
                </w14:textFill>
              </w:rPr>
            </w:pPr>
            <w:r>
              <w:rPr>
                <w:b/>
                <w:color w:val="000000" w:themeColor="text1"/>
                <w:kern w:val="0"/>
                <w14:textFill>
                  <w14:solidFill>
                    <w14:schemeClr w14:val="tx1"/>
                  </w14:solidFill>
                </w14:textFill>
              </w:rPr>
              <w:t>3.1.1</w:t>
            </w:r>
            <w:r>
              <w:rPr>
                <w:rFonts w:hint="eastAsia"/>
                <w:b/>
                <w:color w:val="000000" w:themeColor="text1"/>
                <w:kern w:val="0"/>
                <w14:textFill>
                  <w14:solidFill>
                    <w14:schemeClr w14:val="tx1"/>
                  </w14:solidFill>
                </w14:textFill>
              </w:rPr>
              <w:t>基本污染物环境质量现状评价</w:t>
            </w:r>
          </w:p>
          <w:p>
            <w:pPr>
              <w:adjustRightInd w:val="0"/>
              <w:snapToGrid w:val="0"/>
              <w:ind w:firstLine="480"/>
              <w:rPr>
                <w:rFonts w:hint="eastAsia"/>
              </w:rPr>
            </w:pPr>
            <w:r>
              <w:rPr>
                <w:rFonts w:hint="eastAsia"/>
              </w:rPr>
              <w:t>根据《</w:t>
            </w:r>
            <w:r>
              <w:t>202</w:t>
            </w:r>
            <w:r>
              <w:rPr>
                <w:rFonts w:hint="eastAsia"/>
                <w:lang w:val="en-US" w:eastAsia="zh-CN"/>
              </w:rPr>
              <w:t>4</w:t>
            </w:r>
            <w:r>
              <w:rPr>
                <w:rFonts w:hint="eastAsia"/>
              </w:rPr>
              <w:t>巴音郭楞蒙古自治州生态环境状况公报》</w:t>
            </w:r>
            <w:r>
              <w:rPr>
                <w:rFonts w:hint="eastAsia"/>
                <w:lang w:val="en-US" w:eastAsia="zh-CN"/>
              </w:rPr>
              <w:t>，</w:t>
            </w:r>
            <w:r>
              <w:rPr>
                <w:rFonts w:hint="eastAsia"/>
              </w:rPr>
              <w:t>全州空气质量综合指数为5.22，同比下降7.9%，空气质量明显好于2023年。全州平均优良天数比例为62%，同比增加15.7%，PM</w:t>
            </w:r>
            <w:r>
              <w:rPr>
                <w:rFonts w:hint="eastAsia"/>
                <w:vertAlign w:val="subscript"/>
                <w:lang w:val="en-US" w:eastAsia="zh-CN"/>
              </w:rPr>
              <w:t>10</w:t>
            </w:r>
            <w:r>
              <w:rPr>
                <w:rFonts w:hint="eastAsia"/>
              </w:rPr>
              <w:t>为首要污染物，未出现PM</w:t>
            </w:r>
            <w:r>
              <w:rPr>
                <w:rFonts w:hint="eastAsia"/>
                <w:vertAlign w:val="subscript"/>
              </w:rPr>
              <w:t>2</w:t>
            </w:r>
            <w:r>
              <w:rPr>
                <w:rFonts w:hint="eastAsia"/>
                <w:vertAlign w:val="subscript"/>
                <w:lang w:val="en-US" w:eastAsia="zh-CN"/>
              </w:rPr>
              <w:t>.</w:t>
            </w:r>
            <w:r>
              <w:rPr>
                <w:rFonts w:hint="eastAsia"/>
                <w:vertAlign w:val="subscript"/>
              </w:rPr>
              <w:t>5</w:t>
            </w:r>
            <w:r>
              <w:rPr>
                <w:rFonts w:hint="eastAsia"/>
              </w:rPr>
              <w:t>、O</w:t>
            </w:r>
            <w:r>
              <w:rPr>
                <w:rFonts w:hint="eastAsia"/>
                <w:vertAlign w:val="subscript"/>
                <w:lang w:val="en-US" w:eastAsia="zh-CN"/>
              </w:rPr>
              <w:t>3</w:t>
            </w:r>
            <w:r>
              <w:rPr>
                <w:rFonts w:hint="eastAsia"/>
              </w:rPr>
              <w:t>-8H、SO</w:t>
            </w:r>
            <w:r>
              <w:rPr>
                <w:rFonts w:hint="eastAsia"/>
                <w:vertAlign w:val="subscript"/>
              </w:rPr>
              <w:t>2</w:t>
            </w:r>
            <w:r>
              <w:rPr>
                <w:rFonts w:hint="eastAsia"/>
              </w:rPr>
              <w:t>、NO</w:t>
            </w:r>
            <w:r>
              <w:rPr>
                <w:rFonts w:hint="eastAsia"/>
                <w:vertAlign w:val="subscript"/>
                <w:lang w:val="en-US" w:eastAsia="zh-CN"/>
              </w:rPr>
              <w:t>2</w:t>
            </w:r>
            <w:r>
              <w:rPr>
                <w:rFonts w:hint="eastAsia"/>
              </w:rPr>
              <w:t>、CO为首要污染物的超标天</w:t>
            </w:r>
            <w:r>
              <w:rPr>
                <w:rFonts w:hint="eastAsia"/>
                <w:lang w:eastAsia="zh-CN"/>
              </w:rPr>
              <w:t>。</w:t>
            </w:r>
            <w:r>
              <w:rPr>
                <w:rFonts w:hint="eastAsia"/>
              </w:rPr>
              <w:t>库尔勒市降水pH值范围为7.5~8.4，未监测到酸雨</w:t>
            </w:r>
            <w:r>
              <w:rPr>
                <w:rFonts w:hint="eastAsia"/>
                <w:lang w:eastAsia="zh-CN"/>
              </w:rPr>
              <w:t>。</w:t>
            </w:r>
            <w:r>
              <w:rPr>
                <w:rFonts w:hint="eastAsia"/>
              </w:rPr>
              <w:t>全州八县一市年均降尘量为22.63t/km</w:t>
            </w:r>
            <w:r>
              <w:rPr>
                <w:rFonts w:hint="eastAsia"/>
                <w:vertAlign w:val="superscript"/>
              </w:rPr>
              <w:t>2</w:t>
            </w:r>
            <w:r>
              <w:rPr>
                <w:rFonts w:hint="eastAsia"/>
              </w:rPr>
              <w:t>月。</w:t>
            </w:r>
          </w:p>
          <w:p>
            <w:pPr>
              <w:pStyle w:val="4"/>
            </w:pPr>
            <w:r>
              <w:t>3.1.2</w:t>
            </w:r>
            <w:r>
              <w:rPr>
                <w:rFonts w:hint="eastAsia"/>
              </w:rPr>
              <w:t>其他污染物质量现状评价</w:t>
            </w:r>
          </w:p>
          <w:p>
            <w:pPr>
              <w:ind w:firstLine="480"/>
              <w:textAlignment w:val="auto"/>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1</w:t>
            </w:r>
            <w:r>
              <w:rPr>
                <w:rFonts w:hint="eastAsia" w:cs="Times New Roman"/>
                <w:color w:val="000000" w:themeColor="text1"/>
                <w14:textFill>
                  <w14:solidFill>
                    <w14:schemeClr w14:val="tx1"/>
                  </w14:solidFill>
                </w14:textFill>
              </w:rPr>
              <w:t>）监测布点</w:t>
            </w:r>
          </w:p>
          <w:p>
            <w:pPr>
              <w:adjustRightInd w:val="0"/>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大气环境现状监测依据《建设项目环境影响报告表编制技术指南（污染影响类）（试行）》中监测点设置要求，本次评价选择</w:t>
            </w:r>
            <w:r>
              <w:rPr>
                <w:rFonts w:hint="eastAsia"/>
                <w:lang w:val="en-US" w:eastAsia="zh-CN"/>
              </w:rPr>
              <w:t>库尔勒经济技术开发区国土空间总体规划（2021-2035年）环境影响评价</w:t>
            </w:r>
            <w:r>
              <w:rPr>
                <w:rFonts w:hint="eastAsia"/>
                <w:color w:val="000000" w:themeColor="text1"/>
                <w14:textFill>
                  <w14:solidFill>
                    <w14:schemeClr w14:val="tx1"/>
                  </w14:solidFill>
                </w14:textFill>
              </w:rPr>
              <w:t>现状监测</w:t>
            </w:r>
            <w:r>
              <w:rPr>
                <w:color w:val="000000" w:themeColor="text1"/>
                <w14:textFill>
                  <w14:solidFill>
                    <w14:schemeClr w14:val="tx1"/>
                  </w14:solidFill>
                </w14:textFill>
              </w:rPr>
              <w:t>报告中的监测数据，作为本工程环境空气现状评价基本污染物的数据来源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监测点位于本工程</w:t>
            </w:r>
            <w:r>
              <w:rPr>
                <w:rFonts w:hint="eastAsia"/>
                <w:color w:val="000000" w:themeColor="text1"/>
                <w:lang w:val="en-US" w:eastAsia="zh-CN"/>
                <w14:textFill>
                  <w14:solidFill>
                    <w14:schemeClr w14:val="tx1"/>
                  </w14:solidFill>
                </w14:textFill>
              </w:rPr>
              <w:t>西南</w:t>
            </w:r>
            <w:r>
              <w:rPr>
                <w:color w:val="000000" w:themeColor="text1"/>
                <w14:textFill>
                  <w14:solidFill>
                    <w14:schemeClr w14:val="tx1"/>
                  </w14:solidFill>
                </w14:textFill>
              </w:rPr>
              <w:t>侧</w:t>
            </w:r>
            <w:r>
              <w:rPr>
                <w:rFonts w:hint="eastAsia"/>
                <w:color w:val="000000" w:themeColor="text1"/>
                <w:lang w:val="en-US" w:eastAsia="zh-CN"/>
                <w14:textFill>
                  <w14:solidFill>
                    <w14:schemeClr w14:val="tx1"/>
                  </w14:solidFill>
                </w14:textFill>
              </w:rPr>
              <w:t>300</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处</w:t>
            </w:r>
            <w:r>
              <w:rPr>
                <w:rFonts w:hint="eastAsia"/>
                <w:color w:val="000000" w:themeColor="text1"/>
                <w14:textFill>
                  <w14:solidFill>
                    <w14:schemeClr w14:val="tx1"/>
                  </w14:solidFill>
                </w14:textFill>
              </w:rPr>
              <w:t>，坐标：</w:t>
            </w:r>
            <w:r>
              <w:rPr>
                <w:rFonts w:cs="Times New Roman"/>
                <w:color w:val="000000" w:themeColor="text1"/>
                <w:szCs w:val="24"/>
                <w14:textFill>
                  <w14:solidFill>
                    <w14:schemeClr w14:val="tx1"/>
                  </w14:solidFill>
                </w14:textFill>
              </w:rPr>
              <w:t>E</w:t>
            </w:r>
            <w:r>
              <w:rPr>
                <w:rFonts w:hint="eastAsia" w:cs="Times New Roman"/>
                <w:color w:val="000000" w:themeColor="text1"/>
                <w:szCs w:val="24"/>
                <w14:textFill>
                  <w14:solidFill>
                    <w14:schemeClr w14:val="tx1"/>
                  </w14:solidFill>
                </w14:textFill>
              </w:rPr>
              <w:t>86°18'37.0176"、</w:t>
            </w:r>
            <w:r>
              <w:rPr>
                <w:rFonts w:cs="Times New Roman"/>
                <w:color w:val="000000" w:themeColor="text1"/>
                <w:szCs w:val="24"/>
                <w14:textFill>
                  <w14:solidFill>
                    <w14:schemeClr w14:val="tx1"/>
                  </w14:solidFill>
                </w14:textFill>
              </w:rPr>
              <w:t>N</w:t>
            </w:r>
            <w:r>
              <w:rPr>
                <w:rFonts w:hint="eastAsia" w:cs="Times New Roman"/>
                <w:color w:val="000000" w:themeColor="text1"/>
                <w:szCs w:val="24"/>
                <w14:textFill>
                  <w14:solidFill>
                    <w14:schemeClr w14:val="tx1"/>
                  </w14:solidFill>
                </w14:textFill>
              </w:rPr>
              <w:t>41°31'45.3240"。</w:t>
            </w:r>
          </w:p>
          <w:p>
            <w:pPr>
              <w:spacing w:before="163" w:beforeLines="50" w:line="240" w:lineRule="auto"/>
              <w:ind w:firstLine="0" w:firstLineChars="0"/>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表</w:t>
            </w:r>
            <w:r>
              <w:rPr>
                <w:b/>
                <w:color w:val="000000" w:themeColor="text1"/>
                <w:sz w:val="21"/>
                <w14:textFill>
                  <w14:solidFill>
                    <w14:schemeClr w14:val="tx1"/>
                  </w14:solidFill>
                </w14:textFill>
              </w:rPr>
              <w:t xml:space="preserve">3-1  </w:t>
            </w:r>
            <w:r>
              <w:rPr>
                <w:rFonts w:hint="eastAsia"/>
                <w:b/>
                <w:color w:val="000000" w:themeColor="text1"/>
                <w:sz w:val="21"/>
                <w14:textFill>
                  <w14:solidFill>
                    <w14:schemeClr w14:val="tx1"/>
                  </w14:solidFill>
                </w14:textFill>
              </w:rPr>
              <w:t>特征污染物监测点位基本信息</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1099"/>
              <w:gridCol w:w="1723"/>
              <w:gridCol w:w="1342"/>
              <w:gridCol w:w="1364"/>
              <w:gridCol w:w="13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8"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监测点名称</w:t>
                  </w:r>
                </w:p>
              </w:tc>
              <w:tc>
                <w:tcPr>
                  <w:tcW w:w="669"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监测因子</w:t>
                  </w:r>
                </w:p>
              </w:tc>
              <w:tc>
                <w:tcPr>
                  <w:tcW w:w="1049"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监测时段</w:t>
                  </w:r>
                </w:p>
              </w:tc>
              <w:tc>
                <w:tcPr>
                  <w:tcW w:w="817"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相对方位</w:t>
                  </w:r>
                </w:p>
              </w:tc>
              <w:tc>
                <w:tcPr>
                  <w:tcW w:w="830"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相对距离</w:t>
                  </w:r>
                  <w:r>
                    <w:rPr>
                      <w:color w:val="000000" w:themeColor="text1"/>
                      <w:sz w:val="21"/>
                      <w:szCs w:val="21"/>
                      <w14:textFill>
                        <w14:solidFill>
                          <w14:schemeClr w14:val="tx1"/>
                        </w14:solidFill>
                      </w14:textFill>
                    </w:rPr>
                    <w:t>/m</w:t>
                  </w:r>
                </w:p>
              </w:tc>
              <w:tc>
                <w:tcPr>
                  <w:tcW w:w="817"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数据来源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818"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本项目区</w:t>
                  </w:r>
                  <w:r>
                    <w:rPr>
                      <w:rFonts w:hint="eastAsia"/>
                      <w:color w:val="000000" w:themeColor="text1"/>
                      <w:sz w:val="21"/>
                      <w:szCs w:val="21"/>
                      <w:lang w:val="en-US" w:eastAsia="zh-CN"/>
                      <w14:textFill>
                        <w14:solidFill>
                          <w14:schemeClr w14:val="tx1"/>
                        </w14:solidFill>
                      </w14:textFill>
                    </w:rPr>
                    <w:t>东南</w:t>
                  </w:r>
                  <w:r>
                    <w:rPr>
                      <w:color w:val="000000" w:themeColor="text1"/>
                      <w:sz w:val="21"/>
                      <w:szCs w:val="21"/>
                      <w14:textFill>
                        <w14:solidFill>
                          <w14:schemeClr w14:val="tx1"/>
                        </w14:solidFill>
                      </w14:textFill>
                    </w:rPr>
                    <w:t>侧</w:t>
                  </w:r>
                  <w:r>
                    <w:rPr>
                      <w:rFonts w:hint="eastAsia"/>
                      <w:color w:val="000000" w:themeColor="text1"/>
                      <w:sz w:val="21"/>
                      <w:szCs w:val="21"/>
                      <w:lang w:val="en-US" w:eastAsia="zh-CN"/>
                      <w14:textFill>
                        <w14:solidFill>
                          <w14:schemeClr w14:val="tx1"/>
                        </w14:solidFill>
                      </w14:textFill>
                    </w:rPr>
                    <w:t>1.7km</w:t>
                  </w:r>
                </w:p>
              </w:tc>
              <w:tc>
                <w:tcPr>
                  <w:tcW w:w="669"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TSP</w:t>
                  </w:r>
                </w:p>
              </w:tc>
              <w:tc>
                <w:tcPr>
                  <w:tcW w:w="1049"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00:00-24:00</w:t>
                  </w:r>
                </w:p>
              </w:tc>
              <w:tc>
                <w:tcPr>
                  <w:tcW w:w="817"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东南</w:t>
                  </w:r>
                  <w:r>
                    <w:rPr>
                      <w:rFonts w:hint="eastAsia"/>
                      <w:color w:val="000000" w:themeColor="text1"/>
                      <w:sz w:val="21"/>
                      <w:szCs w:val="21"/>
                      <w14:textFill>
                        <w14:solidFill>
                          <w14:schemeClr w14:val="tx1"/>
                        </w14:solidFill>
                      </w14:textFill>
                    </w:rPr>
                    <w:t>侧</w:t>
                  </w:r>
                </w:p>
              </w:tc>
              <w:tc>
                <w:tcPr>
                  <w:tcW w:w="830" w:type="pct"/>
                  <w:vAlign w:val="center"/>
                </w:tcPr>
                <w:p>
                  <w:pPr>
                    <w:spacing w:line="240" w:lineRule="auto"/>
                    <w:ind w:firstLine="0" w:firstLineChars="0"/>
                    <w:contextualSpacing/>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1.7km</w:t>
                  </w:r>
                </w:p>
              </w:tc>
              <w:tc>
                <w:tcPr>
                  <w:tcW w:w="817" w:type="pct"/>
                  <w:vAlign w:val="center"/>
                </w:tcPr>
                <w:p>
                  <w:pPr>
                    <w:spacing w:line="240" w:lineRule="auto"/>
                    <w:ind w:firstLine="0" w:firstLineChars="0"/>
                    <w:contextualSpacing/>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委托监测</w:t>
                  </w:r>
                </w:p>
              </w:tc>
            </w:tr>
          </w:tbl>
          <w:p>
            <w:pPr>
              <w:ind w:firstLine="480"/>
              <w:textAlignment w:val="auto"/>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2</w:t>
            </w:r>
            <w:r>
              <w:rPr>
                <w:rFonts w:hint="eastAsia" w:cs="Times New Roman"/>
                <w:color w:val="000000" w:themeColor="text1"/>
                <w14:textFill>
                  <w14:solidFill>
                    <w14:schemeClr w14:val="tx1"/>
                  </w14:solidFill>
                </w14:textFill>
              </w:rPr>
              <w:t>）监测时间及频率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监测时间：</w:t>
            </w: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日，连续采样监测</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天，由</w:t>
            </w:r>
            <w:r>
              <w:rPr>
                <w:rFonts w:hint="eastAsia"/>
                <w:color w:val="000000" w:themeColor="text1"/>
                <w:lang w:val="en-US" w:eastAsia="zh-CN"/>
                <w14:textFill>
                  <w14:solidFill>
                    <w14:schemeClr w14:val="tx1"/>
                  </w14:solidFill>
                </w14:textFill>
              </w:rPr>
              <w:t>新疆中测测试有限责任公司</w:t>
            </w:r>
            <w:r>
              <w:rPr>
                <w:rFonts w:hint="eastAsia"/>
                <w:color w:val="000000" w:themeColor="text1"/>
                <w14:textFill>
                  <w14:solidFill>
                    <w14:schemeClr w14:val="tx1"/>
                  </w14:solidFill>
                </w14:textFill>
              </w:rPr>
              <w:t>完成。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TSP</w:t>
            </w:r>
            <w:r>
              <w:rPr>
                <w:rFonts w:hint="eastAsia"/>
                <w:color w:val="000000" w:themeColor="text1"/>
                <w14:textFill>
                  <w14:solidFill>
                    <w14:schemeClr w14:val="tx1"/>
                  </w14:solidFill>
                </w14:textFill>
              </w:rPr>
              <w:t>每日监测</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次日均值。</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（3）监测结果及评价</w:t>
            </w:r>
          </w:p>
          <w:p>
            <w:pPr>
              <w:ind w:firstLine="480"/>
              <w:textAlignment w:val="auto"/>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特征污染物环境质量现状监测结果见表</w:t>
            </w:r>
            <w:r>
              <w:rPr>
                <w:color w:val="000000" w:themeColor="text1"/>
                <w14:textFill>
                  <w14:solidFill>
                    <w14:schemeClr w14:val="tx1"/>
                  </w14:solidFill>
                </w14:textFill>
              </w:rPr>
              <w:t>3-2</w:t>
            </w:r>
            <w:r>
              <w:rPr>
                <w:rFonts w:hint="eastAsia" w:cs="Times New Roman"/>
                <w:color w:val="000000" w:themeColor="text1"/>
                <w14:textFill>
                  <w14:solidFill>
                    <w14:schemeClr w14:val="tx1"/>
                  </w14:solidFill>
                </w14:textFill>
              </w:rPr>
              <w:t>。</w:t>
            </w:r>
          </w:p>
          <w:p>
            <w:pPr>
              <w:spacing w:before="163" w:beforeLines="50" w:line="240" w:lineRule="auto"/>
              <w:ind w:firstLine="0" w:firstLineChars="0"/>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表</w:t>
            </w:r>
            <w:r>
              <w:rPr>
                <w:b/>
                <w:color w:val="000000" w:themeColor="text1"/>
                <w:sz w:val="21"/>
                <w14:textFill>
                  <w14:solidFill>
                    <w14:schemeClr w14:val="tx1"/>
                  </w14:solidFill>
                </w14:textFill>
              </w:rPr>
              <w:t xml:space="preserve">3-2  </w:t>
            </w:r>
            <w:r>
              <w:rPr>
                <w:rFonts w:hint="eastAsia"/>
                <w:b/>
                <w:color w:val="000000" w:themeColor="text1"/>
                <w:sz w:val="21"/>
                <w14:textFill>
                  <w14:solidFill>
                    <w14:schemeClr w14:val="tx1"/>
                  </w14:solidFill>
                </w14:textFill>
              </w:rPr>
              <w:t>特征污染物环境质量现状监测结果</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8"/>
              <w:gridCol w:w="794"/>
              <w:gridCol w:w="1032"/>
              <w:gridCol w:w="1158"/>
              <w:gridCol w:w="1609"/>
              <w:gridCol w:w="1150"/>
              <w:gridCol w:w="843"/>
              <w:gridCol w:w="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5"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监测</w:t>
                  </w:r>
                </w:p>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点位</w:t>
                  </w:r>
                </w:p>
              </w:tc>
              <w:tc>
                <w:tcPr>
                  <w:tcW w:w="483"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污染物</w:t>
                  </w:r>
                </w:p>
              </w:tc>
              <w:tc>
                <w:tcPr>
                  <w:tcW w:w="628"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平均</w:t>
                  </w:r>
                </w:p>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时间</w:t>
                  </w:r>
                </w:p>
              </w:tc>
              <w:tc>
                <w:tcPr>
                  <w:tcW w:w="704"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评价标准（</w:t>
                  </w:r>
                  <w:r>
                    <w:rPr>
                      <w:rFonts w:hint="eastAsia"/>
                      <w:color w:val="000000" w:themeColor="text1"/>
                      <w:sz w:val="21"/>
                      <w:lang w:val="en-US" w:eastAsia="zh-CN"/>
                      <w14:textFill>
                        <w14:solidFill>
                          <w14:schemeClr w14:val="tx1"/>
                        </w14:solidFill>
                      </w14:textFill>
                    </w:rPr>
                    <w:t>m</w:t>
                  </w:r>
                  <w:r>
                    <w:rPr>
                      <w:color w:val="000000" w:themeColor="text1"/>
                      <w:sz w:val="21"/>
                      <w14:textFill>
                        <w14:solidFill>
                          <w14:schemeClr w14:val="tx1"/>
                        </w14:solidFill>
                      </w14:textFill>
                    </w:rPr>
                    <w:t>g/m</w:t>
                  </w:r>
                  <w:r>
                    <w:rPr>
                      <w:color w:val="000000" w:themeColor="text1"/>
                      <w:sz w:val="21"/>
                      <w:vertAlign w:val="superscript"/>
                      <w14:textFill>
                        <w14:solidFill>
                          <w14:schemeClr w14:val="tx1"/>
                        </w14:solidFill>
                      </w14:textFill>
                    </w:rPr>
                    <w:t>3</w:t>
                  </w:r>
                  <w:r>
                    <w:rPr>
                      <w:rFonts w:hint="eastAsia"/>
                      <w:color w:val="000000" w:themeColor="text1"/>
                      <w:sz w:val="21"/>
                      <w14:textFill>
                        <w14:solidFill>
                          <w14:schemeClr w14:val="tx1"/>
                        </w14:solidFill>
                      </w14:textFill>
                    </w:rPr>
                    <w:t>）</w:t>
                  </w:r>
                </w:p>
              </w:tc>
              <w:tc>
                <w:tcPr>
                  <w:tcW w:w="979"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监测浓度范围（</w:t>
                  </w:r>
                  <w:r>
                    <w:rPr>
                      <w:rFonts w:hint="eastAsia"/>
                      <w:color w:val="000000" w:themeColor="text1"/>
                      <w:sz w:val="21"/>
                      <w:lang w:val="en-US" w:eastAsia="zh-CN"/>
                      <w14:textFill>
                        <w14:solidFill>
                          <w14:schemeClr w14:val="tx1"/>
                        </w14:solidFill>
                      </w14:textFill>
                    </w:rPr>
                    <w:t>m</w:t>
                  </w:r>
                  <w:r>
                    <w:rPr>
                      <w:color w:val="000000" w:themeColor="text1"/>
                      <w:sz w:val="21"/>
                      <w14:textFill>
                        <w14:solidFill>
                          <w14:schemeClr w14:val="tx1"/>
                        </w14:solidFill>
                      </w14:textFill>
                    </w:rPr>
                    <w:t>g/m</w:t>
                  </w:r>
                  <w:r>
                    <w:rPr>
                      <w:color w:val="000000" w:themeColor="text1"/>
                      <w:sz w:val="21"/>
                      <w:vertAlign w:val="superscript"/>
                      <w14:textFill>
                        <w14:solidFill>
                          <w14:schemeClr w14:val="tx1"/>
                        </w14:solidFill>
                      </w14:textFill>
                    </w:rPr>
                    <w:t>3</w:t>
                  </w:r>
                  <w:r>
                    <w:rPr>
                      <w:rFonts w:hint="eastAsia"/>
                      <w:color w:val="000000" w:themeColor="text1"/>
                      <w:sz w:val="21"/>
                      <w14:textFill>
                        <w14:solidFill>
                          <w14:schemeClr w14:val="tx1"/>
                        </w14:solidFill>
                      </w14:textFill>
                    </w:rPr>
                    <w:t>）</w:t>
                  </w:r>
                </w:p>
              </w:tc>
              <w:tc>
                <w:tcPr>
                  <w:tcW w:w="700"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最大浓度占标率</w:t>
                  </w:r>
                  <w:r>
                    <w:rPr>
                      <w:color w:val="000000" w:themeColor="text1"/>
                      <w:sz w:val="21"/>
                      <w14:textFill>
                        <w14:solidFill>
                          <w14:schemeClr w14:val="tx1"/>
                        </w14:solidFill>
                      </w14:textFill>
                    </w:rPr>
                    <w:t>%</w:t>
                  </w:r>
                </w:p>
              </w:tc>
              <w:tc>
                <w:tcPr>
                  <w:tcW w:w="513"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超标率</w:t>
                  </w:r>
                  <w:r>
                    <w:rPr>
                      <w:color w:val="000000" w:themeColor="text1"/>
                      <w:sz w:val="21"/>
                      <w14:textFill>
                        <w14:solidFill>
                          <w14:schemeClr w14:val="tx1"/>
                        </w14:solidFill>
                      </w14:textFill>
                    </w:rPr>
                    <w:t>%</w:t>
                  </w:r>
                </w:p>
              </w:tc>
              <w:tc>
                <w:tcPr>
                  <w:tcW w:w="535"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455"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01 </w:t>
                  </w:r>
                </w:p>
              </w:tc>
              <w:tc>
                <w:tcPr>
                  <w:tcW w:w="483"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TSP</w:t>
                  </w:r>
                </w:p>
              </w:tc>
              <w:tc>
                <w:tcPr>
                  <w:tcW w:w="628" w:type="pct"/>
                  <w:vAlign w:val="center"/>
                </w:tcPr>
                <w:p>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24</w:t>
                  </w:r>
                  <w:r>
                    <w:rPr>
                      <w:rFonts w:hint="eastAsia"/>
                      <w:color w:val="000000" w:themeColor="text1"/>
                      <w:sz w:val="21"/>
                      <w14:textFill>
                        <w14:solidFill>
                          <w14:schemeClr w14:val="tx1"/>
                        </w14:solidFill>
                      </w14:textFill>
                    </w:rPr>
                    <w:t>小时</w:t>
                  </w:r>
                </w:p>
              </w:tc>
              <w:tc>
                <w:tcPr>
                  <w:tcW w:w="704" w:type="pct"/>
                  <w:vAlign w:val="center"/>
                </w:tcPr>
                <w:p>
                  <w:pPr>
                    <w:spacing w:line="240" w:lineRule="auto"/>
                    <w:ind w:firstLine="0" w:firstLineChars="0"/>
                    <w:contextualSpacing/>
                    <w:jc w:val="center"/>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0.3</w:t>
                  </w:r>
                </w:p>
              </w:tc>
              <w:tc>
                <w:tcPr>
                  <w:tcW w:w="979" w:type="pct"/>
                  <w:vAlign w:val="center"/>
                </w:tcPr>
                <w:p>
                  <w:pPr>
                    <w:spacing w:line="240" w:lineRule="auto"/>
                    <w:ind w:firstLine="0" w:firstLineChars="0"/>
                    <w:contextualSpacing/>
                    <w:jc w:val="center"/>
                    <w:rPr>
                      <w:rFonts w:hint="default" w:eastAsia="宋体"/>
                      <w:color w:val="000000" w:themeColor="text1"/>
                      <w:sz w:val="21"/>
                      <w:lang w:val="en-US" w:eastAsia="zh-CN"/>
                      <w14:textFill>
                        <w14:solidFill>
                          <w14:schemeClr w14:val="tx1"/>
                        </w14:solidFill>
                      </w14:textFill>
                    </w:rPr>
                  </w:pPr>
                  <w:r>
                    <w:rPr>
                      <w:rFonts w:hint="default" w:eastAsia="宋体"/>
                      <w:color w:val="000000" w:themeColor="text1"/>
                      <w:sz w:val="21"/>
                      <w:lang w:val="en-US" w:eastAsia="zh-CN"/>
                      <w14:textFill>
                        <w14:solidFill>
                          <w14:schemeClr w14:val="tx1"/>
                        </w14:solidFill>
                      </w14:textFill>
                    </w:rPr>
                    <w:t>0.223-0.305</w:t>
                  </w:r>
                </w:p>
              </w:tc>
              <w:tc>
                <w:tcPr>
                  <w:tcW w:w="700" w:type="pct"/>
                  <w:vAlign w:val="center"/>
                </w:tcPr>
                <w:p>
                  <w:pPr>
                    <w:spacing w:line="240" w:lineRule="auto"/>
                    <w:ind w:firstLine="0" w:firstLineChars="0"/>
                    <w:contextualSpacing/>
                    <w:jc w:val="center"/>
                    <w:rPr>
                      <w:rFonts w:hint="default"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101.7</w:t>
                  </w:r>
                </w:p>
              </w:tc>
              <w:tc>
                <w:tcPr>
                  <w:tcW w:w="513" w:type="pct"/>
                  <w:vAlign w:val="center"/>
                </w:tcPr>
                <w:p>
                  <w:pPr>
                    <w:spacing w:line="240" w:lineRule="auto"/>
                    <w:ind w:firstLine="0" w:firstLineChars="0"/>
                    <w:contextualSpacing/>
                    <w:jc w:val="center"/>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14.3</w:t>
                  </w:r>
                </w:p>
              </w:tc>
              <w:tc>
                <w:tcPr>
                  <w:tcW w:w="535" w:type="pct"/>
                  <w:vAlign w:val="center"/>
                </w:tcPr>
                <w:p>
                  <w:pPr>
                    <w:spacing w:line="240" w:lineRule="auto"/>
                    <w:ind w:firstLine="0" w:firstLineChars="0"/>
                    <w:contextualSpacing/>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不达标</w:t>
                  </w:r>
                </w:p>
              </w:tc>
            </w:tr>
          </w:tbl>
          <w:p>
            <w:pPr>
              <w:adjustRightInd w:val="0"/>
              <w:snapToGrid w:val="0"/>
              <w:ind w:firstLine="480"/>
              <w:rPr>
                <w:rFonts w:hint="eastAsia"/>
              </w:rPr>
            </w:pPr>
            <w:r>
              <w:rPr>
                <w:rFonts w:hint="eastAsia"/>
              </w:rPr>
              <w:t>从监测结果可知，TSP24小时平均值中，最大浓度0.305mg/m</w:t>
            </w:r>
            <w:r>
              <w:rPr>
                <w:rFonts w:hint="eastAsia"/>
                <w:vertAlign w:val="superscript"/>
              </w:rPr>
              <w:t>3</w:t>
            </w:r>
            <w:r>
              <w:rPr>
                <w:rFonts w:hint="eastAsia"/>
              </w:rPr>
              <w:t>超出《环境空气质量标准》（GB3095-2012）及其修改单中TSP24小时平均浓度限值（0.30mg/m</w:t>
            </w:r>
            <w:r>
              <w:rPr>
                <w:rFonts w:hint="eastAsia"/>
                <w:vertAlign w:val="superscript"/>
              </w:rPr>
              <w:t>3</w:t>
            </w:r>
            <w:r>
              <w:rPr>
                <w:rFonts w:hint="eastAsia"/>
              </w:rPr>
              <w:t>），存在超标情况。</w:t>
            </w:r>
          </w:p>
          <w:p>
            <w:pPr>
              <w:ind w:firstLine="0" w:firstLineChars="0"/>
            </w:pPr>
            <w:r>
              <w:rPr>
                <w:rFonts w:hint="eastAsia"/>
                <w:b/>
              </w:rPr>
              <w:t>3</w:t>
            </w:r>
            <w:r>
              <w:rPr>
                <w:b/>
              </w:rPr>
              <w:t>.2</w:t>
            </w:r>
            <w:r>
              <w:rPr>
                <w:rFonts w:hint="eastAsia"/>
                <w:b/>
              </w:rPr>
              <w:t>地表水环境质量现状</w:t>
            </w:r>
          </w:p>
          <w:p>
            <w:pPr>
              <w:ind w:firstLine="480"/>
              <w:rPr>
                <w:rFonts w:cs="Times New Roman"/>
                <w:color w:val="000000"/>
              </w:rPr>
            </w:pPr>
            <w:r>
              <w:t>根据《202</w:t>
            </w:r>
            <w:r>
              <w:rPr>
                <w:rFonts w:hint="eastAsia"/>
                <w:lang w:val="en-US" w:eastAsia="zh-CN"/>
              </w:rPr>
              <w:t>4</w:t>
            </w:r>
            <w:r>
              <w:t>巴音郭楞蒙古自治州生态环境状况公报》，</w:t>
            </w:r>
            <w:r>
              <w:rPr>
                <w:rFonts w:hint="eastAsia"/>
              </w:rPr>
              <w:t>全州地表水监测的31个考核断面(点位)中，I~Ⅲ类优良水质断面(点位)占比90.3%，无IV类水质。6条主要河流19个监测断面中I~Ⅲ类优良水质断面占100%，3个重要湖泊(水库)12个监测点位中I~Ⅲ类优良水质断面占75%，无V类水体，湖泊水质影响因子为化学需氧量。</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本项目</w:t>
            </w:r>
            <w:r>
              <w:rPr>
                <w:rFonts w:hint="eastAsia" w:cs="Times New Roman"/>
                <w:color w:val="000000" w:themeColor="text1"/>
                <w14:textFill>
                  <w14:solidFill>
                    <w14:schemeClr w14:val="tx1"/>
                  </w14:solidFill>
                </w14:textFill>
              </w:rPr>
              <w:t>北侧2.5km处为希尼尔水库</w:t>
            </w:r>
            <w:r>
              <w:rPr>
                <w:rFonts w:cs="Times New Roman"/>
                <w:bCs/>
              </w:rPr>
              <w:t>，</w:t>
            </w:r>
            <w:r>
              <w:rPr>
                <w:rFonts w:hint="eastAsia" w:cs="Times New Roman"/>
                <w:bCs/>
              </w:rPr>
              <w:t>属于孔雀河流域，</w:t>
            </w:r>
            <w:r>
              <w:rPr>
                <w:rFonts w:cs="Times New Roman"/>
                <w:color w:val="000000" w:themeColor="text1"/>
                <w14:textFill>
                  <w14:solidFill>
                    <w14:schemeClr w14:val="tx1"/>
                  </w14:solidFill>
                </w14:textFill>
              </w:rPr>
              <w:t>根据</w:t>
            </w:r>
            <w:r>
              <w:rPr>
                <w:rFonts w:cs="Times New Roman"/>
                <w:color w:val="000000"/>
              </w:rPr>
              <w:t>《202</w:t>
            </w:r>
            <w:r>
              <w:rPr>
                <w:rFonts w:hint="eastAsia" w:cs="Times New Roman"/>
                <w:color w:val="000000"/>
                <w:lang w:val="en-US" w:eastAsia="zh-CN"/>
              </w:rPr>
              <w:t>4</w:t>
            </w:r>
            <w:r>
              <w:rPr>
                <w:rFonts w:cs="Times New Roman"/>
                <w:color w:val="000000"/>
              </w:rPr>
              <w:t>巴音郭楞蒙古自治州生态环境状况公报》</w:t>
            </w:r>
            <w:r>
              <w:rPr>
                <w:rFonts w:cs="Times New Roman"/>
                <w:color w:val="000000" w:themeColor="text1"/>
                <w14:textFill>
                  <w14:solidFill>
                    <w14:schemeClr w14:val="tx1"/>
                  </w14:solidFill>
                </w14:textFill>
              </w:rPr>
              <w:t>，</w:t>
            </w:r>
            <w:r>
              <w:rPr>
                <w:rFonts w:cs="Times New Roman"/>
                <w:szCs w:val="24"/>
              </w:rPr>
              <w:t>6条主要河流19个监测断面中Ⅰ~Ⅲ类优良水质断面占100%</w:t>
            </w:r>
            <w:r>
              <w:rPr>
                <w:rFonts w:cs="Times New Roman"/>
                <w:color w:val="000000" w:themeColor="text1"/>
                <w14:textFill>
                  <w14:solidFill>
                    <w14:schemeClr w14:val="tx1"/>
                  </w14:solidFill>
                </w14:textFill>
              </w:rPr>
              <w:t>，水质状况良好。</w:t>
            </w:r>
          </w:p>
          <w:p>
            <w:pPr>
              <w:ind w:firstLine="0" w:firstLineChars="0"/>
              <w:rPr>
                <w:b/>
              </w:rPr>
            </w:pPr>
            <w:r>
              <w:rPr>
                <w:rFonts w:hint="eastAsia"/>
                <w:b/>
              </w:rPr>
              <w:t>3</w:t>
            </w:r>
            <w:r>
              <w:rPr>
                <w:b/>
              </w:rPr>
              <w:t>.3</w:t>
            </w:r>
            <w:r>
              <w:rPr>
                <w:rFonts w:hint="eastAsia"/>
                <w:b/>
              </w:rPr>
              <w:t>声环境质量现状</w:t>
            </w:r>
          </w:p>
          <w:p>
            <w:pPr>
              <w:ind w:firstLine="480"/>
              <w:rPr>
                <w:color w:val="000000"/>
              </w:rPr>
            </w:pPr>
            <w:r>
              <w:rPr>
                <w:rFonts w:hint="eastAsia" w:cs="Times New Roman"/>
                <w:color w:val="000000" w:themeColor="text1"/>
                <w:szCs w:val="24"/>
                <w14:textFill>
                  <w14:solidFill>
                    <w14:schemeClr w14:val="tx1"/>
                  </w14:solidFill>
                </w14:textFill>
              </w:rPr>
              <w:t>本项目位于</w:t>
            </w:r>
            <w:r>
              <w:rPr>
                <w:rFonts w:hint="eastAsia" w:cs="Times New Roman"/>
                <w:szCs w:val="24"/>
              </w:rPr>
              <w:t>库尔勒经济技术开发区</w:t>
            </w:r>
            <w:r>
              <w:rPr>
                <w:rFonts w:hint="eastAsia"/>
              </w:rPr>
              <w:t>纵三路东侧横四路北侧</w:t>
            </w:r>
            <w:r>
              <w:t>，周边均为</w:t>
            </w:r>
            <w:r>
              <w:rPr>
                <w:rFonts w:hint="eastAsia"/>
              </w:rPr>
              <w:t>工业企业</w:t>
            </w:r>
            <w:r>
              <w:t>，50m范围内无声环境保护目标</w:t>
            </w:r>
            <w:r>
              <w:rPr>
                <w:color w:val="000000"/>
              </w:rPr>
              <w:t>。</w:t>
            </w:r>
          </w:p>
          <w:p>
            <w:pPr>
              <w:ind w:firstLine="0" w:firstLineChars="0"/>
              <w:rPr>
                <w:b/>
              </w:rPr>
            </w:pPr>
            <w:r>
              <w:rPr>
                <w:rFonts w:hint="eastAsia"/>
                <w:b/>
              </w:rPr>
              <w:t>3</w:t>
            </w:r>
            <w:r>
              <w:rPr>
                <w:b/>
              </w:rPr>
              <w:t>.4</w:t>
            </w:r>
            <w:r>
              <w:rPr>
                <w:rFonts w:hint="eastAsia"/>
                <w:b/>
              </w:rPr>
              <w:t>地下水、土壤环境现状调查</w:t>
            </w:r>
          </w:p>
          <w:p>
            <w:pPr>
              <w:ind w:firstLine="480"/>
            </w:pPr>
            <w:r>
              <w:rPr>
                <w:rFonts w:hint="eastAsia"/>
              </w:rPr>
              <w:t>本项目不涉及重金属、持久性难降解有机污染物排放，且各污染物产生量较小，无地下水、土壤污染途径，故本次评价不进行土壤环境现状调查。</w:t>
            </w:r>
          </w:p>
          <w:p>
            <w:pPr>
              <w:ind w:firstLine="0" w:firstLineChars="0"/>
              <w:rPr>
                <w:b/>
              </w:rPr>
            </w:pPr>
            <w:r>
              <w:rPr>
                <w:rFonts w:hint="eastAsia"/>
                <w:b/>
              </w:rPr>
              <w:t>3</w:t>
            </w:r>
            <w:r>
              <w:rPr>
                <w:b/>
              </w:rPr>
              <w:t>.5</w:t>
            </w:r>
            <w:r>
              <w:rPr>
                <w:rFonts w:hint="eastAsia"/>
                <w:b/>
              </w:rPr>
              <w:t>生态环境现状</w:t>
            </w:r>
          </w:p>
          <w:p>
            <w:pPr>
              <w:ind w:firstLine="480"/>
              <w:rPr>
                <w:b/>
              </w:rPr>
            </w:pPr>
            <w:r>
              <w:rPr>
                <w:rFonts w:hint="eastAsia" w:cs="Times New Roman"/>
                <w:color w:val="000000" w:themeColor="text1"/>
                <w:szCs w:val="24"/>
                <w14:textFill>
                  <w14:solidFill>
                    <w14:schemeClr w14:val="tx1"/>
                  </w14:solidFill>
                </w14:textFill>
              </w:rPr>
              <w:t>本项目位于</w:t>
            </w:r>
            <w:r>
              <w:rPr>
                <w:rFonts w:hint="eastAsia" w:cs="Times New Roman"/>
                <w:szCs w:val="24"/>
              </w:rPr>
              <w:t>库尔勒经济技术开发区</w:t>
            </w:r>
            <w:r>
              <w:rPr>
                <w:rFonts w:hint="eastAsia"/>
              </w:rPr>
              <w:t>纵三路东侧横四路北侧</w:t>
            </w:r>
            <w:r>
              <w:rPr>
                <w:rFonts w:hint="eastAsia"/>
                <w:bCs/>
              </w:rPr>
              <w:t>，占地范围内不涉及生态保护红线、饮用水水源保护区、风景名胜区、文物古迹等生态敏感区，区域内无珍稀濒危野生动植物存在，无生态环境保护目标存在。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0" w:hRule="atLeast"/>
          <w:jc w:val="center"/>
        </w:trPr>
        <w:tc>
          <w:tcPr>
            <w:tcW w:w="826" w:type="dxa"/>
            <w:vAlign w:val="center"/>
          </w:tcPr>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环境</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保护</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目标</w:t>
            </w:r>
          </w:p>
        </w:tc>
        <w:tc>
          <w:tcPr>
            <w:tcW w:w="8460" w:type="dxa"/>
          </w:tcPr>
          <w:p>
            <w:pPr>
              <w:ind w:firstLine="480"/>
              <w:rPr>
                <w:rFonts w:cs="Times New Roman"/>
              </w:rPr>
            </w:pPr>
            <w:r>
              <w:rPr>
                <w:rFonts w:hint="eastAsia" w:ascii="宋体" w:hAnsi="宋体" w:cs="宋体"/>
              </w:rPr>
              <w:t>①</w:t>
            </w:r>
            <w:r>
              <w:rPr>
                <w:rFonts w:cs="Times New Roman"/>
              </w:rPr>
              <w:t>大气环境：本项目厂界外500米范围内无自然保护区、风景名胜区、居住区、文化区和农村地区中人群较集中的区域等保护目标。</w:t>
            </w:r>
          </w:p>
          <w:p>
            <w:pPr>
              <w:ind w:firstLine="480"/>
              <w:rPr>
                <w:rFonts w:cs="Times New Roman"/>
              </w:rPr>
            </w:pPr>
            <w:r>
              <w:rPr>
                <w:rFonts w:hint="eastAsia" w:ascii="宋体" w:hAnsi="宋体" w:cs="宋体"/>
              </w:rPr>
              <w:t>②</w:t>
            </w:r>
            <w:r>
              <w:rPr>
                <w:rFonts w:cs="Times New Roman"/>
              </w:rPr>
              <w:t>声环境：本项目厂界外50米范围内无声环境保护目标。</w:t>
            </w:r>
          </w:p>
          <w:p>
            <w:pPr>
              <w:ind w:firstLine="480"/>
              <w:rPr>
                <w:rFonts w:cs="Times New Roman"/>
              </w:rPr>
            </w:pPr>
            <w:r>
              <w:rPr>
                <w:rFonts w:hint="eastAsia" w:ascii="宋体" w:hAnsi="宋体" w:cs="宋体"/>
              </w:rPr>
              <w:t>③</w:t>
            </w:r>
            <w:r>
              <w:rPr>
                <w:rFonts w:cs="Times New Roman"/>
              </w:rPr>
              <w:t>地下水环境：本项目厂界外500米范围内无地下水集中式饮用水水源地和热水、矿泉水、温泉等特殊地下水资源。</w:t>
            </w:r>
          </w:p>
          <w:p>
            <w:pPr>
              <w:ind w:firstLine="480"/>
              <w:textAlignment w:val="auto"/>
            </w:pPr>
            <w:r>
              <w:rPr>
                <w:rFonts w:hint="eastAsia" w:ascii="宋体" w:hAnsi="宋体" w:cs="宋体"/>
              </w:rPr>
              <w:t>④</w:t>
            </w:r>
            <w:r>
              <w:rPr>
                <w:rFonts w:cs="Times New Roman"/>
              </w:rPr>
              <w:t>生态环境：本项目用地属于工业用地，本项目位于厂区内，周围无生态保护目标。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826" w:type="dxa"/>
            <w:tcMar>
              <w:left w:w="28" w:type="dxa"/>
              <w:right w:w="28" w:type="dxa"/>
            </w:tcMar>
            <w:vAlign w:val="center"/>
          </w:tcPr>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污染</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物排</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放控</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制标</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准</w:t>
            </w:r>
          </w:p>
        </w:tc>
        <w:tc>
          <w:tcPr>
            <w:tcW w:w="8460" w:type="dxa"/>
          </w:tcPr>
          <w:p>
            <w:pPr>
              <w:pStyle w:val="4"/>
            </w:pPr>
            <w:r>
              <w:t>1</w:t>
            </w:r>
            <w:r>
              <w:rPr>
                <w:rFonts w:hint="eastAsia"/>
              </w:rPr>
              <w:t>、大气污染物排放标准</w:t>
            </w:r>
          </w:p>
          <w:p>
            <w:pPr>
              <w:ind w:firstLine="480"/>
              <w:rPr>
                <w:rFonts w:hint="eastAsia" w:eastAsia="宋体"/>
                <w:color w:val="000000"/>
                <w:lang w:eastAsia="zh-CN"/>
              </w:rPr>
            </w:pPr>
            <w:r>
              <w:rPr>
                <w:rFonts w:hint="eastAsia"/>
              </w:rPr>
              <w:t>施工扬尘</w:t>
            </w:r>
            <w:r>
              <w:rPr>
                <w:rFonts w:hint="eastAsia"/>
                <w:lang w:eastAsia="zh-CN"/>
              </w:rPr>
              <w:t>、</w:t>
            </w:r>
            <w:r>
              <w:rPr>
                <w:rFonts w:hint="eastAsia"/>
                <w:color w:val="000000"/>
              </w:rPr>
              <w:t>切割工序中产生少量颗粒物</w:t>
            </w:r>
            <w:r>
              <w:t>执行《大气污染物综合排放标准》（GB16297-</w:t>
            </w:r>
            <w:r>
              <w:rPr>
                <w:rFonts w:hint="eastAsia"/>
              </w:rPr>
              <w:t>19</w:t>
            </w:r>
            <w:r>
              <w:t>96）</w:t>
            </w:r>
            <w:r>
              <w:rPr>
                <w:rFonts w:hint="eastAsia"/>
              </w:rPr>
              <w:t>中无组织排放监控浓度限值</w:t>
            </w:r>
            <w:r>
              <w:rPr>
                <w:rFonts w:hint="eastAsia"/>
                <w:color w:val="000000"/>
              </w:rPr>
              <w:t>；具体标准值见表</w:t>
            </w:r>
            <w:r>
              <w:rPr>
                <w:rFonts w:hint="eastAsia" w:cs="Times New Roman"/>
              </w:rPr>
              <w:t>3</w:t>
            </w:r>
            <w:r>
              <w:rPr>
                <w:rFonts w:cs="Times New Roman"/>
              </w:rPr>
              <w:t>-</w:t>
            </w:r>
            <w:r>
              <w:rPr>
                <w:rFonts w:hint="eastAsia" w:cs="Times New Roman"/>
                <w:lang w:val="en-US" w:eastAsia="zh-CN"/>
              </w:rPr>
              <w:t>2</w:t>
            </w:r>
          </w:p>
          <w:p>
            <w:pPr>
              <w:pStyle w:val="43"/>
            </w:pPr>
            <w:r>
              <w:rPr>
                <w:rFonts w:hint="eastAsia"/>
              </w:rPr>
              <w:t>表3</w:t>
            </w:r>
            <w:r>
              <w:t>-</w:t>
            </w:r>
            <w:r>
              <w:rPr>
                <w:rFonts w:hint="eastAsia"/>
                <w:lang w:val="en-US" w:eastAsia="zh-CN"/>
              </w:rPr>
              <w:t>2</w:t>
            </w:r>
            <w:r>
              <w:t xml:space="preserve">  </w:t>
            </w:r>
            <w:r>
              <w:rPr>
                <w:rFonts w:hint="eastAsia"/>
              </w:rPr>
              <w:t>大气污染物无组织排放限制</w:t>
            </w:r>
          </w:p>
          <w:tbl>
            <w:tblPr>
              <w:tblStyle w:val="29"/>
              <w:tblW w:w="82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306"/>
              <w:gridCol w:w="2921"/>
              <w:gridCol w:w="2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pStyle w:val="38"/>
                  </w:pPr>
                  <w:r>
                    <w:rPr>
                      <w:rFonts w:hint="eastAsia"/>
                    </w:rPr>
                    <w:t>序号</w:t>
                  </w:r>
                </w:p>
              </w:tc>
              <w:tc>
                <w:tcPr>
                  <w:tcW w:w="1306" w:type="dxa"/>
                  <w:vAlign w:val="center"/>
                </w:tcPr>
                <w:p>
                  <w:pPr>
                    <w:pStyle w:val="38"/>
                  </w:pPr>
                  <w:r>
                    <w:rPr>
                      <w:rFonts w:hint="eastAsia"/>
                    </w:rPr>
                    <w:t>污染物</w:t>
                  </w:r>
                </w:p>
              </w:tc>
              <w:tc>
                <w:tcPr>
                  <w:tcW w:w="5692" w:type="dxa"/>
                  <w:gridSpan w:val="2"/>
                  <w:vAlign w:val="center"/>
                </w:tcPr>
                <w:p>
                  <w:pPr>
                    <w:pStyle w:val="38"/>
                  </w:pPr>
                  <w:r>
                    <w:rPr>
                      <w:rFonts w:hint="eastAsia"/>
                    </w:rPr>
                    <w:t>无组织排放监控浓度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16" w:type="dxa"/>
                  <w:vMerge w:val="restart"/>
                  <w:vAlign w:val="center"/>
                </w:tcPr>
                <w:p>
                  <w:pPr>
                    <w:pStyle w:val="38"/>
                  </w:pPr>
                  <w:r>
                    <w:rPr>
                      <w:rFonts w:hint="eastAsia"/>
                    </w:rPr>
                    <w:t>1</w:t>
                  </w:r>
                </w:p>
              </w:tc>
              <w:tc>
                <w:tcPr>
                  <w:tcW w:w="1306" w:type="dxa"/>
                  <w:vMerge w:val="restart"/>
                  <w:vAlign w:val="center"/>
                </w:tcPr>
                <w:p>
                  <w:pPr>
                    <w:pStyle w:val="38"/>
                  </w:pPr>
                  <w:r>
                    <w:rPr>
                      <w:rFonts w:hint="eastAsia"/>
                    </w:rPr>
                    <w:t>颗粒物</w:t>
                  </w:r>
                </w:p>
              </w:tc>
              <w:tc>
                <w:tcPr>
                  <w:tcW w:w="2921" w:type="dxa"/>
                  <w:vAlign w:val="center"/>
                </w:tcPr>
                <w:p>
                  <w:pPr>
                    <w:pStyle w:val="38"/>
                  </w:pPr>
                  <w:r>
                    <w:rPr>
                      <w:rFonts w:hint="eastAsia"/>
                    </w:rPr>
                    <w:t>监控点</w:t>
                  </w:r>
                </w:p>
              </w:tc>
              <w:tc>
                <w:tcPr>
                  <w:tcW w:w="2771" w:type="dxa"/>
                  <w:vAlign w:val="center"/>
                </w:tcPr>
                <w:p>
                  <w:pPr>
                    <w:pStyle w:val="38"/>
                  </w:pPr>
                  <w:r>
                    <w:rPr>
                      <w:rFonts w:hint="eastAsia"/>
                    </w:rPr>
                    <w:t>浓度</w:t>
                  </w:r>
                  <w:r>
                    <w:t>mg/m</w:t>
                  </w:r>
                  <w:r>
                    <w:rPr>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6" w:type="dxa"/>
                  <w:vMerge w:val="continue"/>
                  <w:vAlign w:val="center"/>
                </w:tcPr>
                <w:p>
                  <w:pPr>
                    <w:pStyle w:val="38"/>
                  </w:pPr>
                </w:p>
              </w:tc>
              <w:tc>
                <w:tcPr>
                  <w:tcW w:w="1306" w:type="dxa"/>
                  <w:vMerge w:val="continue"/>
                  <w:vAlign w:val="center"/>
                </w:tcPr>
                <w:p>
                  <w:pPr>
                    <w:pStyle w:val="38"/>
                  </w:pPr>
                </w:p>
              </w:tc>
              <w:tc>
                <w:tcPr>
                  <w:tcW w:w="2921" w:type="dxa"/>
                  <w:vAlign w:val="center"/>
                </w:tcPr>
                <w:p>
                  <w:pPr>
                    <w:pStyle w:val="38"/>
                  </w:pPr>
                  <w:r>
                    <w:rPr>
                      <w:rFonts w:hint="eastAsia"/>
                    </w:rPr>
                    <w:t>周界外浓度最高点</w:t>
                  </w:r>
                </w:p>
              </w:tc>
              <w:tc>
                <w:tcPr>
                  <w:tcW w:w="2771" w:type="dxa"/>
                  <w:vAlign w:val="center"/>
                </w:tcPr>
                <w:p>
                  <w:pPr>
                    <w:pStyle w:val="38"/>
                  </w:pPr>
                  <w:r>
                    <w:rPr>
                      <w:rFonts w:hint="eastAsia"/>
                    </w:rPr>
                    <w:t>1</w:t>
                  </w:r>
                  <w:r>
                    <w:t>.0</w:t>
                  </w:r>
                </w:p>
              </w:tc>
            </w:tr>
          </w:tbl>
          <w:p>
            <w:pPr>
              <w:pStyle w:val="4"/>
            </w:pPr>
            <w:r>
              <w:t>2、</w:t>
            </w:r>
            <w:r>
              <w:rPr>
                <w:rFonts w:hint="eastAsia"/>
              </w:rPr>
              <w:t>废水</w:t>
            </w:r>
            <w:r>
              <w:t>排放标准</w:t>
            </w:r>
          </w:p>
          <w:p>
            <w:pPr>
              <w:ind w:firstLine="480"/>
            </w:pPr>
            <w:r>
              <w:rPr>
                <w:rFonts w:hint="eastAsia"/>
              </w:rPr>
              <w:t>本项目不产生生产废水。</w:t>
            </w:r>
          </w:p>
          <w:p>
            <w:pPr>
              <w:pStyle w:val="4"/>
            </w:pPr>
            <w:r>
              <w:rPr>
                <w:rFonts w:hint="eastAsia"/>
              </w:rPr>
              <w:t>3、噪声</w:t>
            </w:r>
            <w:r>
              <w:t>排放标准</w:t>
            </w:r>
          </w:p>
          <w:p>
            <w:pPr>
              <w:snapToGrid w:val="0"/>
              <w:ind w:firstLine="480"/>
              <w:rPr>
                <w:b/>
              </w:rPr>
            </w:pPr>
            <w:r>
              <w:t>施工期执行《</w:t>
            </w:r>
            <w:r>
              <w:rPr>
                <w:rFonts w:hint="eastAsia"/>
              </w:rPr>
              <w:t>建筑施工场界环境噪声排放标准</w:t>
            </w:r>
            <w:r>
              <w:t>》（GB12523</w:t>
            </w:r>
            <w:r>
              <w:rPr>
                <w:rFonts w:hint="eastAsia"/>
              </w:rPr>
              <w:t>-2011</w:t>
            </w:r>
            <w:r>
              <w:t>）中的相关标准</w:t>
            </w:r>
            <w:r>
              <w:rPr>
                <w:rFonts w:hint="eastAsia"/>
              </w:rPr>
              <w:t>。</w:t>
            </w:r>
          </w:p>
          <w:p>
            <w:pPr>
              <w:adjustRightInd w:val="0"/>
              <w:spacing w:before="163" w:beforeLines="50" w:line="240" w:lineRule="auto"/>
              <w:ind w:firstLine="0" w:firstLineChars="0"/>
              <w:jc w:val="right"/>
              <w:textAlignment w:val="baseline"/>
              <w:rPr>
                <w:rFonts w:cs="Times New Roman"/>
                <w:b/>
                <w:kern w:val="0"/>
                <w:sz w:val="21"/>
                <w:szCs w:val="20"/>
              </w:rPr>
            </w:pPr>
            <w:r>
              <w:rPr>
                <w:rFonts w:cs="Times New Roman"/>
                <w:b/>
                <w:kern w:val="0"/>
                <w:sz w:val="21"/>
                <w:szCs w:val="20"/>
              </w:rPr>
              <w:t>表3-</w:t>
            </w:r>
            <w:r>
              <w:rPr>
                <w:rFonts w:hint="eastAsia" w:cs="Times New Roman"/>
                <w:b/>
                <w:kern w:val="0"/>
                <w:sz w:val="21"/>
                <w:szCs w:val="20"/>
                <w:lang w:val="en-US" w:eastAsia="zh-CN"/>
              </w:rPr>
              <w:t>4</w:t>
            </w:r>
            <w:r>
              <w:rPr>
                <w:rFonts w:cs="Times New Roman"/>
                <w:b/>
                <w:kern w:val="0"/>
                <w:sz w:val="21"/>
                <w:szCs w:val="20"/>
              </w:rPr>
              <w:t xml:space="preserve">  建筑施工场界环境噪声排放标准（摘录）   单位：dB（A）</w:t>
            </w:r>
          </w:p>
          <w:tbl>
            <w:tblPr>
              <w:tblStyle w:val="29"/>
              <w:tblW w:w="8212" w:type="dxa"/>
              <w:tblInd w:w="1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106"/>
              <w:gridCol w:w="410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106" w:type="dxa"/>
                </w:tcPr>
                <w:p>
                  <w:pPr>
                    <w:spacing w:line="240" w:lineRule="auto"/>
                    <w:ind w:firstLine="0" w:firstLineChars="0"/>
                    <w:contextualSpacing/>
                    <w:jc w:val="center"/>
                    <w:rPr>
                      <w:rFonts w:cs="Times New Roman"/>
                      <w:sz w:val="21"/>
                    </w:rPr>
                  </w:pPr>
                  <w:r>
                    <w:rPr>
                      <w:rFonts w:cs="Times New Roman"/>
                      <w:sz w:val="21"/>
                    </w:rPr>
                    <w:t>昼间</w:t>
                  </w:r>
                </w:p>
              </w:tc>
              <w:tc>
                <w:tcPr>
                  <w:tcW w:w="4106" w:type="dxa"/>
                </w:tcPr>
                <w:p>
                  <w:pPr>
                    <w:spacing w:line="240" w:lineRule="auto"/>
                    <w:ind w:firstLine="0" w:firstLineChars="0"/>
                    <w:contextualSpacing/>
                    <w:jc w:val="center"/>
                    <w:rPr>
                      <w:rFonts w:cs="Times New Roman"/>
                      <w:sz w:val="21"/>
                    </w:rPr>
                  </w:pPr>
                  <w:r>
                    <w:rPr>
                      <w:rFonts w:cs="Times New Roman"/>
                      <w:sz w:val="21"/>
                    </w:rP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trPr>
              <w:tc>
                <w:tcPr>
                  <w:tcW w:w="4106" w:type="dxa"/>
                  <w:vAlign w:val="center"/>
                </w:tcPr>
                <w:p>
                  <w:pPr>
                    <w:spacing w:line="240" w:lineRule="auto"/>
                    <w:ind w:firstLine="0" w:firstLineChars="0"/>
                    <w:contextualSpacing/>
                    <w:jc w:val="center"/>
                    <w:rPr>
                      <w:rFonts w:cs="Times New Roman"/>
                      <w:sz w:val="21"/>
                    </w:rPr>
                  </w:pPr>
                  <w:r>
                    <w:rPr>
                      <w:rFonts w:cs="Times New Roman"/>
                      <w:sz w:val="21"/>
                    </w:rPr>
                    <w:t>70</w:t>
                  </w:r>
                </w:p>
              </w:tc>
              <w:tc>
                <w:tcPr>
                  <w:tcW w:w="4106" w:type="dxa"/>
                  <w:vAlign w:val="center"/>
                </w:tcPr>
                <w:p>
                  <w:pPr>
                    <w:spacing w:line="240" w:lineRule="auto"/>
                    <w:ind w:firstLine="0" w:firstLineChars="0"/>
                    <w:contextualSpacing/>
                    <w:jc w:val="center"/>
                    <w:rPr>
                      <w:rFonts w:cs="Times New Roman"/>
                      <w:sz w:val="21"/>
                    </w:rPr>
                  </w:pPr>
                  <w:r>
                    <w:rPr>
                      <w:rFonts w:cs="Times New Roman"/>
                      <w:sz w:val="21"/>
                    </w:rPr>
                    <w:t>55</w:t>
                  </w:r>
                </w:p>
              </w:tc>
            </w:tr>
          </w:tbl>
          <w:p>
            <w:pPr>
              <w:adjustRightInd w:val="0"/>
              <w:snapToGrid w:val="0"/>
              <w:ind w:firstLine="480"/>
              <w:textAlignment w:val="auto"/>
            </w:pPr>
            <w:r>
              <w:t>运营期噪声执行《工业企业厂界环境噪声排放标准》（GB12348-2008）中</w:t>
            </w:r>
            <w:r>
              <w:rPr>
                <w:rFonts w:hint="eastAsia"/>
              </w:rPr>
              <w:t>3</w:t>
            </w:r>
            <w:r>
              <w:t>类标准，即昼间≤6</w:t>
            </w:r>
            <w:r>
              <w:rPr>
                <w:rFonts w:hint="eastAsia"/>
              </w:rPr>
              <w:t>5</w:t>
            </w:r>
            <w:r>
              <w:t>dB(A)，夜间≤5</w:t>
            </w:r>
            <w:r>
              <w:rPr>
                <w:rFonts w:hint="eastAsia"/>
              </w:rPr>
              <w:t>5</w:t>
            </w:r>
            <w:r>
              <w:t>dB(A)</w:t>
            </w:r>
            <w:r>
              <w:rPr>
                <w:rFonts w:hint="eastAsia"/>
              </w:rPr>
              <w:t>，见表3</w:t>
            </w:r>
            <w:r>
              <w:t>-</w:t>
            </w:r>
            <w:r>
              <w:rPr>
                <w:rFonts w:hint="eastAsia"/>
                <w:lang w:val="en-US" w:eastAsia="zh-CN"/>
              </w:rPr>
              <w:t>5</w:t>
            </w:r>
            <w:r>
              <w:t>。</w:t>
            </w:r>
          </w:p>
          <w:p>
            <w:pPr>
              <w:pStyle w:val="43"/>
            </w:pPr>
            <w:r>
              <w:rPr>
                <w:rFonts w:hint="eastAsia"/>
              </w:rPr>
              <w:t>表3-</w:t>
            </w:r>
            <w:r>
              <w:rPr>
                <w:rFonts w:hint="eastAsia"/>
                <w:lang w:val="en-US" w:eastAsia="zh-CN"/>
              </w:rPr>
              <w:t>5</w:t>
            </w:r>
            <w:r>
              <w:t xml:space="preserve">  工业企业厂界环境噪声排放标准</w:t>
            </w:r>
            <w:r>
              <w:rPr>
                <w:rFonts w:hint="eastAsia"/>
              </w:rPr>
              <w:t xml:space="preserve"> 等效声级Leq（d</w:t>
            </w:r>
            <w:r>
              <w:t>B</w:t>
            </w:r>
            <w:r>
              <w:rPr>
                <w:rFonts w:hint="eastAsia"/>
              </w:rPr>
              <w:t>）</w:t>
            </w:r>
          </w:p>
          <w:tbl>
            <w:tblPr>
              <w:tblStyle w:val="30"/>
              <w:tblW w:w="82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2739"/>
              <w:gridCol w:w="27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736" w:type="dxa"/>
                  <w:vAlign w:val="center"/>
                </w:tcPr>
                <w:p>
                  <w:pPr>
                    <w:pStyle w:val="38"/>
                  </w:pPr>
                  <w:r>
                    <w:rPr>
                      <w:rFonts w:hint="eastAsia"/>
                    </w:rPr>
                    <w:t>功能区</w:t>
                  </w:r>
                </w:p>
              </w:tc>
              <w:tc>
                <w:tcPr>
                  <w:tcW w:w="2739" w:type="dxa"/>
                  <w:vAlign w:val="center"/>
                </w:tcPr>
                <w:p>
                  <w:pPr>
                    <w:pStyle w:val="38"/>
                  </w:pPr>
                  <w:r>
                    <w:rPr>
                      <w:rFonts w:hint="eastAsia"/>
                    </w:rPr>
                    <w:t>昼间</w:t>
                  </w:r>
                </w:p>
              </w:tc>
              <w:tc>
                <w:tcPr>
                  <w:tcW w:w="2739" w:type="dxa"/>
                  <w:vAlign w:val="center"/>
                </w:tcPr>
                <w:p>
                  <w:pPr>
                    <w:pStyle w:val="38"/>
                  </w:pPr>
                  <w:r>
                    <w:rPr>
                      <w:rFonts w:hint="eastAsia"/>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736" w:type="dxa"/>
                  <w:vAlign w:val="center"/>
                </w:tcPr>
                <w:p>
                  <w:pPr>
                    <w:pStyle w:val="38"/>
                  </w:pPr>
                  <w:r>
                    <w:rPr>
                      <w:rFonts w:hint="eastAsia"/>
                    </w:rPr>
                    <w:t>3类</w:t>
                  </w:r>
                </w:p>
              </w:tc>
              <w:tc>
                <w:tcPr>
                  <w:tcW w:w="2739" w:type="dxa"/>
                  <w:vAlign w:val="center"/>
                </w:tcPr>
                <w:p>
                  <w:pPr>
                    <w:pStyle w:val="38"/>
                  </w:pPr>
                  <w:r>
                    <w:rPr>
                      <w:rFonts w:hint="eastAsia"/>
                    </w:rPr>
                    <w:t>65</w:t>
                  </w:r>
                </w:p>
              </w:tc>
              <w:tc>
                <w:tcPr>
                  <w:tcW w:w="2739" w:type="dxa"/>
                  <w:vAlign w:val="center"/>
                </w:tcPr>
                <w:p>
                  <w:pPr>
                    <w:pStyle w:val="38"/>
                  </w:pPr>
                  <w:r>
                    <w:rPr>
                      <w:rFonts w:hint="eastAsia"/>
                    </w:rPr>
                    <w:t>55</w:t>
                  </w:r>
                </w:p>
              </w:tc>
            </w:tr>
          </w:tbl>
          <w:p>
            <w:pPr>
              <w:adjustRightInd w:val="0"/>
              <w:snapToGrid w:val="0"/>
              <w:ind w:firstLine="0" w:firstLineChars="0"/>
              <w:textAlignment w:val="auto"/>
              <w:rPr>
                <w:b/>
                <w:bCs/>
              </w:rPr>
            </w:pPr>
            <w:r>
              <w:rPr>
                <w:rFonts w:hint="eastAsia"/>
                <w:b/>
                <w:bCs/>
              </w:rPr>
              <w:t>4、固体废物</w:t>
            </w:r>
            <w:r>
              <w:rPr>
                <w:b/>
                <w:bCs/>
              </w:rPr>
              <w:t>排放标准</w:t>
            </w:r>
          </w:p>
          <w:p>
            <w:pPr>
              <w:adjustRightInd w:val="0"/>
              <w:snapToGrid w:val="0"/>
              <w:ind w:firstLine="480"/>
              <w:textAlignment w:val="auto"/>
            </w:pPr>
            <w:r>
              <w:rPr>
                <w:rFonts w:hint="eastAsia"/>
              </w:rPr>
              <w:t>一般固体废物按照《中华人民共和国固体废物污染环境防治法》要求处置，各类固体废物妥善处置，不得形成二次污染，一般工业固废厂区内暂存参照执行《一般工业固体废物贮存和填埋污染控制标准》（GB18599-2020）中的“其贮存过程应满足相应防渗漏、防雨淋、防扬尘等环境保护要求”。</w:t>
            </w:r>
            <w:r>
              <w:t>危险废物贮存执行《危险废物贮存污染控制标准》（GB18597-20</w:t>
            </w:r>
            <w:r>
              <w:rPr>
                <w:rFonts w:hint="eastAsia"/>
              </w:rPr>
              <w:t>23</w:t>
            </w:r>
            <w:r>
              <w:t>）</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0" w:hRule="atLeast"/>
          <w:jc w:val="center"/>
        </w:trPr>
        <w:tc>
          <w:tcPr>
            <w:tcW w:w="826" w:type="dxa"/>
            <w:vAlign w:val="center"/>
          </w:tcPr>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总量</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控制</w:t>
            </w:r>
          </w:p>
          <w:p>
            <w:pPr>
              <w:adjustRightInd w:val="0"/>
              <w:snapToGrid w:val="0"/>
              <w:spacing w:line="240" w:lineRule="auto"/>
              <w:ind w:firstLine="0" w:firstLineChars="0"/>
              <w:jc w:val="center"/>
              <w:textAlignment w:val="auto"/>
              <w:rPr>
                <w:rFonts w:hint="eastAsia" w:ascii="宋体" w:hAnsi="宋体" w:cs="宋体"/>
                <w:b/>
                <w:bCs/>
                <w:kern w:val="0"/>
                <w:szCs w:val="24"/>
              </w:rPr>
            </w:pPr>
            <w:r>
              <w:rPr>
                <w:rFonts w:hint="eastAsia" w:ascii="宋体" w:hAnsi="宋体" w:cs="宋体"/>
                <w:b/>
                <w:bCs/>
                <w:kern w:val="0"/>
                <w:szCs w:val="24"/>
              </w:rPr>
              <w:t>指标</w:t>
            </w:r>
          </w:p>
        </w:tc>
        <w:tc>
          <w:tcPr>
            <w:tcW w:w="8460" w:type="dxa"/>
          </w:tcPr>
          <w:p>
            <w:pPr>
              <w:ind w:firstLine="480"/>
            </w:pPr>
            <w:r>
              <w:rPr>
                <w:rFonts w:hint="eastAsia" w:cs="Times New Roman"/>
                <w:kern w:val="0"/>
              </w:rPr>
              <w:t>根据国家现行纳入总量控制的污染物二氧化硫（</w:t>
            </w:r>
            <w:r>
              <w:rPr>
                <w:rFonts w:cs="Times New Roman"/>
                <w:kern w:val="0"/>
              </w:rPr>
              <w:t>SO</w:t>
            </w:r>
            <w:r>
              <w:rPr>
                <w:rFonts w:cs="Times New Roman"/>
                <w:kern w:val="0"/>
                <w:vertAlign w:val="subscript"/>
              </w:rPr>
              <w:t>2</w:t>
            </w:r>
            <w:r>
              <w:rPr>
                <w:rFonts w:hint="eastAsia" w:cs="Times New Roman"/>
                <w:kern w:val="0"/>
              </w:rPr>
              <w:t>）</w:t>
            </w:r>
            <w:r>
              <w:rPr>
                <w:rFonts w:cs="Times New Roman"/>
                <w:kern w:val="0"/>
              </w:rPr>
              <w:t>、</w:t>
            </w:r>
            <w:r>
              <w:rPr>
                <w:rFonts w:hint="eastAsia" w:cs="Times New Roman"/>
                <w:kern w:val="0"/>
              </w:rPr>
              <w:t>化学需氧量（</w:t>
            </w:r>
            <w:r>
              <w:rPr>
                <w:rFonts w:cs="Times New Roman"/>
                <w:kern w:val="0"/>
              </w:rPr>
              <w:t>CODcr</w:t>
            </w:r>
            <w:r>
              <w:rPr>
                <w:rFonts w:hint="eastAsia" w:cs="Times New Roman"/>
                <w:kern w:val="0"/>
              </w:rPr>
              <w:t>）</w:t>
            </w:r>
            <w:r>
              <w:rPr>
                <w:rFonts w:cs="Times New Roman"/>
                <w:kern w:val="0"/>
              </w:rPr>
              <w:t>、</w:t>
            </w:r>
            <w:r>
              <w:rPr>
                <w:rFonts w:hint="eastAsia" w:cs="Times New Roman"/>
                <w:kern w:val="0"/>
              </w:rPr>
              <w:t>氨氮（</w:t>
            </w:r>
            <w:r>
              <w:rPr>
                <w:rFonts w:cs="Times New Roman"/>
                <w:kern w:val="0"/>
              </w:rPr>
              <w:t>NH</w:t>
            </w:r>
            <w:r>
              <w:rPr>
                <w:rFonts w:cs="Times New Roman"/>
                <w:kern w:val="0"/>
                <w:vertAlign w:val="subscript"/>
              </w:rPr>
              <w:t>3</w:t>
            </w:r>
            <w:r>
              <w:rPr>
                <w:rFonts w:cs="Times New Roman"/>
                <w:kern w:val="0"/>
              </w:rPr>
              <w:t>-N</w:t>
            </w:r>
            <w:r>
              <w:rPr>
                <w:rFonts w:hint="eastAsia" w:cs="Times New Roman"/>
                <w:kern w:val="0"/>
              </w:rPr>
              <w:t>）</w:t>
            </w:r>
            <w:r>
              <w:rPr>
                <w:rFonts w:cs="Times New Roman"/>
                <w:kern w:val="0"/>
              </w:rPr>
              <w:t>、</w:t>
            </w:r>
            <w:r>
              <w:rPr>
                <w:rFonts w:hint="eastAsia" w:cs="Times New Roman"/>
                <w:kern w:val="0"/>
              </w:rPr>
              <w:t>氮氧化物（</w:t>
            </w:r>
            <w:r>
              <w:rPr>
                <w:rFonts w:cs="Times New Roman"/>
                <w:kern w:val="0"/>
              </w:rPr>
              <w:t>NOx</w:t>
            </w:r>
            <w:r>
              <w:rPr>
                <w:rFonts w:hint="eastAsia" w:cs="Times New Roman"/>
                <w:kern w:val="0"/>
              </w:rPr>
              <w:t>）的具体要求以及结合企业生产工艺。大气污染物为颗粒物，</w:t>
            </w:r>
            <w:r>
              <w:rPr>
                <w:rFonts w:hint="eastAsia" w:cs="Times New Roman"/>
                <w:kern w:val="0"/>
                <w:lang w:val="en-US" w:eastAsia="zh-CN"/>
              </w:rPr>
              <w:t>无废水产生</w:t>
            </w:r>
            <w:r>
              <w:rPr>
                <w:rFonts w:hint="eastAsia" w:cs="Times New Roman"/>
                <w:kern w:val="0"/>
              </w:rPr>
              <w:t>，固体废物全部合理处置。因此本项目不设置总量控制。</w:t>
            </w:r>
          </w:p>
          <w:p>
            <w:pPr>
              <w:pStyle w:val="2"/>
            </w:pPr>
          </w:p>
          <w:p>
            <w:pPr>
              <w:ind w:firstLine="480"/>
            </w:pPr>
          </w:p>
          <w:p>
            <w:pPr>
              <w:pStyle w:val="2"/>
            </w:pPr>
          </w:p>
          <w:p>
            <w:pPr>
              <w:ind w:firstLine="480"/>
            </w:pPr>
          </w:p>
          <w:p>
            <w:pPr>
              <w:pStyle w:val="2"/>
            </w:pPr>
          </w:p>
          <w:p>
            <w:pPr>
              <w:ind w:firstLine="480"/>
            </w:pPr>
          </w:p>
          <w:p>
            <w:pPr>
              <w:pStyle w:val="2"/>
            </w:pPr>
          </w:p>
          <w:p>
            <w:pPr>
              <w:pStyle w:val="2"/>
              <w:jc w:val="both"/>
            </w:pPr>
          </w:p>
        </w:tc>
      </w:tr>
    </w:tbl>
    <w:p>
      <w:pPr>
        <w:rPr>
          <w:rFonts w:hint="eastAsia"/>
        </w:rPr>
      </w:pPr>
      <w:r>
        <w:rPr>
          <w:rFonts w:hint="eastAsia"/>
        </w:rPr>
        <w:br w:type="page"/>
      </w:r>
    </w:p>
    <w:p>
      <w:pPr>
        <w:pStyle w:val="3"/>
      </w:pPr>
      <w:r>
        <w:rPr>
          <w:rFonts w:hint="eastAsia"/>
        </w:rPr>
        <w:t>四、</w:t>
      </w:r>
      <w:bookmarkStart w:id="9" w:name="_Hlk76403317"/>
      <w:r>
        <w:rPr>
          <w:rFonts w:hint="eastAsia"/>
        </w:rPr>
        <w:t>主要环境影响和保护措施</w:t>
      </w:r>
      <w:bookmarkEnd w:id="9"/>
    </w:p>
    <w:tbl>
      <w:tblPr>
        <w:tblStyle w:val="29"/>
        <w:tblW w:w="9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8"/>
        <w:gridCol w:w="86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8" w:hRule="atLeast"/>
          <w:jc w:val="center"/>
        </w:trPr>
        <w:tc>
          <w:tcPr>
            <w:tcW w:w="614" w:type="dxa"/>
            <w:tcMar>
              <w:left w:w="28" w:type="dxa"/>
              <w:right w:w="28" w:type="dxa"/>
            </w:tcMar>
            <w:vAlign w:val="center"/>
          </w:tcPr>
          <w:p>
            <w:pPr>
              <w:widowControl/>
              <w:adjustRightInd w:val="0"/>
              <w:snapToGrid w:val="0"/>
              <w:spacing w:line="240" w:lineRule="auto"/>
              <w:ind w:firstLine="0" w:firstLineChars="0"/>
              <w:jc w:val="center"/>
              <w:textAlignment w:val="auto"/>
              <w:rPr>
                <w:rFonts w:hint="eastAsia" w:ascii="宋体" w:hAnsi="宋体" w:cs="宋体"/>
                <w:szCs w:val="24"/>
              </w:rPr>
            </w:pPr>
            <w:r>
              <w:rPr>
                <w:rFonts w:hint="eastAsia" w:ascii="宋体" w:hAnsi="宋体" w:cs="宋体"/>
                <w:szCs w:val="24"/>
              </w:rPr>
              <w:t>施工</w:t>
            </w:r>
          </w:p>
          <w:p>
            <w:pPr>
              <w:widowControl/>
              <w:adjustRightInd w:val="0"/>
              <w:snapToGrid w:val="0"/>
              <w:spacing w:line="240" w:lineRule="auto"/>
              <w:ind w:firstLine="0" w:firstLineChars="0"/>
              <w:jc w:val="center"/>
              <w:textAlignment w:val="auto"/>
              <w:rPr>
                <w:rFonts w:hint="eastAsia" w:ascii="宋体" w:hAnsi="宋体" w:cs="宋体"/>
                <w:szCs w:val="24"/>
              </w:rPr>
            </w:pPr>
            <w:r>
              <w:rPr>
                <w:rFonts w:hint="eastAsia" w:ascii="宋体" w:hAnsi="宋体" w:cs="宋体"/>
                <w:szCs w:val="24"/>
              </w:rPr>
              <w:t>期环</w:t>
            </w:r>
          </w:p>
          <w:p>
            <w:pPr>
              <w:widowControl/>
              <w:adjustRightInd w:val="0"/>
              <w:snapToGrid w:val="0"/>
              <w:spacing w:line="240" w:lineRule="auto"/>
              <w:ind w:firstLine="0" w:firstLineChars="0"/>
              <w:jc w:val="center"/>
              <w:textAlignment w:val="auto"/>
              <w:rPr>
                <w:rFonts w:hint="eastAsia" w:ascii="宋体" w:hAnsi="宋体" w:cs="宋体"/>
                <w:szCs w:val="24"/>
              </w:rPr>
            </w:pPr>
            <w:r>
              <w:rPr>
                <w:rFonts w:hint="eastAsia" w:ascii="宋体" w:hAnsi="宋体" w:cs="宋体"/>
                <w:szCs w:val="24"/>
              </w:rPr>
              <w:t>境保</w:t>
            </w:r>
          </w:p>
          <w:p>
            <w:pPr>
              <w:widowControl/>
              <w:adjustRightInd w:val="0"/>
              <w:snapToGrid w:val="0"/>
              <w:spacing w:line="240" w:lineRule="auto"/>
              <w:ind w:firstLine="0" w:firstLineChars="0"/>
              <w:jc w:val="center"/>
              <w:textAlignment w:val="auto"/>
              <w:rPr>
                <w:rFonts w:hint="eastAsia" w:ascii="宋体" w:hAnsi="宋体" w:cs="宋体"/>
                <w:szCs w:val="24"/>
              </w:rPr>
            </w:pPr>
            <w:r>
              <w:rPr>
                <w:rFonts w:hint="eastAsia" w:ascii="宋体" w:hAnsi="宋体" w:cs="宋体"/>
                <w:szCs w:val="24"/>
              </w:rPr>
              <w:t>护措</w:t>
            </w:r>
          </w:p>
          <w:p>
            <w:pPr>
              <w:widowControl/>
              <w:adjustRightInd w:val="0"/>
              <w:snapToGrid w:val="0"/>
              <w:spacing w:line="240" w:lineRule="auto"/>
              <w:ind w:firstLine="0" w:firstLineChars="0"/>
              <w:jc w:val="center"/>
              <w:textAlignment w:val="auto"/>
              <w:rPr>
                <w:rFonts w:hint="eastAsia" w:ascii="宋体" w:hAnsi="宋体" w:cs="宋体"/>
                <w:bCs/>
                <w:szCs w:val="24"/>
              </w:rPr>
            </w:pPr>
            <w:r>
              <w:rPr>
                <w:rFonts w:hint="eastAsia" w:ascii="宋体" w:hAnsi="宋体" w:cs="宋体"/>
                <w:szCs w:val="24"/>
              </w:rPr>
              <w:t>施</w:t>
            </w:r>
          </w:p>
        </w:tc>
        <w:tc>
          <w:tcPr>
            <w:tcW w:w="8592" w:type="dxa"/>
          </w:tcPr>
          <w:p>
            <w:pPr>
              <w:widowControl/>
              <w:ind w:firstLine="480"/>
              <w:rPr>
                <w:snapToGrid w:val="0"/>
              </w:rPr>
            </w:pPr>
            <w:bookmarkStart w:id="10" w:name="_Toc517195126"/>
            <w:r>
              <w:rPr>
                <w:rFonts w:hint="eastAsia"/>
                <w:snapToGrid w:val="0"/>
              </w:rPr>
              <w:t>根据现场踏勘，企业租赁</w:t>
            </w:r>
            <w:r>
              <w:rPr>
                <w:rFonts w:hint="eastAsia" w:cs="Times New Roman"/>
                <w:szCs w:val="24"/>
              </w:rPr>
              <w:t>巴州鑫达资产管理有限公司</w:t>
            </w:r>
            <w:r>
              <w:rPr>
                <w:rFonts w:hint="eastAsia"/>
                <w:snapToGrid w:val="0"/>
              </w:rPr>
              <w:t>现有厂房，因此，项目施工期影响主要为设备安装等过程产生噪声。但施工期周期较短，施工面较小，只要企业加强施工期管理，禁止夜间施工，减少对外界的噪声影响，则项目施工期影响较小。综上，本项目施工期环境影响较小，本环评主要针对营运期的环境影响进行分析、评价。</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7" w:hRule="atLeast"/>
          <w:jc w:val="center"/>
        </w:trPr>
        <w:tc>
          <w:tcPr>
            <w:tcW w:w="614" w:type="dxa"/>
            <w:tcMar>
              <w:left w:w="28" w:type="dxa"/>
              <w:right w:w="28" w:type="dxa"/>
            </w:tcMar>
            <w:vAlign w:val="center"/>
          </w:tcPr>
          <w:p>
            <w:pPr>
              <w:adjustRightInd w:val="0"/>
              <w:snapToGrid w:val="0"/>
              <w:spacing w:line="240" w:lineRule="auto"/>
              <w:ind w:firstLine="0" w:firstLineChars="0"/>
              <w:jc w:val="center"/>
              <w:textAlignment w:val="auto"/>
              <w:rPr>
                <w:rFonts w:hint="eastAsia" w:ascii="宋体" w:hAnsi="宋体" w:cs="宋体"/>
                <w:bCs/>
                <w:szCs w:val="24"/>
              </w:rPr>
            </w:pPr>
            <w:r>
              <w:rPr>
                <w:rFonts w:hint="eastAsia" w:ascii="宋体" w:hAnsi="宋体" w:cs="宋体"/>
                <w:bCs/>
                <w:szCs w:val="24"/>
              </w:rPr>
              <w:t>运营</w:t>
            </w:r>
          </w:p>
          <w:p>
            <w:pPr>
              <w:adjustRightInd w:val="0"/>
              <w:snapToGrid w:val="0"/>
              <w:spacing w:line="240" w:lineRule="auto"/>
              <w:ind w:firstLine="0" w:firstLineChars="0"/>
              <w:jc w:val="center"/>
              <w:textAlignment w:val="auto"/>
              <w:rPr>
                <w:rFonts w:hint="eastAsia" w:ascii="宋体" w:hAnsi="宋体" w:cs="宋体"/>
                <w:bCs/>
                <w:szCs w:val="24"/>
              </w:rPr>
            </w:pPr>
            <w:r>
              <w:rPr>
                <w:rFonts w:hint="eastAsia" w:ascii="宋体" w:hAnsi="宋体" w:cs="宋体"/>
                <w:bCs/>
                <w:szCs w:val="24"/>
              </w:rPr>
              <w:t>期环</w:t>
            </w:r>
          </w:p>
          <w:p>
            <w:pPr>
              <w:adjustRightInd w:val="0"/>
              <w:snapToGrid w:val="0"/>
              <w:spacing w:line="240" w:lineRule="auto"/>
              <w:ind w:firstLine="0" w:firstLineChars="0"/>
              <w:jc w:val="center"/>
              <w:textAlignment w:val="auto"/>
              <w:rPr>
                <w:rFonts w:hint="eastAsia" w:ascii="宋体" w:hAnsi="宋体" w:cs="宋体"/>
                <w:bCs/>
                <w:szCs w:val="24"/>
              </w:rPr>
            </w:pPr>
            <w:r>
              <w:rPr>
                <w:rFonts w:hint="eastAsia" w:ascii="宋体" w:hAnsi="宋体" w:cs="宋体"/>
                <w:bCs/>
                <w:szCs w:val="24"/>
              </w:rPr>
              <w:t>境影</w:t>
            </w:r>
          </w:p>
          <w:p>
            <w:pPr>
              <w:adjustRightInd w:val="0"/>
              <w:snapToGrid w:val="0"/>
              <w:spacing w:line="240" w:lineRule="auto"/>
              <w:ind w:firstLine="0" w:firstLineChars="0"/>
              <w:jc w:val="center"/>
              <w:textAlignment w:val="auto"/>
              <w:rPr>
                <w:rFonts w:hint="eastAsia" w:ascii="宋体" w:hAnsi="宋体" w:cs="宋体"/>
                <w:bCs/>
                <w:szCs w:val="24"/>
              </w:rPr>
            </w:pPr>
            <w:r>
              <w:rPr>
                <w:rFonts w:hint="eastAsia" w:ascii="宋体" w:hAnsi="宋体" w:cs="宋体"/>
                <w:bCs/>
                <w:szCs w:val="24"/>
              </w:rPr>
              <w:t>响和</w:t>
            </w:r>
          </w:p>
          <w:p>
            <w:pPr>
              <w:adjustRightInd w:val="0"/>
              <w:snapToGrid w:val="0"/>
              <w:spacing w:line="240" w:lineRule="auto"/>
              <w:ind w:firstLine="0" w:firstLineChars="0"/>
              <w:jc w:val="center"/>
              <w:textAlignment w:val="auto"/>
              <w:rPr>
                <w:rFonts w:hint="eastAsia" w:ascii="宋体" w:hAnsi="宋体" w:cs="宋体"/>
                <w:bCs/>
                <w:szCs w:val="24"/>
              </w:rPr>
            </w:pPr>
            <w:r>
              <w:rPr>
                <w:rFonts w:hint="eastAsia" w:ascii="宋体" w:hAnsi="宋体" w:cs="宋体"/>
                <w:bCs/>
                <w:szCs w:val="24"/>
              </w:rPr>
              <w:t>保护</w:t>
            </w:r>
          </w:p>
          <w:p>
            <w:pPr>
              <w:adjustRightInd w:val="0"/>
              <w:snapToGrid w:val="0"/>
              <w:spacing w:line="240" w:lineRule="auto"/>
              <w:ind w:firstLine="0" w:firstLineChars="0"/>
              <w:jc w:val="center"/>
              <w:textAlignment w:val="auto"/>
              <w:rPr>
                <w:rFonts w:hint="eastAsia" w:ascii="宋体" w:hAnsi="宋体" w:cs="宋体"/>
                <w:bCs/>
                <w:szCs w:val="24"/>
              </w:rPr>
            </w:pPr>
            <w:r>
              <w:rPr>
                <w:rFonts w:hint="eastAsia" w:ascii="宋体" w:hAnsi="宋体" w:cs="宋体"/>
                <w:bCs/>
                <w:szCs w:val="24"/>
              </w:rPr>
              <w:t>措施</w:t>
            </w:r>
          </w:p>
        </w:tc>
        <w:tc>
          <w:tcPr>
            <w:tcW w:w="8592" w:type="dxa"/>
          </w:tcPr>
          <w:p>
            <w:pPr>
              <w:pStyle w:val="4"/>
            </w:pPr>
            <w:r>
              <w:rPr>
                <w:rFonts w:hint="eastAsia"/>
              </w:rPr>
              <w:t>4</w:t>
            </w:r>
            <w:r>
              <w:t>.2</w:t>
            </w:r>
            <w:r>
              <w:rPr>
                <w:rFonts w:hint="eastAsia"/>
              </w:rPr>
              <w:t>运营期环境影响和保护措施：</w:t>
            </w:r>
          </w:p>
          <w:p>
            <w:pPr>
              <w:pStyle w:val="4"/>
              <w:framePr w:hSpace="0" w:wrap="auto" w:vAnchor="margin" w:hAnchor="text" w:xAlign="left" w:yAlign="inline"/>
            </w:pPr>
            <w:r>
              <w:t>4.2.1</w:t>
            </w:r>
            <w:r>
              <w:rPr>
                <w:rFonts w:hint="eastAsia"/>
              </w:rPr>
              <w:t>大气环境影响分析及保护措施</w:t>
            </w:r>
          </w:p>
          <w:p>
            <w:pPr>
              <w:ind w:firstLine="0" w:firstLineChars="0"/>
              <w:rPr>
                <w:rFonts w:cs="Times New Roman"/>
                <w:szCs w:val="24"/>
              </w:rPr>
            </w:pPr>
            <w:r>
              <w:rPr>
                <w:rFonts w:hint="eastAsia"/>
                <w:b/>
                <w:bCs/>
              </w:rPr>
              <w:t>4</w:t>
            </w:r>
            <w:r>
              <w:rPr>
                <w:b/>
                <w:bCs/>
              </w:rPr>
              <w:t>.2.1.1</w:t>
            </w:r>
            <w:r>
              <w:rPr>
                <w:rFonts w:hint="eastAsia"/>
                <w:b/>
                <w:bCs/>
              </w:rPr>
              <w:t>废气源强分析</w:t>
            </w:r>
          </w:p>
          <w:p>
            <w:pPr>
              <w:widowControl/>
              <w:ind w:firstLine="480"/>
              <w:rPr>
                <w:rFonts w:hint="default" w:eastAsia="宋体" w:cs="Times New Roman"/>
                <w:szCs w:val="24"/>
                <w:lang w:val="en-US" w:eastAsia="zh-CN"/>
              </w:rPr>
            </w:pPr>
            <w:r>
              <w:rPr>
                <w:rFonts w:hint="eastAsia" w:cs="Times New Roman"/>
                <w:szCs w:val="24"/>
                <w:lang w:val="en-US" w:eastAsia="zh-CN"/>
              </w:rPr>
              <w:t>在纸筒的生产过程中，砂管纸需要进行过胶这道工序，粘合过程中采用</w:t>
            </w:r>
            <w:r>
              <w:rPr>
                <w:rFonts w:hint="eastAsia" w:cs="Times New Roman"/>
                <w:szCs w:val="24"/>
                <w:lang w:val="en-US" w:eastAsia="zh"/>
              </w:rPr>
              <w:t>环保型水</w:t>
            </w:r>
            <w:r>
              <w:rPr>
                <w:rFonts w:hint="eastAsia" w:cs="Times New Roman"/>
                <w:szCs w:val="24"/>
                <w:lang w:val="en-US" w:eastAsia="zh-CN"/>
              </w:rPr>
              <w:t>基</w:t>
            </w:r>
            <w:r>
              <w:rPr>
                <w:rFonts w:hint="eastAsia" w:cs="Times New Roman"/>
                <w:szCs w:val="24"/>
                <w:lang w:val="en-US" w:eastAsia="zh"/>
              </w:rPr>
              <w:t>胶粘剂（DDT-BT-A1）</w:t>
            </w:r>
            <w:r>
              <w:rPr>
                <w:rFonts w:hint="eastAsia" w:cs="Times New Roman"/>
                <w:szCs w:val="24"/>
                <w:lang w:val="en-US" w:eastAsia="zh-CN"/>
              </w:rPr>
              <w:t>，粘合过程中无需加热，无毒无害，故无废气产生。建议企业加强车间换气通风，对周围环境不造成影响。</w:t>
            </w:r>
          </w:p>
          <w:p>
            <w:pPr>
              <w:numPr>
                <w:ilvl w:val="0"/>
                <w:numId w:val="0"/>
              </w:numPr>
              <w:bidi w:val="0"/>
              <w:ind w:firstLine="480" w:firstLineChars="200"/>
              <w:rPr>
                <w:rFonts w:hint="eastAsia"/>
                <w:lang w:val="en-US" w:eastAsia="zh-CN"/>
              </w:rPr>
            </w:pPr>
            <w:r>
              <w:rPr>
                <w:rFonts w:hint="eastAsia" w:ascii="Times New Roman" w:hAnsi="Times New Roman" w:eastAsia="宋体" w:cstheme="minorBidi"/>
                <w:kern w:val="2"/>
                <w:sz w:val="24"/>
                <w:szCs w:val="22"/>
                <w:lang w:val="en-US" w:eastAsia="zh-CN" w:bidi="ar-SA"/>
              </w:rPr>
              <w:t>（</w:t>
            </w:r>
            <w:r>
              <w:rPr>
                <w:rFonts w:hint="eastAsia" w:cstheme="minorBidi"/>
                <w:kern w:val="2"/>
                <w:sz w:val="24"/>
                <w:szCs w:val="22"/>
                <w:lang w:val="en-US" w:eastAsia="zh-CN" w:bidi="ar-SA"/>
              </w:rPr>
              <w:t>1</w:t>
            </w:r>
            <w:r>
              <w:rPr>
                <w:rFonts w:hint="eastAsia" w:ascii="Times New Roman" w:hAnsi="Times New Roman" w:eastAsia="宋体" w:cstheme="minorBidi"/>
                <w:kern w:val="2"/>
                <w:sz w:val="24"/>
                <w:szCs w:val="22"/>
                <w:lang w:val="en-US" w:eastAsia="zh-CN" w:bidi="ar-SA"/>
              </w:rPr>
              <w:t>）</w:t>
            </w:r>
            <w:r>
              <w:rPr>
                <w:rFonts w:hint="eastAsia"/>
                <w:lang w:val="en-US" w:eastAsia="zh-CN"/>
              </w:rPr>
              <w:t>切割废气</w:t>
            </w:r>
          </w:p>
          <w:p>
            <w:pPr>
              <w:bidi w:val="0"/>
              <w:rPr>
                <w:rFonts w:hint="eastAsia"/>
              </w:rPr>
            </w:pPr>
            <w:r>
              <w:rPr>
                <w:rFonts w:hint="eastAsia" w:cs="Times New Roman"/>
                <w:szCs w:val="24"/>
                <w:lang w:val="en-US" w:eastAsia="zh-CN"/>
              </w:rPr>
              <w:t>项目切割废气会产生少量纸屑粉尘，主要污染因子为颗粒物。纸屑粉尘产生量较少，且粉尘粒径较大，主要沉降在设备附近，少量通过车间通排风系统无组织排放到厂界外，颗粒物无组织排放厂界浓度可满足</w:t>
            </w:r>
            <w:r>
              <w:t>《大气污染物综合排放标准》（GB16297-</w:t>
            </w:r>
            <w:r>
              <w:rPr>
                <w:rFonts w:hint="eastAsia"/>
              </w:rPr>
              <w:t>19</w:t>
            </w:r>
            <w:r>
              <w:t>96）</w:t>
            </w:r>
            <w:r>
              <w:rPr>
                <w:rFonts w:hint="eastAsia"/>
              </w:rPr>
              <w:t>中无组织排放监控浓度限值</w:t>
            </w:r>
            <w:r>
              <w:rPr>
                <w:rFonts w:hint="eastAsia" w:cs="Times New Roman"/>
                <w:szCs w:val="24"/>
                <w:lang w:val="en-US" w:eastAsia="zh-CN"/>
              </w:rPr>
              <w:t>，对周围大气环境和附近敏感点影响较小。</w:t>
            </w:r>
          </w:p>
          <w:p>
            <w:pPr>
              <w:pStyle w:val="4"/>
              <w:rPr>
                <w:rFonts w:cs="Times New Roman"/>
                <w:szCs w:val="24"/>
              </w:rPr>
            </w:pPr>
            <w:r>
              <w:rPr>
                <w:rFonts w:hint="eastAsia"/>
              </w:rPr>
              <w:t>4.2.1.</w:t>
            </w:r>
            <w:r>
              <w:rPr>
                <w:rFonts w:hint="eastAsia"/>
                <w:lang w:val="en-US" w:eastAsia="zh-CN"/>
              </w:rPr>
              <w:t>2</w:t>
            </w:r>
            <w:r>
              <w:rPr>
                <w:rFonts w:cs="Times New Roman"/>
                <w:szCs w:val="24"/>
              </w:rPr>
              <w:t>监测要求</w:t>
            </w:r>
          </w:p>
          <w:p>
            <w:pPr>
              <w:widowControl/>
              <w:ind w:firstLine="480"/>
              <w:jc w:val="left"/>
              <w:rPr>
                <w:rFonts w:cs="Times New Roman"/>
                <w:szCs w:val="24"/>
              </w:rPr>
            </w:pPr>
            <w:r>
              <w:rPr>
                <w:rFonts w:hint="eastAsia" w:cs="Times New Roman"/>
                <w:szCs w:val="24"/>
              </w:rPr>
              <w:t>参考</w:t>
            </w:r>
            <w:r>
              <w:rPr>
                <w:rFonts w:hint="eastAsia" w:ascii="宋体" w:hAnsi="宋体" w:cs="宋体"/>
                <w:color w:val="000000"/>
                <w:kern w:val="0"/>
                <w:szCs w:val="24"/>
                <w:lang w:bidi="ar"/>
              </w:rPr>
              <w:t>《排污单位自行监测技术指南</w:t>
            </w:r>
            <w:r>
              <w:rPr>
                <w:rFonts w:hint="eastAsia" w:ascii="宋体" w:hAnsi="宋体" w:cs="宋体"/>
                <w:color w:val="000000"/>
                <w:kern w:val="0"/>
                <w:szCs w:val="24"/>
                <w:lang w:val="en-US" w:eastAsia="zh-CN" w:bidi="ar"/>
              </w:rPr>
              <w:t xml:space="preserve"> 造纸工业</w:t>
            </w:r>
            <w:r>
              <w:rPr>
                <w:rFonts w:hint="eastAsia" w:ascii="宋体" w:hAnsi="宋体" w:cs="宋体"/>
                <w:color w:val="000000"/>
                <w:kern w:val="0"/>
                <w:szCs w:val="24"/>
                <w:lang w:bidi="ar"/>
              </w:rPr>
              <w:t>》（</w:t>
            </w:r>
            <w:r>
              <w:rPr>
                <w:rFonts w:cs="Times New Roman"/>
                <w:color w:val="000000"/>
                <w:kern w:val="0"/>
                <w:szCs w:val="24"/>
                <w:lang w:bidi="ar"/>
              </w:rPr>
              <w:t>HJ1085-2020</w:t>
            </w:r>
            <w:r>
              <w:rPr>
                <w:rFonts w:hint="eastAsia" w:ascii="宋体" w:hAnsi="宋体" w:cs="宋体"/>
                <w:color w:val="000000"/>
                <w:kern w:val="0"/>
                <w:szCs w:val="24"/>
                <w:lang w:bidi="ar"/>
              </w:rPr>
              <w:t>）</w:t>
            </w:r>
            <w:r>
              <w:rPr>
                <w:rFonts w:hint="eastAsia" w:cs="Times New Roman"/>
                <w:szCs w:val="24"/>
              </w:rPr>
              <w:t>，制定废气的环境自行监测计划如下表所示：</w:t>
            </w:r>
          </w:p>
          <w:p>
            <w:pPr>
              <w:autoSpaceDE w:val="0"/>
              <w:autoSpaceDN w:val="0"/>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表4-4  项目</w:t>
            </w:r>
            <w:r>
              <w:rPr>
                <w:rFonts w:hint="eastAsia" w:cs="Times New Roman"/>
                <w:b/>
                <w:kern w:val="0"/>
                <w:sz w:val="21"/>
                <w:szCs w:val="21"/>
              </w:rPr>
              <w:t>废气</w:t>
            </w:r>
            <w:r>
              <w:rPr>
                <w:rFonts w:cs="Times New Roman"/>
                <w:b/>
                <w:kern w:val="0"/>
                <w:sz w:val="21"/>
                <w:szCs w:val="21"/>
              </w:rPr>
              <w:t>监测点位和监测频次一览表</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733"/>
              <w:gridCol w:w="1263"/>
              <w:gridCol w:w="1923"/>
              <w:gridCol w:w="27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pct"/>
                  <w:vAlign w:val="center"/>
                </w:tcPr>
                <w:p>
                  <w:pPr>
                    <w:adjustRightInd w:val="0"/>
                    <w:snapToGrid w:val="0"/>
                    <w:spacing w:line="240" w:lineRule="auto"/>
                    <w:ind w:firstLine="0" w:firstLineChars="0"/>
                    <w:jc w:val="center"/>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项目</w:t>
                  </w:r>
                </w:p>
              </w:tc>
              <w:tc>
                <w:tcPr>
                  <w:tcW w:w="1029" w:type="pct"/>
                  <w:vAlign w:val="center"/>
                </w:tcPr>
                <w:p>
                  <w:pPr>
                    <w:adjustRightInd w:val="0"/>
                    <w:snapToGrid w:val="0"/>
                    <w:spacing w:line="240" w:lineRule="auto"/>
                    <w:ind w:firstLine="0" w:firstLineChars="0"/>
                    <w:jc w:val="center"/>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监测</w:t>
                  </w:r>
                  <w:r>
                    <w:rPr>
                      <w:rFonts w:hint="eastAsia" w:cs="Times New Roman"/>
                      <w:color w:val="000000" w:themeColor="text1"/>
                      <w:sz w:val="21"/>
                      <w:szCs w:val="21"/>
                      <w14:textFill>
                        <w14:solidFill>
                          <w14:schemeClr w14:val="tx1"/>
                        </w14:solidFill>
                      </w14:textFill>
                    </w:rPr>
                    <w:t>点位</w:t>
                  </w:r>
                </w:p>
              </w:tc>
              <w:tc>
                <w:tcPr>
                  <w:tcW w:w="750" w:type="pct"/>
                  <w:vAlign w:val="center"/>
                </w:tcPr>
                <w:p>
                  <w:pPr>
                    <w:adjustRightInd w:val="0"/>
                    <w:snapToGrid w:val="0"/>
                    <w:spacing w:line="240" w:lineRule="auto"/>
                    <w:ind w:firstLine="0" w:firstLineChars="0"/>
                    <w:jc w:val="center"/>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监测频次</w:t>
                  </w:r>
                </w:p>
              </w:tc>
              <w:tc>
                <w:tcPr>
                  <w:tcW w:w="1142" w:type="pct"/>
                  <w:vAlign w:val="center"/>
                </w:tcPr>
                <w:p>
                  <w:pPr>
                    <w:adjustRightInd w:val="0"/>
                    <w:snapToGrid w:val="0"/>
                    <w:spacing w:line="240" w:lineRule="auto"/>
                    <w:ind w:firstLine="0" w:firstLineChars="0"/>
                    <w:jc w:val="center"/>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监测项目</w:t>
                  </w:r>
                </w:p>
              </w:tc>
              <w:tc>
                <w:tcPr>
                  <w:tcW w:w="1613" w:type="pct"/>
                  <w:vAlign w:val="center"/>
                </w:tcPr>
                <w:p>
                  <w:pPr>
                    <w:adjustRightInd w:val="0"/>
                    <w:snapToGrid w:val="0"/>
                    <w:spacing w:line="240" w:lineRule="auto"/>
                    <w:ind w:firstLine="0" w:firstLineChars="0"/>
                    <w:jc w:val="center"/>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6" w:type="pct"/>
                  <w:vAlign w:val="center"/>
                </w:tcPr>
                <w:p>
                  <w:pPr>
                    <w:spacing w:line="240" w:lineRule="auto"/>
                    <w:ind w:firstLine="0" w:firstLineChars="0"/>
                    <w:jc w:val="center"/>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废气</w:t>
                  </w:r>
                </w:p>
              </w:tc>
              <w:tc>
                <w:tcPr>
                  <w:tcW w:w="1029" w:type="pct"/>
                  <w:vAlign w:val="center"/>
                </w:tcPr>
                <w:p>
                  <w:pPr>
                    <w:adjustRightInd w:val="0"/>
                    <w:snapToGrid w:val="0"/>
                    <w:spacing w:line="240" w:lineRule="auto"/>
                    <w:ind w:firstLine="0" w:firstLineChars="0"/>
                    <w:jc w:val="center"/>
                    <w:textAlignment w:val="auto"/>
                    <w:rPr>
                      <w:rFonts w:cs="Times New Roman"/>
                      <w:bCs/>
                      <w:sz w:val="21"/>
                      <w:szCs w:val="21"/>
                    </w:rPr>
                  </w:pPr>
                  <w:r>
                    <w:rPr>
                      <w:rFonts w:cs="Times New Roman"/>
                      <w:color w:val="000000" w:themeColor="text1"/>
                      <w:sz w:val="21"/>
                      <w:szCs w:val="21"/>
                      <w14:textFill>
                        <w14:solidFill>
                          <w14:schemeClr w14:val="tx1"/>
                        </w14:solidFill>
                      </w14:textFill>
                    </w:rPr>
                    <w:t>厂界外无组织（上风向参照点一个点、下风向监控点三个点）</w:t>
                  </w:r>
                </w:p>
              </w:tc>
              <w:tc>
                <w:tcPr>
                  <w:tcW w:w="750" w:type="pct"/>
                  <w:vAlign w:val="center"/>
                </w:tcPr>
                <w:p>
                  <w:pPr>
                    <w:adjustRightInd w:val="0"/>
                    <w:snapToGrid w:val="0"/>
                    <w:spacing w:line="240" w:lineRule="auto"/>
                    <w:ind w:firstLine="0" w:firstLineChars="0"/>
                    <w:jc w:val="center"/>
                    <w:textAlignment w:val="auto"/>
                    <w:rPr>
                      <w:rFonts w:cs="Times New Roman"/>
                      <w:bCs/>
                      <w:sz w:val="21"/>
                      <w:szCs w:val="21"/>
                    </w:rPr>
                  </w:pPr>
                  <w:r>
                    <w:rPr>
                      <w:rFonts w:cs="Times New Roman"/>
                      <w:bCs/>
                      <w:sz w:val="21"/>
                      <w:szCs w:val="21"/>
                    </w:rPr>
                    <w:t>1次/</w:t>
                  </w:r>
                  <w:r>
                    <w:rPr>
                      <w:rFonts w:hint="eastAsia" w:cs="Times New Roman"/>
                      <w:bCs/>
                      <w:sz w:val="21"/>
                      <w:szCs w:val="21"/>
                    </w:rPr>
                    <w:t>半</w:t>
                  </w:r>
                  <w:r>
                    <w:rPr>
                      <w:rFonts w:cs="Times New Roman"/>
                      <w:bCs/>
                      <w:sz w:val="21"/>
                      <w:szCs w:val="21"/>
                    </w:rPr>
                    <w:t>年</w:t>
                  </w:r>
                </w:p>
              </w:tc>
              <w:tc>
                <w:tcPr>
                  <w:tcW w:w="1142" w:type="pct"/>
                  <w:vAlign w:val="center"/>
                </w:tcPr>
                <w:p>
                  <w:pPr>
                    <w:adjustRightInd w:val="0"/>
                    <w:snapToGrid w:val="0"/>
                    <w:spacing w:line="240" w:lineRule="auto"/>
                    <w:ind w:firstLine="0" w:firstLineChars="0"/>
                    <w:jc w:val="center"/>
                    <w:textAlignment w:val="auto"/>
                    <w:rPr>
                      <w:rFonts w:hint="eastAsia" w:eastAsia="宋体" w:cs="Times New Roman"/>
                      <w:bCs/>
                      <w:sz w:val="21"/>
                      <w:szCs w:val="21"/>
                      <w:lang w:eastAsia="zh-CN"/>
                    </w:rPr>
                  </w:pPr>
                  <w:r>
                    <w:rPr>
                      <w:rFonts w:hint="eastAsia" w:cs="Times New Roman"/>
                      <w:bCs/>
                      <w:sz w:val="21"/>
                      <w:szCs w:val="21"/>
                      <w:lang w:val="en-US" w:eastAsia="zh-CN"/>
                    </w:rPr>
                    <w:t>颗粒物</w:t>
                  </w:r>
                </w:p>
              </w:tc>
              <w:tc>
                <w:tcPr>
                  <w:tcW w:w="1613" w:type="pct"/>
                  <w:vAlign w:val="center"/>
                </w:tcPr>
                <w:p>
                  <w:pPr>
                    <w:adjustRightInd w:val="0"/>
                    <w:snapToGrid w:val="0"/>
                    <w:spacing w:line="240" w:lineRule="auto"/>
                    <w:ind w:firstLine="0" w:firstLineChars="0"/>
                    <w:jc w:val="center"/>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《大气污染物综合排放标准》（GB16297-</w:t>
                  </w:r>
                  <w:r>
                    <w:rPr>
                      <w:rFonts w:hint="eastAsia" w:cs="Times New Roman"/>
                      <w:color w:val="000000" w:themeColor="text1"/>
                      <w:sz w:val="21"/>
                      <w:szCs w:val="21"/>
                      <w14:textFill>
                        <w14:solidFill>
                          <w14:schemeClr w14:val="tx1"/>
                        </w14:solidFill>
                      </w14:textFill>
                    </w:rPr>
                    <w:t>19</w:t>
                  </w:r>
                  <w:r>
                    <w:rPr>
                      <w:rFonts w:cs="Times New Roman"/>
                      <w:color w:val="000000" w:themeColor="text1"/>
                      <w:sz w:val="21"/>
                      <w:szCs w:val="21"/>
                      <w14:textFill>
                        <w14:solidFill>
                          <w14:schemeClr w14:val="tx1"/>
                        </w14:solidFill>
                      </w14:textFill>
                    </w:rPr>
                    <w:t>96）</w:t>
                  </w:r>
                </w:p>
              </w:tc>
            </w:tr>
          </w:tbl>
          <w:p>
            <w:pPr>
              <w:pStyle w:val="4"/>
            </w:pPr>
            <w:r>
              <w:rPr>
                <w:rFonts w:hint="eastAsia" w:ascii="Times New Roman" w:hAnsi="Times New Roman" w:eastAsia="宋体"/>
                <w:lang w:val="en-US" w:eastAsia="zh-CN"/>
              </w:rPr>
              <w:t>4.2.1.3</w:t>
            </w:r>
            <w:r>
              <w:rPr>
                <w:rFonts w:hint="eastAsia"/>
              </w:rPr>
              <w:t>环境空气影响评价</w:t>
            </w:r>
          </w:p>
          <w:p>
            <w:pPr>
              <w:bidi w:val="0"/>
              <w:rPr>
                <w:rFonts w:hint="eastAsia"/>
              </w:rPr>
            </w:pPr>
            <w:r>
              <w:rPr>
                <w:rFonts w:hint="eastAsia" w:ascii="宋体" w:hAnsi="宋体" w:cs="宋体"/>
                <w:color w:val="000000"/>
                <w:kern w:val="0"/>
                <w:szCs w:val="24"/>
                <w:lang w:bidi="ar"/>
              </w:rPr>
              <w:t>本项目</w:t>
            </w:r>
            <w:r>
              <w:rPr>
                <w:rFonts w:hint="eastAsia" w:cs="Times New Roman"/>
                <w:szCs w:val="24"/>
                <w:lang w:val="en-US" w:eastAsia="zh-CN"/>
              </w:rPr>
              <w:t>在纸筒的生产过程中，砂管纸需要进行过胶这道工序，粘合过程中采用</w:t>
            </w:r>
            <w:r>
              <w:rPr>
                <w:rFonts w:hint="eastAsia" w:cs="Times New Roman"/>
                <w:szCs w:val="24"/>
                <w:lang w:val="en-US" w:eastAsia="zh"/>
              </w:rPr>
              <w:t>环保型水</w:t>
            </w:r>
            <w:r>
              <w:rPr>
                <w:rFonts w:hint="eastAsia" w:cs="Times New Roman"/>
                <w:szCs w:val="24"/>
                <w:lang w:val="en-US" w:eastAsia="zh-CN"/>
              </w:rPr>
              <w:t>基</w:t>
            </w:r>
            <w:r>
              <w:rPr>
                <w:rFonts w:hint="eastAsia" w:cs="Times New Roman"/>
                <w:szCs w:val="24"/>
                <w:lang w:val="en-US" w:eastAsia="zh"/>
              </w:rPr>
              <w:t>胶粘剂（DDT-BT-A1）</w:t>
            </w:r>
            <w:r>
              <w:rPr>
                <w:rFonts w:hint="eastAsia" w:cs="Times New Roman"/>
                <w:szCs w:val="24"/>
                <w:lang w:val="en-US" w:eastAsia="zh-CN"/>
              </w:rPr>
              <w:t>，粘合过程中无需加热，无毒无害，故无废气产生。建议企业加强车间换气通风，对周围环境不造成影响。</w:t>
            </w:r>
          </w:p>
          <w:p>
            <w:pPr>
              <w:spacing w:line="440" w:lineRule="exact"/>
              <w:ind w:firstLine="0" w:firstLineChars="0"/>
              <w:jc w:val="left"/>
              <w:rPr>
                <w:b/>
                <w:bCs/>
              </w:rPr>
            </w:pPr>
            <w:r>
              <w:rPr>
                <w:b/>
                <w:bCs/>
              </w:rPr>
              <w:t>4.2.2废水</w:t>
            </w:r>
          </w:p>
          <w:p>
            <w:pPr>
              <w:bidi w:val="0"/>
              <w:rPr>
                <w:rFonts w:hint="eastAsia"/>
                <w:lang w:val="en-US"/>
              </w:rPr>
            </w:pPr>
            <w:r>
              <w:rPr>
                <w:rFonts w:hint="eastAsia"/>
                <w:lang w:val="en-US"/>
              </w:rPr>
              <w:t>本项目无生产废水</w:t>
            </w:r>
            <w:r>
              <w:rPr>
                <w:rFonts w:hint="eastAsia"/>
                <w:lang w:val="en-US" w:eastAsia="zh-CN"/>
              </w:rPr>
              <w:t>，生活用水依托巴州鑫达资产管理有限公司厂房原有盥洗室</w:t>
            </w:r>
            <w:r>
              <w:rPr>
                <w:rFonts w:hint="eastAsia"/>
                <w:lang w:val="en-US"/>
              </w:rPr>
              <w:t>。</w:t>
            </w:r>
          </w:p>
          <w:p>
            <w:pPr>
              <w:spacing w:line="440" w:lineRule="exact"/>
              <w:ind w:firstLine="0" w:firstLineChars="0"/>
              <w:jc w:val="left"/>
              <w:rPr>
                <w:b/>
                <w:bCs/>
              </w:rPr>
            </w:pPr>
            <w:r>
              <w:rPr>
                <w:rFonts w:hint="eastAsia"/>
                <w:b/>
                <w:bCs/>
              </w:rPr>
              <w:t>4</w:t>
            </w:r>
            <w:r>
              <w:rPr>
                <w:b/>
                <w:bCs/>
              </w:rPr>
              <w:t>.2.3</w:t>
            </w:r>
            <w:r>
              <w:rPr>
                <w:rFonts w:hint="eastAsia"/>
                <w:b/>
                <w:bCs/>
              </w:rPr>
              <w:t>噪声境影响与评价</w:t>
            </w:r>
          </w:p>
          <w:p>
            <w:pPr>
              <w:pStyle w:val="4"/>
            </w:pPr>
            <w:r>
              <w:rPr>
                <w:rFonts w:hint="eastAsia"/>
              </w:rPr>
              <w:t>1、噪声源及其源强、降噪措施</w:t>
            </w:r>
          </w:p>
          <w:p>
            <w:pPr>
              <w:ind w:firstLine="480"/>
              <w:rPr>
                <w:snapToGrid w:val="0"/>
                <w:kern w:val="0"/>
              </w:rPr>
            </w:pPr>
            <w:r>
              <w:rPr>
                <w:rFonts w:hint="eastAsia"/>
                <w:color w:val="000000"/>
              </w:rPr>
              <w:t>本项目营运期产生的噪声主要为机械设备运行时产生的设备噪声，噪声源强在</w:t>
            </w:r>
            <w:r>
              <w:rPr>
                <w:color w:val="000000"/>
              </w:rPr>
              <w:t>80~95dB(A)</w:t>
            </w:r>
            <w:r>
              <w:rPr>
                <w:rFonts w:hint="eastAsia"/>
                <w:color w:val="000000"/>
              </w:rPr>
              <w:t>之间。本项目营运期主要噪声源及其源强、降噪措施如下表所示</w:t>
            </w:r>
            <w:r>
              <w:rPr>
                <w:rFonts w:hint="eastAsia"/>
                <w:snapToGrid w:val="0"/>
                <w:kern w:val="0"/>
              </w:rPr>
              <w:t>4</w:t>
            </w:r>
            <w:r>
              <w:rPr>
                <w:snapToGrid w:val="0"/>
                <w:kern w:val="0"/>
              </w:rPr>
              <w:t>-11</w:t>
            </w:r>
            <w:r>
              <w:rPr>
                <w:rFonts w:hint="eastAsia"/>
              </w:rPr>
              <w:t>。</w:t>
            </w:r>
          </w:p>
          <w:p>
            <w:pPr>
              <w:pStyle w:val="43"/>
            </w:pPr>
            <w:r>
              <w:rPr>
                <w:rFonts w:hint="eastAsia"/>
              </w:rPr>
              <w:t>表4</w:t>
            </w:r>
            <w:r>
              <w:t>-</w:t>
            </w:r>
            <w:r>
              <w:rPr>
                <w:rFonts w:hint="eastAsia"/>
                <w:lang w:val="en-US" w:eastAsia="zh-CN"/>
              </w:rPr>
              <w:t>3</w:t>
            </w:r>
            <w:r>
              <w:t xml:space="preserve">  </w:t>
            </w:r>
            <w:r>
              <w:rPr>
                <w:rFonts w:hint="eastAsia"/>
              </w:rPr>
              <w:t>主要噪声源及其源强、降噪措施</w:t>
            </w:r>
          </w:p>
          <w:tbl>
            <w:tblPr>
              <w:tblStyle w:val="29"/>
              <w:tblW w:w="8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090"/>
              <w:gridCol w:w="2748"/>
              <w:gridCol w:w="1042"/>
              <w:gridCol w:w="1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21" w:type="dxa"/>
                  <w:vAlign w:val="center"/>
                </w:tcPr>
                <w:p>
                  <w:pPr>
                    <w:spacing w:line="240" w:lineRule="auto"/>
                    <w:ind w:firstLine="0" w:firstLineChars="0"/>
                    <w:jc w:val="center"/>
                    <w:rPr>
                      <w:rFonts w:cs="Times New Roman"/>
                      <w:b/>
                      <w:bCs/>
                      <w:snapToGrid w:val="0"/>
                      <w:kern w:val="0"/>
                      <w:sz w:val="21"/>
                      <w:szCs w:val="21"/>
                    </w:rPr>
                  </w:pPr>
                  <w:r>
                    <w:rPr>
                      <w:rFonts w:cs="Times New Roman"/>
                      <w:b/>
                      <w:bCs/>
                      <w:snapToGrid w:val="0"/>
                      <w:kern w:val="0"/>
                      <w:sz w:val="21"/>
                      <w:szCs w:val="21"/>
                    </w:rPr>
                    <w:t>噪声源</w:t>
                  </w:r>
                </w:p>
              </w:tc>
              <w:tc>
                <w:tcPr>
                  <w:tcW w:w="1090" w:type="dxa"/>
                  <w:vAlign w:val="center"/>
                </w:tcPr>
                <w:p>
                  <w:pPr>
                    <w:spacing w:line="240" w:lineRule="auto"/>
                    <w:ind w:firstLine="0" w:firstLineChars="0"/>
                    <w:jc w:val="center"/>
                    <w:rPr>
                      <w:rFonts w:cs="Times New Roman"/>
                      <w:b/>
                      <w:bCs/>
                      <w:snapToGrid w:val="0"/>
                      <w:kern w:val="0"/>
                      <w:sz w:val="21"/>
                      <w:szCs w:val="21"/>
                    </w:rPr>
                  </w:pPr>
                  <w:r>
                    <w:rPr>
                      <w:rFonts w:cs="Times New Roman"/>
                      <w:b/>
                      <w:bCs/>
                      <w:snapToGrid w:val="0"/>
                      <w:kern w:val="0"/>
                      <w:sz w:val="21"/>
                      <w:szCs w:val="21"/>
                    </w:rPr>
                    <w:t>噪声源强</w:t>
                  </w:r>
                </w:p>
              </w:tc>
              <w:tc>
                <w:tcPr>
                  <w:tcW w:w="2748" w:type="dxa"/>
                  <w:vAlign w:val="center"/>
                </w:tcPr>
                <w:p>
                  <w:pPr>
                    <w:spacing w:line="240" w:lineRule="auto"/>
                    <w:ind w:firstLine="199" w:firstLineChars="110"/>
                    <w:jc w:val="center"/>
                    <w:rPr>
                      <w:rFonts w:cs="Times New Roman"/>
                      <w:b/>
                      <w:bCs/>
                      <w:snapToGrid w:val="0"/>
                      <w:kern w:val="0"/>
                      <w:sz w:val="21"/>
                      <w:szCs w:val="21"/>
                    </w:rPr>
                  </w:pPr>
                  <w:r>
                    <w:rPr>
                      <w:rFonts w:cs="Times New Roman"/>
                      <w:b/>
                      <w:bCs/>
                      <w:sz w:val="18"/>
                      <w:szCs w:val="18"/>
                    </w:rPr>
                    <w:t>降噪措施</w:t>
                  </w:r>
                </w:p>
              </w:tc>
              <w:tc>
                <w:tcPr>
                  <w:tcW w:w="1042" w:type="dxa"/>
                  <w:vAlign w:val="center"/>
                </w:tcPr>
                <w:p>
                  <w:pPr>
                    <w:spacing w:line="240" w:lineRule="auto"/>
                    <w:ind w:firstLine="0" w:firstLineChars="0"/>
                    <w:jc w:val="center"/>
                    <w:rPr>
                      <w:rFonts w:cs="Times New Roman"/>
                      <w:b/>
                      <w:bCs/>
                      <w:snapToGrid w:val="0"/>
                      <w:kern w:val="0"/>
                      <w:sz w:val="21"/>
                      <w:szCs w:val="21"/>
                    </w:rPr>
                  </w:pPr>
                  <w:r>
                    <w:rPr>
                      <w:rFonts w:cs="Times New Roman"/>
                      <w:b/>
                      <w:bCs/>
                      <w:sz w:val="18"/>
                      <w:szCs w:val="18"/>
                    </w:rPr>
                    <w:t>降噪效果dB(A)</w:t>
                  </w:r>
                </w:p>
              </w:tc>
              <w:tc>
                <w:tcPr>
                  <w:tcW w:w="1945" w:type="dxa"/>
                  <w:vAlign w:val="center"/>
                </w:tcPr>
                <w:p>
                  <w:pPr>
                    <w:spacing w:line="240" w:lineRule="auto"/>
                    <w:ind w:firstLine="0" w:firstLineChars="0"/>
                    <w:jc w:val="center"/>
                    <w:rPr>
                      <w:rFonts w:cs="Times New Roman"/>
                      <w:b/>
                      <w:bCs/>
                      <w:snapToGrid w:val="0"/>
                      <w:kern w:val="0"/>
                      <w:sz w:val="21"/>
                      <w:szCs w:val="21"/>
                    </w:rPr>
                  </w:pPr>
                  <w:r>
                    <w:rPr>
                      <w:rFonts w:cs="Times New Roman"/>
                      <w:b/>
                      <w:bCs/>
                      <w:sz w:val="18"/>
                      <w:szCs w:val="18"/>
                    </w:rPr>
                    <w:t>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21" w:type="dxa"/>
                  <w:vAlign w:val="center"/>
                </w:tcPr>
                <w:p>
                  <w:pPr>
                    <w:pStyle w:val="38"/>
                    <w:textAlignment w:val="auto"/>
                    <w:rPr>
                      <w:snapToGrid w:val="0"/>
                      <w:kern w:val="0"/>
                    </w:rPr>
                  </w:pPr>
                  <w:r>
                    <w:rPr>
                      <w:rFonts w:hint="eastAsia"/>
                      <w:lang w:val="en-US" w:eastAsia="zh-CN"/>
                    </w:rPr>
                    <w:t>全自动复卷</w:t>
                  </w:r>
                  <w:r>
                    <w:rPr>
                      <w:rFonts w:hint="eastAsia"/>
                    </w:rPr>
                    <w:t>机</w:t>
                  </w:r>
                </w:p>
              </w:tc>
              <w:tc>
                <w:tcPr>
                  <w:tcW w:w="1090" w:type="dxa"/>
                  <w:vAlign w:val="center"/>
                </w:tcPr>
                <w:p>
                  <w:pPr>
                    <w:spacing w:line="240" w:lineRule="auto"/>
                    <w:ind w:firstLine="0" w:firstLineChars="0"/>
                    <w:jc w:val="center"/>
                    <w:rPr>
                      <w:rFonts w:cs="Times New Roman"/>
                      <w:snapToGrid w:val="0"/>
                      <w:kern w:val="0"/>
                      <w:sz w:val="21"/>
                      <w:szCs w:val="21"/>
                    </w:rPr>
                  </w:pPr>
                  <w:r>
                    <w:rPr>
                      <w:rFonts w:hint="eastAsia" w:cs="Times New Roman"/>
                      <w:snapToGrid w:val="0"/>
                      <w:kern w:val="0"/>
                      <w:sz w:val="21"/>
                      <w:szCs w:val="21"/>
                    </w:rPr>
                    <w:t>75</w:t>
                  </w:r>
                  <w:r>
                    <w:rPr>
                      <w:rFonts w:cs="Times New Roman"/>
                      <w:snapToGrid w:val="0"/>
                      <w:kern w:val="0"/>
                      <w:sz w:val="21"/>
                      <w:szCs w:val="21"/>
                    </w:rPr>
                    <w:t>～</w:t>
                  </w:r>
                  <w:r>
                    <w:rPr>
                      <w:rFonts w:hint="eastAsia" w:cs="Times New Roman"/>
                      <w:snapToGrid w:val="0"/>
                      <w:kern w:val="0"/>
                      <w:sz w:val="21"/>
                      <w:szCs w:val="21"/>
                    </w:rPr>
                    <w:t>85</w:t>
                  </w:r>
                  <w:r>
                    <w:rPr>
                      <w:rFonts w:cs="Times New Roman"/>
                      <w:snapToGrid w:val="0"/>
                      <w:kern w:val="0"/>
                      <w:sz w:val="21"/>
                      <w:szCs w:val="21"/>
                    </w:rPr>
                    <w:t>dB(A)</w:t>
                  </w:r>
                </w:p>
              </w:tc>
              <w:tc>
                <w:tcPr>
                  <w:tcW w:w="2748" w:type="dxa"/>
                  <w:vMerge w:val="restart"/>
                  <w:vAlign w:val="center"/>
                </w:tcPr>
                <w:p>
                  <w:pPr>
                    <w:spacing w:line="240" w:lineRule="auto"/>
                    <w:ind w:firstLine="0" w:firstLineChars="0"/>
                    <w:jc w:val="center"/>
                    <w:rPr>
                      <w:rFonts w:cs="Times New Roman"/>
                      <w:snapToGrid w:val="0"/>
                      <w:kern w:val="0"/>
                      <w:sz w:val="21"/>
                      <w:szCs w:val="21"/>
                    </w:rPr>
                  </w:pPr>
                  <w:r>
                    <w:rPr>
                      <w:rFonts w:hint="eastAsia" w:ascii="宋体" w:hAnsi="宋体" w:cs="宋体"/>
                      <w:snapToGrid w:val="0"/>
                      <w:kern w:val="0"/>
                      <w:sz w:val="21"/>
                      <w:szCs w:val="21"/>
                    </w:rPr>
                    <w:t>①</w:t>
                  </w:r>
                  <w:r>
                    <w:rPr>
                      <w:rFonts w:cs="Times New Roman"/>
                      <w:snapToGrid w:val="0"/>
                      <w:kern w:val="0"/>
                      <w:sz w:val="21"/>
                      <w:szCs w:val="21"/>
                    </w:rPr>
                    <w:t>合理布置噪声源，有效利用厂房构筑物隔声和距离衰减；</w:t>
                  </w:r>
                  <w:r>
                    <w:rPr>
                      <w:rFonts w:hint="eastAsia" w:ascii="宋体" w:hAnsi="宋体" w:cs="宋体"/>
                      <w:snapToGrid w:val="0"/>
                      <w:kern w:val="0"/>
                      <w:sz w:val="21"/>
                      <w:szCs w:val="21"/>
                    </w:rPr>
                    <w:t>②</w:t>
                  </w:r>
                  <w:r>
                    <w:rPr>
                      <w:rFonts w:cs="Times New Roman"/>
                      <w:snapToGrid w:val="0"/>
                      <w:kern w:val="0"/>
                      <w:sz w:val="21"/>
                      <w:szCs w:val="21"/>
                    </w:rPr>
                    <w:t>选用低噪声、震动小、符合国家环保要求的设备；</w:t>
                  </w:r>
                  <w:r>
                    <w:rPr>
                      <w:rFonts w:hint="eastAsia" w:ascii="宋体" w:hAnsi="宋体" w:cs="宋体"/>
                      <w:snapToGrid w:val="0"/>
                      <w:kern w:val="0"/>
                      <w:sz w:val="21"/>
                      <w:szCs w:val="21"/>
                    </w:rPr>
                    <w:t>③</w:t>
                  </w:r>
                  <w:r>
                    <w:rPr>
                      <w:rFonts w:cs="Times New Roman"/>
                      <w:snapToGrid w:val="0"/>
                      <w:kern w:val="0"/>
                      <w:sz w:val="21"/>
                      <w:szCs w:val="21"/>
                    </w:rPr>
                    <w:t>设备安装设置基础减振；</w:t>
                  </w:r>
                  <w:r>
                    <w:rPr>
                      <w:rFonts w:hint="eastAsia" w:ascii="宋体" w:hAnsi="宋体" w:cs="宋体"/>
                      <w:snapToGrid w:val="0"/>
                      <w:kern w:val="0"/>
                      <w:sz w:val="21"/>
                      <w:szCs w:val="21"/>
                    </w:rPr>
                    <w:t>④</w:t>
                  </w:r>
                  <w:r>
                    <w:rPr>
                      <w:rFonts w:cs="Times New Roman"/>
                      <w:snapToGrid w:val="0"/>
                      <w:kern w:val="0"/>
                      <w:sz w:val="21"/>
                      <w:szCs w:val="21"/>
                    </w:rPr>
                    <w:t>加强设备的检修和维护，确保设备正常运行，降低故障性噪声排放；</w:t>
                  </w:r>
                  <w:r>
                    <w:rPr>
                      <w:rFonts w:hint="eastAsia" w:ascii="宋体" w:hAnsi="宋体" w:cs="宋体"/>
                      <w:snapToGrid w:val="0"/>
                      <w:kern w:val="0"/>
                      <w:sz w:val="21"/>
                      <w:szCs w:val="21"/>
                    </w:rPr>
                    <w:t>⑤</w:t>
                  </w:r>
                  <w:r>
                    <w:rPr>
                      <w:rFonts w:cs="Times New Roman"/>
                      <w:snapToGrid w:val="0"/>
                      <w:kern w:val="0"/>
                      <w:sz w:val="21"/>
                      <w:szCs w:val="21"/>
                    </w:rPr>
                    <w:t>加强管理，使工人文明操作，避免因野蛮操作产生的突发性噪声。</w:t>
                  </w:r>
                </w:p>
              </w:tc>
              <w:tc>
                <w:tcPr>
                  <w:tcW w:w="1042" w:type="dxa"/>
                  <w:vMerge w:val="restart"/>
                  <w:vAlign w:val="center"/>
                </w:tcPr>
                <w:p>
                  <w:pPr>
                    <w:spacing w:line="240" w:lineRule="auto"/>
                    <w:ind w:firstLine="0" w:firstLineChars="0"/>
                    <w:jc w:val="center"/>
                    <w:rPr>
                      <w:rFonts w:cs="Times New Roman"/>
                      <w:snapToGrid w:val="0"/>
                      <w:kern w:val="0"/>
                      <w:sz w:val="21"/>
                      <w:szCs w:val="21"/>
                    </w:rPr>
                  </w:pPr>
                  <w:r>
                    <w:rPr>
                      <w:rFonts w:cs="Times New Roman"/>
                      <w:sz w:val="18"/>
                      <w:szCs w:val="18"/>
                    </w:rPr>
                    <w:t>15~20</w:t>
                  </w:r>
                </w:p>
              </w:tc>
              <w:tc>
                <w:tcPr>
                  <w:tcW w:w="1945" w:type="dxa"/>
                  <w:vMerge w:val="restart"/>
                  <w:vAlign w:val="center"/>
                </w:tcPr>
                <w:p>
                  <w:pPr>
                    <w:spacing w:line="240" w:lineRule="auto"/>
                    <w:ind w:firstLine="0" w:firstLineChars="0"/>
                    <w:jc w:val="center"/>
                    <w:rPr>
                      <w:rFonts w:cs="Times New Roman"/>
                      <w:snapToGrid w:val="0"/>
                      <w:kern w:val="0"/>
                      <w:sz w:val="21"/>
                      <w:szCs w:val="21"/>
                    </w:rPr>
                  </w:pPr>
                  <w:r>
                    <w:rPr>
                      <w:rFonts w:cs="Times New Roman"/>
                      <w:snapToGrid w:val="0"/>
                      <w:kern w:val="0"/>
                      <w:sz w:val="21"/>
                      <w:szCs w:val="21"/>
                    </w:rPr>
                    <w:t>厂界噪声满足《工业企业厂界环境噪声排放标准》（GB12348-2008）中</w:t>
                  </w:r>
                  <w:r>
                    <w:rPr>
                      <w:rFonts w:hint="eastAsia" w:cs="Times New Roman"/>
                      <w:snapToGrid w:val="0"/>
                      <w:kern w:val="0"/>
                      <w:sz w:val="21"/>
                      <w:szCs w:val="21"/>
                    </w:rPr>
                    <w:t>3</w:t>
                  </w:r>
                  <w:r>
                    <w:rPr>
                      <w:rFonts w:cs="Times New Roman"/>
                      <w:snapToGrid w:val="0"/>
                      <w:kern w:val="0"/>
                      <w:sz w:val="21"/>
                      <w:szCs w:val="21"/>
                    </w:rPr>
                    <w:t>类标准限值（昼间≤6</w:t>
                  </w:r>
                  <w:r>
                    <w:rPr>
                      <w:rFonts w:hint="eastAsia" w:cs="Times New Roman"/>
                      <w:snapToGrid w:val="0"/>
                      <w:kern w:val="0"/>
                      <w:sz w:val="21"/>
                      <w:szCs w:val="21"/>
                    </w:rPr>
                    <w:t>5</w:t>
                  </w:r>
                  <w:r>
                    <w:rPr>
                      <w:rFonts w:cs="Times New Roman"/>
                      <w:snapToGrid w:val="0"/>
                      <w:kern w:val="0"/>
                      <w:sz w:val="21"/>
                      <w:szCs w:val="21"/>
                    </w:rPr>
                    <w:t>dB(A)夜间≤5</w:t>
                  </w:r>
                  <w:r>
                    <w:rPr>
                      <w:rFonts w:hint="eastAsia" w:cs="Times New Roman"/>
                      <w:snapToGrid w:val="0"/>
                      <w:kern w:val="0"/>
                      <w:sz w:val="21"/>
                      <w:szCs w:val="21"/>
                    </w:rPr>
                    <w:t>5</w:t>
                  </w:r>
                  <w:r>
                    <w:rPr>
                      <w:rFonts w:cs="Times New Roman"/>
                      <w:snapToGrid w:val="0"/>
                      <w:kern w:val="0"/>
                      <w:sz w:val="21"/>
                      <w:szCs w:val="21"/>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21" w:type="dxa"/>
                  <w:vAlign w:val="center"/>
                </w:tcPr>
                <w:p>
                  <w:pPr>
                    <w:pStyle w:val="38"/>
                    <w:textAlignment w:val="auto"/>
                    <w:rPr>
                      <w:snapToGrid w:val="0"/>
                      <w:kern w:val="0"/>
                    </w:rPr>
                  </w:pPr>
                  <w:r>
                    <w:t>数控纸管机</w:t>
                  </w:r>
                </w:p>
              </w:tc>
              <w:tc>
                <w:tcPr>
                  <w:tcW w:w="1090" w:type="dxa"/>
                  <w:vAlign w:val="center"/>
                </w:tcPr>
                <w:p>
                  <w:pPr>
                    <w:spacing w:line="240" w:lineRule="auto"/>
                    <w:ind w:firstLine="0" w:firstLineChars="0"/>
                    <w:jc w:val="center"/>
                    <w:rPr>
                      <w:rFonts w:cs="Times New Roman"/>
                      <w:snapToGrid w:val="0"/>
                      <w:kern w:val="0"/>
                      <w:sz w:val="21"/>
                      <w:szCs w:val="21"/>
                    </w:rPr>
                  </w:pPr>
                  <w:r>
                    <w:rPr>
                      <w:rFonts w:cs="Times New Roman"/>
                      <w:snapToGrid w:val="0"/>
                      <w:kern w:val="0"/>
                      <w:sz w:val="21"/>
                      <w:szCs w:val="21"/>
                    </w:rPr>
                    <w:t>75～8</w:t>
                  </w:r>
                  <w:r>
                    <w:rPr>
                      <w:rFonts w:hint="eastAsia" w:cs="Times New Roman"/>
                      <w:snapToGrid w:val="0"/>
                      <w:kern w:val="0"/>
                      <w:sz w:val="21"/>
                      <w:szCs w:val="21"/>
                    </w:rPr>
                    <w:t>5</w:t>
                  </w:r>
                  <w:r>
                    <w:rPr>
                      <w:rFonts w:cs="Times New Roman"/>
                      <w:snapToGrid w:val="0"/>
                      <w:kern w:val="0"/>
                      <w:sz w:val="21"/>
                      <w:szCs w:val="21"/>
                    </w:rPr>
                    <w:t>dB(A)</w:t>
                  </w:r>
                </w:p>
              </w:tc>
              <w:tc>
                <w:tcPr>
                  <w:tcW w:w="2748" w:type="dxa"/>
                  <w:vMerge w:val="continue"/>
                  <w:vAlign w:val="center"/>
                </w:tcPr>
                <w:p>
                  <w:pPr>
                    <w:spacing w:line="240" w:lineRule="auto"/>
                    <w:ind w:firstLine="420"/>
                    <w:jc w:val="center"/>
                    <w:rPr>
                      <w:rFonts w:cs="Times New Roman"/>
                      <w:snapToGrid w:val="0"/>
                      <w:kern w:val="0"/>
                      <w:sz w:val="21"/>
                      <w:szCs w:val="21"/>
                    </w:rPr>
                  </w:pPr>
                </w:p>
              </w:tc>
              <w:tc>
                <w:tcPr>
                  <w:tcW w:w="1042" w:type="dxa"/>
                  <w:vMerge w:val="continue"/>
                  <w:vAlign w:val="center"/>
                </w:tcPr>
                <w:p>
                  <w:pPr>
                    <w:spacing w:line="240" w:lineRule="auto"/>
                    <w:ind w:firstLine="420"/>
                    <w:jc w:val="center"/>
                    <w:rPr>
                      <w:rFonts w:cs="Times New Roman"/>
                      <w:snapToGrid w:val="0"/>
                      <w:kern w:val="0"/>
                      <w:sz w:val="21"/>
                      <w:szCs w:val="21"/>
                    </w:rPr>
                  </w:pPr>
                </w:p>
              </w:tc>
              <w:tc>
                <w:tcPr>
                  <w:tcW w:w="1945" w:type="dxa"/>
                  <w:vMerge w:val="continue"/>
                  <w:vAlign w:val="center"/>
                </w:tcPr>
                <w:p>
                  <w:pPr>
                    <w:spacing w:line="240" w:lineRule="auto"/>
                    <w:ind w:firstLine="420"/>
                    <w:jc w:val="center"/>
                    <w:rPr>
                      <w:rFonts w:cs="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21" w:type="dxa"/>
                  <w:vAlign w:val="center"/>
                </w:tcPr>
                <w:p>
                  <w:pPr>
                    <w:pStyle w:val="38"/>
                    <w:textAlignment w:val="auto"/>
                    <w:rPr>
                      <w:snapToGrid w:val="0"/>
                      <w:kern w:val="0"/>
                    </w:rPr>
                  </w:pPr>
                  <w:r>
                    <w:rPr>
                      <w:rFonts w:hint="eastAsia"/>
                    </w:rPr>
                    <w:t>精切机</w:t>
                  </w:r>
                </w:p>
              </w:tc>
              <w:tc>
                <w:tcPr>
                  <w:tcW w:w="1090" w:type="dxa"/>
                  <w:vAlign w:val="center"/>
                </w:tcPr>
                <w:p>
                  <w:pPr>
                    <w:spacing w:line="240" w:lineRule="auto"/>
                    <w:ind w:firstLine="0" w:firstLineChars="0"/>
                    <w:jc w:val="center"/>
                    <w:rPr>
                      <w:rFonts w:cs="Times New Roman"/>
                      <w:snapToGrid w:val="0"/>
                      <w:kern w:val="0"/>
                      <w:sz w:val="21"/>
                      <w:szCs w:val="21"/>
                    </w:rPr>
                  </w:pPr>
                  <w:r>
                    <w:rPr>
                      <w:rFonts w:cs="Times New Roman"/>
                      <w:snapToGrid w:val="0"/>
                      <w:kern w:val="0"/>
                      <w:sz w:val="21"/>
                      <w:szCs w:val="21"/>
                    </w:rPr>
                    <w:t>80～85dB(A)</w:t>
                  </w:r>
                </w:p>
              </w:tc>
              <w:tc>
                <w:tcPr>
                  <w:tcW w:w="2748" w:type="dxa"/>
                  <w:vMerge w:val="continue"/>
                  <w:vAlign w:val="center"/>
                </w:tcPr>
                <w:p>
                  <w:pPr>
                    <w:spacing w:line="240" w:lineRule="auto"/>
                    <w:ind w:firstLine="420"/>
                    <w:jc w:val="center"/>
                    <w:rPr>
                      <w:rFonts w:cs="Times New Roman"/>
                      <w:snapToGrid w:val="0"/>
                      <w:kern w:val="0"/>
                      <w:sz w:val="21"/>
                      <w:szCs w:val="21"/>
                    </w:rPr>
                  </w:pPr>
                </w:p>
              </w:tc>
              <w:tc>
                <w:tcPr>
                  <w:tcW w:w="1042" w:type="dxa"/>
                  <w:vMerge w:val="continue"/>
                  <w:vAlign w:val="center"/>
                </w:tcPr>
                <w:p>
                  <w:pPr>
                    <w:spacing w:line="240" w:lineRule="auto"/>
                    <w:ind w:firstLine="420"/>
                    <w:jc w:val="center"/>
                    <w:rPr>
                      <w:rFonts w:cs="Times New Roman"/>
                      <w:snapToGrid w:val="0"/>
                      <w:kern w:val="0"/>
                      <w:sz w:val="21"/>
                      <w:szCs w:val="21"/>
                    </w:rPr>
                  </w:pPr>
                </w:p>
              </w:tc>
              <w:tc>
                <w:tcPr>
                  <w:tcW w:w="1945" w:type="dxa"/>
                  <w:vMerge w:val="continue"/>
                  <w:vAlign w:val="center"/>
                </w:tcPr>
                <w:p>
                  <w:pPr>
                    <w:spacing w:line="240" w:lineRule="auto"/>
                    <w:ind w:firstLine="420"/>
                    <w:jc w:val="center"/>
                    <w:rPr>
                      <w:rFonts w:cs="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21" w:type="dxa"/>
                  <w:vAlign w:val="center"/>
                </w:tcPr>
                <w:p>
                  <w:pPr>
                    <w:pStyle w:val="38"/>
                    <w:textAlignment w:val="auto"/>
                    <w:rPr>
                      <w:snapToGrid w:val="0"/>
                      <w:kern w:val="0"/>
                    </w:rPr>
                  </w:pPr>
                  <w:r>
                    <w:rPr>
                      <w:rFonts w:hint="eastAsia"/>
                      <w:lang w:val="en-US" w:eastAsia="zh-CN"/>
                    </w:rPr>
                    <w:t>全自动</w:t>
                  </w:r>
                  <w:r>
                    <w:rPr>
                      <w:rFonts w:hint="eastAsia"/>
                    </w:rPr>
                    <w:t>磨头机</w:t>
                  </w:r>
                </w:p>
              </w:tc>
              <w:tc>
                <w:tcPr>
                  <w:tcW w:w="1090" w:type="dxa"/>
                  <w:vAlign w:val="center"/>
                </w:tcPr>
                <w:p>
                  <w:pPr>
                    <w:spacing w:line="240" w:lineRule="auto"/>
                    <w:ind w:firstLine="0" w:firstLineChars="0"/>
                    <w:jc w:val="center"/>
                    <w:rPr>
                      <w:rFonts w:cs="Times New Roman"/>
                      <w:snapToGrid w:val="0"/>
                      <w:kern w:val="0"/>
                      <w:sz w:val="21"/>
                      <w:szCs w:val="21"/>
                    </w:rPr>
                  </w:pPr>
                  <w:r>
                    <w:rPr>
                      <w:rFonts w:cs="Times New Roman"/>
                      <w:snapToGrid w:val="0"/>
                      <w:kern w:val="0"/>
                      <w:sz w:val="21"/>
                      <w:szCs w:val="21"/>
                    </w:rPr>
                    <w:t>75～8</w:t>
                  </w:r>
                  <w:r>
                    <w:rPr>
                      <w:rFonts w:hint="eastAsia" w:cs="Times New Roman"/>
                      <w:snapToGrid w:val="0"/>
                      <w:kern w:val="0"/>
                      <w:sz w:val="21"/>
                      <w:szCs w:val="21"/>
                    </w:rPr>
                    <w:t>5</w:t>
                  </w:r>
                  <w:r>
                    <w:rPr>
                      <w:rFonts w:cs="Times New Roman"/>
                      <w:snapToGrid w:val="0"/>
                      <w:kern w:val="0"/>
                      <w:sz w:val="21"/>
                      <w:szCs w:val="21"/>
                    </w:rPr>
                    <w:t>dB(A)</w:t>
                  </w:r>
                </w:p>
              </w:tc>
              <w:tc>
                <w:tcPr>
                  <w:tcW w:w="2748" w:type="dxa"/>
                  <w:vMerge w:val="continue"/>
                  <w:vAlign w:val="center"/>
                </w:tcPr>
                <w:p>
                  <w:pPr>
                    <w:spacing w:line="240" w:lineRule="auto"/>
                    <w:ind w:firstLine="420"/>
                    <w:jc w:val="center"/>
                    <w:rPr>
                      <w:rFonts w:cs="Times New Roman"/>
                      <w:snapToGrid w:val="0"/>
                      <w:kern w:val="0"/>
                      <w:sz w:val="21"/>
                      <w:szCs w:val="21"/>
                    </w:rPr>
                  </w:pPr>
                </w:p>
              </w:tc>
              <w:tc>
                <w:tcPr>
                  <w:tcW w:w="1042" w:type="dxa"/>
                  <w:vMerge w:val="continue"/>
                  <w:vAlign w:val="center"/>
                </w:tcPr>
                <w:p>
                  <w:pPr>
                    <w:spacing w:line="240" w:lineRule="auto"/>
                    <w:ind w:firstLine="420"/>
                    <w:jc w:val="center"/>
                    <w:rPr>
                      <w:rFonts w:cs="Times New Roman"/>
                      <w:snapToGrid w:val="0"/>
                      <w:kern w:val="0"/>
                      <w:sz w:val="21"/>
                      <w:szCs w:val="21"/>
                    </w:rPr>
                  </w:pPr>
                </w:p>
              </w:tc>
              <w:tc>
                <w:tcPr>
                  <w:tcW w:w="1945" w:type="dxa"/>
                  <w:vMerge w:val="continue"/>
                  <w:vAlign w:val="center"/>
                </w:tcPr>
                <w:p>
                  <w:pPr>
                    <w:spacing w:line="240" w:lineRule="auto"/>
                    <w:ind w:firstLine="420"/>
                    <w:jc w:val="center"/>
                    <w:rPr>
                      <w:rFonts w:cs="Times New Roman"/>
                      <w:snapToGrid w:val="0"/>
                      <w:kern w:val="0"/>
                      <w:sz w:val="21"/>
                      <w:szCs w:val="21"/>
                    </w:rPr>
                  </w:pPr>
                </w:p>
              </w:tc>
            </w:tr>
          </w:tbl>
          <w:p>
            <w:pPr>
              <w:pStyle w:val="4"/>
            </w:pPr>
            <w:r>
              <w:rPr>
                <w:rFonts w:hint="eastAsia"/>
              </w:rPr>
              <w:t>2、主要噪声源源强的确定</w:t>
            </w:r>
          </w:p>
          <w:p>
            <w:pPr>
              <w:ind w:firstLine="480"/>
              <w:rPr>
                <w:rFonts w:cs="Times New Roman"/>
              </w:rPr>
            </w:pPr>
            <w:r>
              <w:rPr>
                <w:rFonts w:cs="Times New Roman"/>
              </w:rPr>
              <w:t>为判定营运期厂界噪声达标情况，按照《环境影响评价技术导则 声环境》(HJ2.4-2021)的规定，本评价采用点声源衰减模式，根据预测点与声源之间的距离，按声能量在空气中传播衰减模式计算出某个声源在环境中任何一点的声压等效声级LeqdB(A)。</w:t>
            </w:r>
          </w:p>
          <w:p>
            <w:pPr>
              <w:widowControl/>
              <w:ind w:firstLine="480"/>
              <w:jc w:val="left"/>
              <w:rPr>
                <w:rFonts w:cs="Times New Roman"/>
                <w:bCs/>
              </w:rPr>
            </w:pPr>
            <w:r>
              <w:rPr>
                <w:rFonts w:cs="Times New Roman"/>
                <w:bCs/>
              </w:rPr>
              <w:t>对室外噪声源主要考虑噪声的几何发散衰减及环境因素衰减：</w:t>
            </w:r>
          </w:p>
          <w:p>
            <w:pPr>
              <w:widowControl/>
              <w:ind w:left="630" w:firstLine="1680" w:firstLineChars="700"/>
              <w:jc w:val="left"/>
              <w:rPr>
                <w:rFonts w:cs="Times New Roman"/>
                <w:bCs/>
              </w:rPr>
            </w:pPr>
            <w:r>
              <w:rPr>
                <w:rFonts w:cs="Times New Roman"/>
                <w:bCs/>
              </w:rPr>
              <w:t>LA(r)=LA(r0)-20lg(r/r0)</w:t>
            </w:r>
          </w:p>
          <w:p>
            <w:pPr>
              <w:widowControl/>
              <w:ind w:firstLine="480"/>
              <w:jc w:val="left"/>
              <w:rPr>
                <w:rFonts w:cs="Times New Roman"/>
                <w:bCs/>
              </w:rPr>
            </w:pPr>
            <w:r>
              <w:rPr>
                <w:rFonts w:cs="Times New Roman"/>
                <w:bCs/>
              </w:rPr>
              <w:t>式中：r，r0——分别为距声源的距离，m；</w:t>
            </w:r>
          </w:p>
          <w:p>
            <w:pPr>
              <w:widowControl/>
              <w:ind w:firstLine="480"/>
              <w:jc w:val="left"/>
              <w:rPr>
                <w:rFonts w:cs="Times New Roman"/>
                <w:bCs/>
              </w:rPr>
            </w:pPr>
            <w:r>
              <w:rPr>
                <w:rFonts w:cs="Times New Roman"/>
                <w:bCs/>
              </w:rPr>
              <w:t>L(r)，LA(r0)——分别为r与r0处的等效声级，dB(A)。</w:t>
            </w:r>
          </w:p>
          <w:p>
            <w:pPr>
              <w:widowControl/>
              <w:ind w:firstLine="480"/>
              <w:jc w:val="left"/>
              <w:rPr>
                <w:rFonts w:cs="Times New Roman"/>
                <w:bCs/>
              </w:rPr>
            </w:pPr>
            <w:r>
              <w:rPr>
                <w:rFonts w:cs="Times New Roman"/>
                <w:bCs/>
              </w:rPr>
              <w:t>对室内噪声源采用室内声源噪声模式并换算成等效的室外声源：</w:t>
            </w:r>
          </w:p>
          <w:p>
            <w:pPr>
              <w:widowControl/>
              <w:ind w:left="420" w:firstLine="480"/>
              <w:jc w:val="center"/>
              <w:rPr>
                <w:rFonts w:cs="Times New Roman"/>
                <w:bCs/>
                <w:szCs w:val="21"/>
              </w:rPr>
            </w:pPr>
            <w:r>
              <w:rPr>
                <w:rFonts w:cs="Times New Roman"/>
                <w:szCs w:val="21"/>
              </w:rPr>
              <w:drawing>
                <wp:inline distT="0" distB="0" distL="0" distR="0">
                  <wp:extent cx="1590675" cy="3905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90675" cy="390525"/>
                          </a:xfrm>
                          <a:prstGeom prst="rect">
                            <a:avLst/>
                          </a:prstGeom>
                          <a:noFill/>
                          <a:ln>
                            <a:noFill/>
                          </a:ln>
                        </pic:spPr>
                      </pic:pic>
                    </a:graphicData>
                  </a:graphic>
                </wp:inline>
              </w:drawing>
            </w:r>
          </w:p>
          <w:p>
            <w:pPr>
              <w:widowControl/>
              <w:ind w:firstLine="240" w:firstLineChars="100"/>
              <w:jc w:val="center"/>
              <w:rPr>
                <w:rFonts w:cs="Times New Roman"/>
                <w:bCs/>
                <w:szCs w:val="21"/>
              </w:rPr>
            </w:pPr>
            <w:r>
              <w:rPr>
                <w:rFonts w:cs="Times New Roman"/>
                <w:szCs w:val="21"/>
              </w:rPr>
              <w:drawing>
                <wp:inline distT="0" distB="0" distL="0" distR="0">
                  <wp:extent cx="1638300"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38300" cy="228600"/>
                          </a:xfrm>
                          <a:prstGeom prst="rect">
                            <a:avLst/>
                          </a:prstGeom>
                          <a:noFill/>
                          <a:ln>
                            <a:noFill/>
                          </a:ln>
                        </pic:spPr>
                      </pic:pic>
                    </a:graphicData>
                  </a:graphic>
                </wp:inline>
              </w:drawing>
            </w:r>
          </w:p>
          <w:p>
            <w:pPr>
              <w:widowControl/>
              <w:ind w:firstLine="480"/>
              <w:jc w:val="left"/>
              <w:rPr>
                <w:rFonts w:cs="Times New Roman"/>
                <w:bCs/>
              </w:rPr>
            </w:pPr>
            <w:r>
              <w:rPr>
                <w:rFonts w:cs="Times New Roman"/>
                <w:bCs/>
              </w:rPr>
              <w:t>式中：Ln——室内靠近围护结构处产生的声压级，dB；</w:t>
            </w:r>
          </w:p>
          <w:p>
            <w:pPr>
              <w:widowControl/>
              <w:ind w:firstLine="1200" w:firstLineChars="500"/>
              <w:jc w:val="left"/>
              <w:rPr>
                <w:rFonts w:cs="Times New Roman"/>
                <w:bCs/>
              </w:rPr>
            </w:pPr>
            <w:r>
              <w:rPr>
                <w:rFonts w:cs="Times New Roman"/>
                <w:bCs/>
              </w:rPr>
              <w:t>LW——室外靠近围护结构处产生的声压级，dB；</w:t>
            </w:r>
          </w:p>
          <w:p>
            <w:pPr>
              <w:adjustRightInd w:val="0"/>
              <w:snapToGrid w:val="0"/>
              <w:ind w:firstLine="1200" w:firstLineChars="500"/>
              <w:jc w:val="left"/>
              <w:rPr>
                <w:rFonts w:cs="Times New Roman"/>
                <w:bCs/>
              </w:rPr>
            </w:pPr>
            <w:r>
              <w:rPr>
                <w:rFonts w:cs="Times New Roman"/>
                <w:bCs/>
              </w:rPr>
              <w:t>Le——声源的声压级，dB</w:t>
            </w:r>
          </w:p>
          <w:p>
            <w:pPr>
              <w:ind w:firstLine="1200" w:firstLineChars="500"/>
              <w:rPr>
                <w:rFonts w:cs="Times New Roman"/>
                <w:snapToGrid w:val="0"/>
                <w:kern w:val="0"/>
              </w:rPr>
            </w:pPr>
            <w:r>
              <w:rPr>
                <w:rFonts w:cs="Times New Roman"/>
                <w:snapToGrid w:val="0"/>
                <w:kern w:val="0"/>
              </w:rPr>
              <w:t>r——声源与室内靠近围护结构处的距离，m；</w:t>
            </w:r>
          </w:p>
          <w:p>
            <w:pPr>
              <w:ind w:firstLine="1200" w:firstLineChars="500"/>
              <w:rPr>
                <w:rFonts w:cs="Times New Roman"/>
                <w:snapToGrid w:val="0"/>
                <w:kern w:val="0"/>
              </w:rPr>
            </w:pPr>
            <w:r>
              <w:rPr>
                <w:rFonts w:cs="Times New Roman"/>
                <w:snapToGrid w:val="0"/>
                <w:kern w:val="0"/>
              </w:rPr>
              <w:t>R——房间常数，m</w:t>
            </w:r>
            <w:r>
              <w:rPr>
                <w:rFonts w:cs="Times New Roman"/>
                <w:snapToGrid w:val="0"/>
                <w:kern w:val="0"/>
                <w:vertAlign w:val="superscript"/>
              </w:rPr>
              <w:t>2</w:t>
            </w:r>
            <w:r>
              <w:rPr>
                <w:rFonts w:cs="Times New Roman"/>
                <w:snapToGrid w:val="0"/>
                <w:kern w:val="0"/>
              </w:rPr>
              <w:t>；</w:t>
            </w:r>
          </w:p>
          <w:p>
            <w:pPr>
              <w:ind w:firstLine="1200" w:firstLineChars="500"/>
              <w:rPr>
                <w:rFonts w:cs="Times New Roman"/>
                <w:snapToGrid w:val="0"/>
                <w:kern w:val="0"/>
              </w:rPr>
            </w:pPr>
            <w:r>
              <w:rPr>
                <w:rFonts w:cs="Times New Roman"/>
                <w:snapToGrid w:val="0"/>
                <w:kern w:val="0"/>
              </w:rPr>
              <w:t>Q——方向性因子；</w:t>
            </w:r>
          </w:p>
          <w:p>
            <w:pPr>
              <w:ind w:firstLine="1200" w:firstLineChars="500"/>
              <w:rPr>
                <w:rFonts w:cs="Times New Roman"/>
                <w:snapToGrid w:val="0"/>
                <w:kern w:val="0"/>
              </w:rPr>
            </w:pPr>
            <w:r>
              <w:rPr>
                <w:rFonts w:cs="Times New Roman"/>
                <w:snapToGrid w:val="0"/>
                <w:kern w:val="0"/>
              </w:rPr>
              <w:t>TL——围护结构的传输损失，dB；</w:t>
            </w:r>
          </w:p>
          <w:p>
            <w:pPr>
              <w:ind w:firstLine="1200" w:firstLineChars="500"/>
              <w:rPr>
                <w:rFonts w:cs="Times New Roman"/>
                <w:snapToGrid w:val="0"/>
                <w:kern w:val="0"/>
              </w:rPr>
            </w:pPr>
            <w:r>
              <w:rPr>
                <w:rFonts w:cs="Times New Roman"/>
                <w:snapToGrid w:val="0"/>
                <w:kern w:val="0"/>
              </w:rPr>
              <w:t>S——透声面积，m</w:t>
            </w:r>
            <w:r>
              <w:rPr>
                <w:rFonts w:cs="Times New Roman"/>
                <w:snapToGrid w:val="0"/>
                <w:kern w:val="0"/>
                <w:vertAlign w:val="superscript"/>
              </w:rPr>
              <w:t>2</w:t>
            </w:r>
          </w:p>
          <w:p>
            <w:pPr>
              <w:ind w:firstLine="480"/>
              <w:rPr>
                <w:rFonts w:cs="Times New Roman"/>
                <w:snapToGrid w:val="0"/>
                <w:kern w:val="0"/>
              </w:rPr>
            </w:pPr>
            <w:r>
              <w:rPr>
                <w:rFonts w:cs="Times New Roman"/>
                <w:snapToGrid w:val="0"/>
                <w:kern w:val="0"/>
              </w:rPr>
              <w:t>对两个以上多个声源同时存在时，其预测点总声压级采用下面公式：</w:t>
            </w:r>
          </w:p>
          <w:p>
            <w:pPr>
              <w:ind w:firstLine="480"/>
              <w:jc w:val="center"/>
              <w:rPr>
                <w:rFonts w:cs="Times New Roman"/>
                <w:snapToGrid w:val="0"/>
                <w:kern w:val="0"/>
              </w:rPr>
            </w:pPr>
            <w:r>
              <w:rPr>
                <w:rFonts w:cs="Times New Roman"/>
                <w:snapToGrid w:val="0"/>
                <w:kern w:val="0"/>
              </w:rPr>
              <w:t>Leq=10lg(100.1Li)</w:t>
            </w:r>
          </w:p>
          <w:p>
            <w:pPr>
              <w:ind w:firstLine="480"/>
              <w:rPr>
                <w:rFonts w:cs="Times New Roman"/>
                <w:snapToGrid w:val="0"/>
                <w:kern w:val="0"/>
              </w:rPr>
            </w:pPr>
            <w:r>
              <w:rPr>
                <w:rFonts w:cs="Times New Roman"/>
                <w:snapToGrid w:val="0"/>
                <w:kern w:val="0"/>
              </w:rPr>
              <w:t>式中：Leq-----预测点的总等效声级，dB(A)；</w:t>
            </w:r>
          </w:p>
          <w:p>
            <w:pPr>
              <w:ind w:firstLine="1200" w:firstLineChars="500"/>
              <w:rPr>
                <w:rFonts w:cs="Times New Roman"/>
                <w:snapToGrid w:val="0"/>
                <w:kern w:val="0"/>
              </w:rPr>
            </w:pPr>
            <w:r>
              <w:rPr>
                <w:rFonts w:cs="Times New Roman"/>
                <w:snapToGrid w:val="0"/>
                <w:kern w:val="0"/>
              </w:rPr>
              <w:t>Li-----第i个声源对预测点的声级影响，dB(A)。</w:t>
            </w:r>
          </w:p>
          <w:p>
            <w:pPr>
              <w:bidi w:val="0"/>
            </w:pPr>
            <w:r>
              <w:t>预测结果与评价项目区周围无环境敏感保护目标，因此，本评价以现状监测中的厂界测点作为关心点，项目建成投产后，厂界各测点的变化情况。预测中，选择现状监测的同一点位作为影响预测的受声点，以工程噪声在边界处的贡献值作为评价量。</w:t>
            </w:r>
          </w:p>
          <w:p>
            <w:pPr>
              <w:bidi w:val="0"/>
            </w:pPr>
            <w:r>
              <w:t>根据预测模式，分析本项目噪声对项目附近声环境质量的影响程度和范围。本次对项目边界噪声作预测，边界的噪声预测结果见表</w:t>
            </w:r>
            <w:r>
              <w:rPr>
                <w:rFonts w:hint="eastAsia"/>
              </w:rPr>
              <w:t>。</w:t>
            </w:r>
          </w:p>
          <w:p>
            <w:pPr>
              <w:spacing w:line="240" w:lineRule="auto"/>
              <w:ind w:firstLine="0" w:firstLineChars="0"/>
              <w:jc w:val="center"/>
              <w:textAlignment w:val="auto"/>
              <w:rPr>
                <w:rFonts w:hint="eastAsia" w:ascii="宋体" w:hAnsi="宋体" w:cs="宋体"/>
                <w:b/>
                <w:sz w:val="21"/>
                <w:szCs w:val="21"/>
              </w:rPr>
            </w:pPr>
            <w:r>
              <w:rPr>
                <w:rFonts w:hint="eastAsia" w:cs="Times New Roman"/>
                <w:b/>
                <w:bCs/>
                <w:snapToGrid w:val="0"/>
                <w:kern w:val="0"/>
                <w:sz w:val="21"/>
                <w:szCs w:val="21"/>
              </w:rPr>
              <w:t>表4-</w:t>
            </w:r>
            <w:r>
              <w:rPr>
                <w:rFonts w:hint="eastAsia" w:cs="Times New Roman"/>
                <w:b/>
                <w:bCs/>
                <w:snapToGrid w:val="0"/>
                <w:kern w:val="0"/>
                <w:sz w:val="21"/>
                <w:szCs w:val="21"/>
                <w:lang w:val="en-US" w:eastAsia="zh-CN"/>
              </w:rPr>
              <w:t>4</w:t>
            </w:r>
            <w:r>
              <w:rPr>
                <w:rFonts w:cs="Times New Roman"/>
                <w:b/>
                <w:bCs/>
                <w:sz w:val="21"/>
                <w:szCs w:val="21"/>
              </w:rPr>
              <w:t xml:space="preserve"> </w:t>
            </w:r>
            <w:r>
              <w:rPr>
                <w:rFonts w:hint="eastAsia" w:cs="Times New Roman"/>
                <w:b/>
                <w:bCs/>
                <w:sz w:val="21"/>
                <w:szCs w:val="21"/>
              </w:rPr>
              <w:t xml:space="preserve"> 噪声预测结果      </w:t>
            </w:r>
            <w:r>
              <w:rPr>
                <w:rFonts w:cs="Times New Roman"/>
                <w:b/>
                <w:bCs/>
                <w:sz w:val="21"/>
                <w:szCs w:val="21"/>
              </w:rPr>
              <w:t xml:space="preserve">  </w:t>
            </w:r>
            <w:r>
              <w:rPr>
                <w:rFonts w:hint="eastAsia" w:cs="Times New Roman"/>
                <w:b/>
                <w:bCs/>
                <w:sz w:val="21"/>
                <w:szCs w:val="21"/>
              </w:rPr>
              <w:t xml:space="preserve">        </w:t>
            </w:r>
            <w:r>
              <w:rPr>
                <w:rFonts w:cs="Times New Roman"/>
                <w:b/>
                <w:bCs/>
                <w:sz w:val="21"/>
                <w:szCs w:val="21"/>
              </w:rPr>
              <w:t xml:space="preserve">  </w:t>
            </w:r>
            <w:r>
              <w:rPr>
                <w:rFonts w:hint="eastAsia" w:cs="Times New Roman"/>
                <w:b/>
                <w:bCs/>
                <w:sz w:val="21"/>
                <w:szCs w:val="21"/>
              </w:rPr>
              <w:t>单位LeqdB（A）</w:t>
            </w:r>
          </w:p>
          <w:tbl>
            <w:tblPr>
              <w:tblStyle w:val="29"/>
              <w:tblW w:w="83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2182"/>
              <w:gridCol w:w="1446"/>
              <w:gridCol w:w="1586"/>
              <w:gridCol w:w="2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39" w:type="dxa"/>
                  <w:vMerge w:val="restart"/>
                  <w:vAlign w:val="center"/>
                </w:tcPr>
                <w:p>
                  <w:pPr>
                    <w:spacing w:line="240" w:lineRule="auto"/>
                    <w:ind w:firstLine="0" w:firstLineChars="0"/>
                    <w:jc w:val="center"/>
                    <w:textAlignment w:val="auto"/>
                    <w:rPr>
                      <w:rFonts w:cs="Times New Roman"/>
                      <w:sz w:val="21"/>
                      <w:szCs w:val="21"/>
                    </w:rPr>
                  </w:pPr>
                  <w:r>
                    <w:rPr>
                      <w:rFonts w:cs="Times New Roman"/>
                      <w:sz w:val="21"/>
                      <w:szCs w:val="21"/>
                    </w:rPr>
                    <w:t>序号</w:t>
                  </w:r>
                </w:p>
              </w:tc>
              <w:tc>
                <w:tcPr>
                  <w:tcW w:w="2182" w:type="dxa"/>
                  <w:vMerge w:val="restart"/>
                  <w:vAlign w:val="center"/>
                </w:tcPr>
                <w:p>
                  <w:pPr>
                    <w:spacing w:line="240" w:lineRule="auto"/>
                    <w:ind w:firstLine="0" w:firstLineChars="0"/>
                    <w:jc w:val="center"/>
                    <w:textAlignment w:val="auto"/>
                    <w:rPr>
                      <w:rFonts w:cs="Times New Roman"/>
                      <w:sz w:val="21"/>
                      <w:szCs w:val="21"/>
                    </w:rPr>
                  </w:pPr>
                  <w:r>
                    <w:rPr>
                      <w:rFonts w:cs="Times New Roman"/>
                      <w:sz w:val="21"/>
                      <w:szCs w:val="21"/>
                    </w:rPr>
                    <w:t>预测点</w:t>
                  </w:r>
                </w:p>
              </w:tc>
              <w:tc>
                <w:tcPr>
                  <w:tcW w:w="3032" w:type="dxa"/>
                  <w:gridSpan w:val="2"/>
                  <w:vAlign w:val="center"/>
                </w:tcPr>
                <w:p>
                  <w:pPr>
                    <w:spacing w:line="240" w:lineRule="auto"/>
                    <w:ind w:firstLine="0" w:firstLineChars="0"/>
                    <w:jc w:val="center"/>
                    <w:textAlignment w:val="auto"/>
                    <w:rPr>
                      <w:rFonts w:cs="Times New Roman"/>
                      <w:sz w:val="21"/>
                      <w:szCs w:val="21"/>
                    </w:rPr>
                  </w:pPr>
                  <w:r>
                    <w:rPr>
                      <w:rFonts w:cs="Times New Roman"/>
                      <w:sz w:val="21"/>
                      <w:szCs w:val="21"/>
                    </w:rPr>
                    <w:t>贡献值dB(A)</w:t>
                  </w:r>
                </w:p>
              </w:tc>
              <w:tc>
                <w:tcPr>
                  <w:tcW w:w="2090" w:type="dxa"/>
                  <w:vMerge w:val="restart"/>
                  <w:vAlign w:val="center"/>
                </w:tcPr>
                <w:p>
                  <w:pPr>
                    <w:spacing w:line="240" w:lineRule="auto"/>
                    <w:ind w:firstLine="0" w:firstLineChars="0"/>
                    <w:jc w:val="center"/>
                    <w:textAlignment w:val="auto"/>
                    <w:rPr>
                      <w:rFonts w:cs="Times New Roman"/>
                      <w:sz w:val="21"/>
                      <w:szCs w:val="21"/>
                    </w:rPr>
                  </w:pPr>
                  <w:r>
                    <w:rPr>
                      <w:rFonts w:cs="Times New Roman"/>
                      <w:sz w:val="21"/>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dxa"/>
                  <w:vMerge w:val="continue"/>
                  <w:vAlign w:val="center"/>
                </w:tcPr>
                <w:p>
                  <w:pPr>
                    <w:spacing w:line="240" w:lineRule="auto"/>
                    <w:ind w:firstLine="0" w:firstLineChars="0"/>
                    <w:jc w:val="center"/>
                    <w:textAlignment w:val="auto"/>
                    <w:rPr>
                      <w:rFonts w:cs="Times New Roman"/>
                      <w:b/>
                      <w:bCs/>
                      <w:sz w:val="21"/>
                      <w:szCs w:val="21"/>
                    </w:rPr>
                  </w:pPr>
                </w:p>
              </w:tc>
              <w:tc>
                <w:tcPr>
                  <w:tcW w:w="2182" w:type="dxa"/>
                  <w:vMerge w:val="continue"/>
                  <w:vAlign w:val="center"/>
                </w:tcPr>
                <w:p>
                  <w:pPr>
                    <w:spacing w:line="240" w:lineRule="auto"/>
                    <w:ind w:firstLine="0" w:firstLineChars="0"/>
                    <w:jc w:val="center"/>
                    <w:textAlignment w:val="auto"/>
                    <w:rPr>
                      <w:rFonts w:cs="Times New Roman"/>
                      <w:b/>
                      <w:bCs/>
                      <w:sz w:val="21"/>
                      <w:szCs w:val="21"/>
                    </w:rPr>
                  </w:pPr>
                </w:p>
              </w:tc>
              <w:tc>
                <w:tcPr>
                  <w:tcW w:w="1446" w:type="dxa"/>
                  <w:vAlign w:val="center"/>
                </w:tcPr>
                <w:p>
                  <w:pPr>
                    <w:spacing w:line="240" w:lineRule="auto"/>
                    <w:ind w:firstLine="0" w:firstLineChars="0"/>
                    <w:jc w:val="center"/>
                    <w:textAlignment w:val="auto"/>
                    <w:rPr>
                      <w:rFonts w:cs="Times New Roman"/>
                      <w:sz w:val="21"/>
                      <w:szCs w:val="21"/>
                      <w:lang w:val="zh-CN" w:bidi="zh-CN"/>
                    </w:rPr>
                  </w:pPr>
                  <w:r>
                    <w:rPr>
                      <w:rFonts w:cs="Times New Roman"/>
                      <w:sz w:val="21"/>
                      <w:szCs w:val="21"/>
                    </w:rPr>
                    <w:t>昼间</w:t>
                  </w:r>
                </w:p>
              </w:tc>
              <w:tc>
                <w:tcPr>
                  <w:tcW w:w="1586" w:type="dxa"/>
                  <w:vAlign w:val="center"/>
                </w:tcPr>
                <w:p>
                  <w:pPr>
                    <w:spacing w:line="240" w:lineRule="auto"/>
                    <w:ind w:firstLine="0" w:firstLineChars="0"/>
                    <w:jc w:val="center"/>
                    <w:textAlignment w:val="auto"/>
                    <w:rPr>
                      <w:rFonts w:cs="Times New Roman"/>
                      <w:sz w:val="21"/>
                      <w:szCs w:val="21"/>
                      <w:lang w:val="zh-CN" w:bidi="zh-CN"/>
                    </w:rPr>
                  </w:pPr>
                  <w:r>
                    <w:rPr>
                      <w:rFonts w:cs="Times New Roman"/>
                      <w:sz w:val="21"/>
                      <w:szCs w:val="21"/>
                    </w:rPr>
                    <w:t>夜间</w:t>
                  </w:r>
                </w:p>
              </w:tc>
              <w:tc>
                <w:tcPr>
                  <w:tcW w:w="2090" w:type="dxa"/>
                  <w:vMerge w:val="continue"/>
                  <w:vAlign w:val="center"/>
                </w:tcPr>
                <w:p>
                  <w:pPr>
                    <w:spacing w:line="240" w:lineRule="auto"/>
                    <w:ind w:firstLine="0" w:firstLineChars="0"/>
                    <w:jc w:val="center"/>
                    <w:textAlignment w:val="auto"/>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39"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1</w:t>
                  </w:r>
                </w:p>
              </w:tc>
              <w:tc>
                <w:tcPr>
                  <w:tcW w:w="2182"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1</w:t>
                  </w:r>
                  <w:r>
                    <w:rPr>
                      <w:rFonts w:cs="Times New Roman"/>
                      <w:sz w:val="21"/>
                      <w:szCs w:val="21"/>
                      <w:vertAlign w:val="superscript"/>
                    </w:rPr>
                    <w:t>#</w:t>
                  </w:r>
                  <w:r>
                    <w:rPr>
                      <w:rFonts w:cs="Times New Roman"/>
                      <w:sz w:val="21"/>
                      <w:szCs w:val="21"/>
                    </w:rPr>
                    <w:t>项目区东侧</w:t>
                  </w:r>
                </w:p>
              </w:tc>
              <w:tc>
                <w:tcPr>
                  <w:tcW w:w="1446" w:type="dxa"/>
                  <w:vAlign w:val="center"/>
                </w:tcPr>
                <w:p>
                  <w:pPr>
                    <w:widowControl/>
                    <w:spacing w:line="240" w:lineRule="auto"/>
                    <w:ind w:firstLine="0" w:firstLineChars="0"/>
                    <w:jc w:val="center"/>
                    <w:rPr>
                      <w:rFonts w:cs="Times New Roman"/>
                      <w:sz w:val="21"/>
                      <w:szCs w:val="21"/>
                      <w:lang w:bidi="zh-CN"/>
                    </w:rPr>
                  </w:pPr>
                  <w:r>
                    <w:rPr>
                      <w:rFonts w:cs="Times New Roman"/>
                      <w:sz w:val="21"/>
                      <w:szCs w:val="21"/>
                      <w:lang w:bidi="zh-CN"/>
                    </w:rPr>
                    <w:t>50</w:t>
                  </w:r>
                </w:p>
              </w:tc>
              <w:tc>
                <w:tcPr>
                  <w:tcW w:w="1586" w:type="dxa"/>
                  <w:vAlign w:val="center"/>
                </w:tcPr>
                <w:p>
                  <w:pPr>
                    <w:widowControl/>
                    <w:spacing w:line="240" w:lineRule="auto"/>
                    <w:ind w:firstLine="0" w:firstLineChars="0"/>
                    <w:jc w:val="center"/>
                    <w:rPr>
                      <w:rFonts w:cs="Times New Roman"/>
                      <w:sz w:val="21"/>
                      <w:szCs w:val="21"/>
                      <w:lang w:bidi="zh-CN"/>
                    </w:rPr>
                  </w:pPr>
                  <w:r>
                    <w:rPr>
                      <w:rFonts w:cs="Times New Roman"/>
                      <w:sz w:val="21"/>
                      <w:szCs w:val="21"/>
                      <w:lang w:bidi="zh-CN"/>
                    </w:rPr>
                    <w:t>42</w:t>
                  </w:r>
                </w:p>
              </w:tc>
              <w:tc>
                <w:tcPr>
                  <w:tcW w:w="2090" w:type="dxa"/>
                  <w:vMerge w:val="restart"/>
                  <w:vAlign w:val="center"/>
                </w:tcPr>
                <w:p>
                  <w:pPr>
                    <w:spacing w:line="240" w:lineRule="auto"/>
                    <w:ind w:firstLine="0" w:firstLineChars="0"/>
                    <w:jc w:val="center"/>
                    <w:textAlignment w:val="auto"/>
                    <w:rPr>
                      <w:rFonts w:cs="Times New Roman"/>
                      <w:sz w:val="21"/>
                      <w:szCs w:val="21"/>
                    </w:rPr>
                  </w:pPr>
                  <w:r>
                    <w:rPr>
                      <w:rFonts w:cs="Times New Roman"/>
                      <w:sz w:val="21"/>
                      <w:szCs w:val="21"/>
                    </w:rPr>
                    <w:t>昼间6</w:t>
                  </w:r>
                  <w:r>
                    <w:rPr>
                      <w:rFonts w:hint="eastAsia" w:cs="Times New Roman"/>
                      <w:sz w:val="21"/>
                      <w:szCs w:val="21"/>
                    </w:rPr>
                    <w:t>5</w:t>
                  </w:r>
                  <w:r>
                    <w:rPr>
                      <w:rFonts w:cs="Times New Roman"/>
                      <w:sz w:val="21"/>
                      <w:szCs w:val="21"/>
                    </w:rPr>
                    <w:t>dB(A)</w:t>
                  </w:r>
                </w:p>
                <w:p>
                  <w:pPr>
                    <w:spacing w:line="240" w:lineRule="auto"/>
                    <w:ind w:firstLine="0" w:firstLineChars="0"/>
                    <w:jc w:val="center"/>
                    <w:textAlignment w:val="auto"/>
                    <w:rPr>
                      <w:rFonts w:cs="Times New Roman"/>
                      <w:sz w:val="21"/>
                      <w:szCs w:val="21"/>
                    </w:rPr>
                  </w:pPr>
                  <w:r>
                    <w:rPr>
                      <w:rFonts w:cs="Times New Roman"/>
                      <w:sz w:val="21"/>
                      <w:szCs w:val="21"/>
                    </w:rPr>
                    <w:t>夜间5</w:t>
                  </w:r>
                  <w:r>
                    <w:rPr>
                      <w:rFonts w:hint="eastAsia" w:cs="Times New Roman"/>
                      <w:sz w:val="21"/>
                      <w:szCs w:val="21"/>
                    </w:rPr>
                    <w:t>5</w:t>
                  </w:r>
                  <w:r>
                    <w:rPr>
                      <w:rFonts w:cs="Times New Roman"/>
                      <w:sz w:val="21"/>
                      <w:szCs w:val="21"/>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39"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2</w:t>
                  </w:r>
                </w:p>
              </w:tc>
              <w:tc>
                <w:tcPr>
                  <w:tcW w:w="2182"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2</w:t>
                  </w:r>
                  <w:r>
                    <w:rPr>
                      <w:rFonts w:cs="Times New Roman"/>
                      <w:sz w:val="21"/>
                      <w:szCs w:val="21"/>
                      <w:vertAlign w:val="superscript"/>
                    </w:rPr>
                    <w:t>#</w:t>
                  </w:r>
                  <w:r>
                    <w:rPr>
                      <w:rFonts w:cs="Times New Roman"/>
                      <w:sz w:val="21"/>
                      <w:szCs w:val="21"/>
                    </w:rPr>
                    <w:t>项目区南侧</w:t>
                  </w:r>
                </w:p>
              </w:tc>
              <w:tc>
                <w:tcPr>
                  <w:tcW w:w="1446" w:type="dxa"/>
                  <w:vAlign w:val="center"/>
                </w:tcPr>
                <w:p>
                  <w:pPr>
                    <w:widowControl/>
                    <w:spacing w:line="240" w:lineRule="auto"/>
                    <w:ind w:firstLine="0" w:firstLineChars="0"/>
                    <w:jc w:val="center"/>
                    <w:rPr>
                      <w:rFonts w:cs="Times New Roman"/>
                      <w:sz w:val="21"/>
                      <w:szCs w:val="21"/>
                      <w:lang w:bidi="zh-CN"/>
                    </w:rPr>
                  </w:pPr>
                  <w:r>
                    <w:rPr>
                      <w:rFonts w:cs="Times New Roman"/>
                      <w:sz w:val="21"/>
                      <w:szCs w:val="21"/>
                      <w:lang w:bidi="zh-CN"/>
                    </w:rPr>
                    <w:t>55</w:t>
                  </w:r>
                </w:p>
              </w:tc>
              <w:tc>
                <w:tcPr>
                  <w:tcW w:w="1586" w:type="dxa"/>
                  <w:vAlign w:val="center"/>
                </w:tcPr>
                <w:p>
                  <w:pPr>
                    <w:widowControl/>
                    <w:spacing w:line="240" w:lineRule="auto"/>
                    <w:ind w:firstLine="0" w:firstLineChars="0"/>
                    <w:jc w:val="center"/>
                    <w:rPr>
                      <w:rFonts w:cs="Times New Roman"/>
                      <w:sz w:val="21"/>
                      <w:szCs w:val="21"/>
                      <w:lang w:bidi="zh-CN"/>
                    </w:rPr>
                  </w:pPr>
                  <w:r>
                    <w:rPr>
                      <w:rFonts w:cs="Times New Roman"/>
                      <w:sz w:val="21"/>
                      <w:szCs w:val="21"/>
                      <w:lang w:bidi="zh-CN"/>
                    </w:rPr>
                    <w:t>4</w:t>
                  </w:r>
                  <w:r>
                    <w:rPr>
                      <w:rFonts w:hint="eastAsia" w:cs="Times New Roman"/>
                      <w:sz w:val="21"/>
                      <w:szCs w:val="21"/>
                      <w:lang w:bidi="zh-CN"/>
                    </w:rPr>
                    <w:t>5</w:t>
                  </w:r>
                </w:p>
              </w:tc>
              <w:tc>
                <w:tcPr>
                  <w:tcW w:w="2090" w:type="dxa"/>
                  <w:vMerge w:val="continue"/>
                  <w:vAlign w:val="center"/>
                </w:tcPr>
                <w:p>
                  <w:pPr>
                    <w:spacing w:line="240" w:lineRule="auto"/>
                    <w:ind w:firstLine="0" w:firstLineChars="0"/>
                    <w:jc w:val="center"/>
                    <w:textAlignment w:val="auto"/>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4" w:hRule="atLeast"/>
                <w:jc w:val="center"/>
              </w:trPr>
              <w:tc>
                <w:tcPr>
                  <w:tcW w:w="1039"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3</w:t>
                  </w:r>
                </w:p>
              </w:tc>
              <w:tc>
                <w:tcPr>
                  <w:tcW w:w="2182"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3</w:t>
                  </w:r>
                  <w:r>
                    <w:rPr>
                      <w:rFonts w:cs="Times New Roman"/>
                      <w:sz w:val="21"/>
                      <w:szCs w:val="21"/>
                      <w:vertAlign w:val="superscript"/>
                    </w:rPr>
                    <w:t>#</w:t>
                  </w:r>
                  <w:r>
                    <w:rPr>
                      <w:rFonts w:cs="Times New Roman"/>
                      <w:sz w:val="21"/>
                      <w:szCs w:val="21"/>
                    </w:rPr>
                    <w:t>项目区西侧</w:t>
                  </w:r>
                </w:p>
              </w:tc>
              <w:tc>
                <w:tcPr>
                  <w:tcW w:w="1446" w:type="dxa"/>
                  <w:vAlign w:val="center"/>
                </w:tcPr>
                <w:p>
                  <w:pPr>
                    <w:widowControl/>
                    <w:spacing w:line="240" w:lineRule="auto"/>
                    <w:ind w:firstLine="0" w:firstLineChars="0"/>
                    <w:jc w:val="center"/>
                    <w:rPr>
                      <w:rFonts w:cs="Times New Roman"/>
                      <w:sz w:val="21"/>
                      <w:szCs w:val="21"/>
                      <w:lang w:bidi="zh-CN"/>
                    </w:rPr>
                  </w:pPr>
                  <w:r>
                    <w:rPr>
                      <w:rFonts w:cs="Times New Roman"/>
                      <w:sz w:val="21"/>
                      <w:szCs w:val="21"/>
                      <w:lang w:bidi="zh-CN"/>
                    </w:rPr>
                    <w:t>5</w:t>
                  </w:r>
                  <w:r>
                    <w:rPr>
                      <w:rFonts w:hint="eastAsia" w:cs="Times New Roman"/>
                      <w:sz w:val="21"/>
                      <w:szCs w:val="21"/>
                      <w:lang w:bidi="zh-CN"/>
                    </w:rPr>
                    <w:t>0</w:t>
                  </w:r>
                </w:p>
              </w:tc>
              <w:tc>
                <w:tcPr>
                  <w:tcW w:w="1586" w:type="dxa"/>
                  <w:vAlign w:val="center"/>
                </w:tcPr>
                <w:p>
                  <w:pPr>
                    <w:widowControl/>
                    <w:spacing w:line="240" w:lineRule="auto"/>
                    <w:ind w:firstLine="0" w:firstLineChars="0"/>
                    <w:jc w:val="center"/>
                    <w:rPr>
                      <w:rFonts w:cs="Times New Roman"/>
                      <w:sz w:val="21"/>
                      <w:szCs w:val="21"/>
                      <w:lang w:bidi="zh-CN"/>
                    </w:rPr>
                  </w:pPr>
                  <w:r>
                    <w:rPr>
                      <w:rFonts w:cs="Times New Roman"/>
                      <w:kern w:val="0"/>
                      <w:sz w:val="21"/>
                      <w:szCs w:val="21"/>
                    </w:rPr>
                    <w:t>42</w:t>
                  </w:r>
                </w:p>
              </w:tc>
              <w:tc>
                <w:tcPr>
                  <w:tcW w:w="2090" w:type="dxa"/>
                  <w:vMerge w:val="continue"/>
                  <w:vAlign w:val="center"/>
                </w:tcPr>
                <w:p>
                  <w:pPr>
                    <w:spacing w:line="240" w:lineRule="auto"/>
                    <w:ind w:firstLine="0" w:firstLineChars="0"/>
                    <w:jc w:val="center"/>
                    <w:textAlignment w:val="auto"/>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1" w:hRule="atLeast"/>
                <w:jc w:val="center"/>
              </w:trPr>
              <w:tc>
                <w:tcPr>
                  <w:tcW w:w="1039"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4</w:t>
                  </w:r>
                </w:p>
              </w:tc>
              <w:tc>
                <w:tcPr>
                  <w:tcW w:w="2182"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4</w:t>
                  </w:r>
                  <w:r>
                    <w:rPr>
                      <w:rFonts w:cs="Times New Roman"/>
                      <w:sz w:val="21"/>
                      <w:szCs w:val="21"/>
                      <w:vertAlign w:val="superscript"/>
                    </w:rPr>
                    <w:t>#</w:t>
                  </w:r>
                  <w:r>
                    <w:rPr>
                      <w:rFonts w:cs="Times New Roman"/>
                      <w:sz w:val="21"/>
                      <w:szCs w:val="21"/>
                    </w:rPr>
                    <w:t>项目区北侧</w:t>
                  </w:r>
                </w:p>
              </w:tc>
              <w:tc>
                <w:tcPr>
                  <w:tcW w:w="1446" w:type="dxa"/>
                  <w:vAlign w:val="center"/>
                </w:tcPr>
                <w:p>
                  <w:pPr>
                    <w:widowControl/>
                    <w:spacing w:line="240" w:lineRule="auto"/>
                    <w:ind w:firstLine="0" w:firstLineChars="0"/>
                    <w:jc w:val="center"/>
                    <w:rPr>
                      <w:rFonts w:cs="Times New Roman"/>
                      <w:sz w:val="21"/>
                      <w:szCs w:val="21"/>
                      <w:lang w:bidi="zh-CN"/>
                    </w:rPr>
                  </w:pPr>
                  <w:r>
                    <w:rPr>
                      <w:rFonts w:cs="Times New Roman"/>
                      <w:sz w:val="21"/>
                      <w:szCs w:val="21"/>
                      <w:lang w:bidi="zh-CN"/>
                    </w:rPr>
                    <w:t>52</w:t>
                  </w:r>
                </w:p>
              </w:tc>
              <w:tc>
                <w:tcPr>
                  <w:tcW w:w="1586" w:type="dxa"/>
                  <w:vAlign w:val="center"/>
                </w:tcPr>
                <w:p>
                  <w:pPr>
                    <w:widowControl/>
                    <w:spacing w:line="240" w:lineRule="auto"/>
                    <w:ind w:firstLine="0" w:firstLineChars="0"/>
                    <w:jc w:val="center"/>
                    <w:rPr>
                      <w:rFonts w:cs="Times New Roman"/>
                      <w:sz w:val="21"/>
                      <w:szCs w:val="21"/>
                      <w:lang w:bidi="zh-CN"/>
                    </w:rPr>
                  </w:pPr>
                  <w:r>
                    <w:rPr>
                      <w:rFonts w:cs="Times New Roman"/>
                      <w:kern w:val="0"/>
                      <w:sz w:val="21"/>
                      <w:szCs w:val="21"/>
                    </w:rPr>
                    <w:t>40</w:t>
                  </w:r>
                </w:p>
              </w:tc>
              <w:tc>
                <w:tcPr>
                  <w:tcW w:w="2090" w:type="dxa"/>
                  <w:vMerge w:val="continue"/>
                  <w:vAlign w:val="center"/>
                </w:tcPr>
                <w:p>
                  <w:pPr>
                    <w:spacing w:line="240" w:lineRule="auto"/>
                    <w:ind w:firstLine="0" w:firstLineChars="0"/>
                    <w:jc w:val="center"/>
                    <w:textAlignment w:val="auto"/>
                    <w:rPr>
                      <w:rFonts w:cs="Times New Roman"/>
                      <w:sz w:val="21"/>
                      <w:szCs w:val="21"/>
                    </w:rPr>
                  </w:pPr>
                </w:p>
              </w:tc>
            </w:tr>
          </w:tbl>
          <w:p>
            <w:pPr>
              <w:bidi w:val="0"/>
            </w:pPr>
            <w:r>
              <w:t>预测结果表明，厂界噪声符合《工业企业厂界环境噪声排放标准》（GB12348-2008）中</w:t>
            </w:r>
            <w:r>
              <w:rPr>
                <w:rFonts w:hint="eastAsia"/>
              </w:rPr>
              <w:t>3</w:t>
            </w:r>
            <w:r>
              <w:t>类标准要求，项目厂界周边无居民，对周围环境影响较小。</w:t>
            </w:r>
          </w:p>
          <w:p>
            <w:pPr>
              <w:pStyle w:val="4"/>
              <w:framePr w:hSpace="0" w:wrap="auto" w:vAnchor="margin" w:hAnchor="text" w:xAlign="left" w:yAlign="inline"/>
            </w:pPr>
            <w:r>
              <w:t>4.2.3.2</w:t>
            </w:r>
            <w:r>
              <w:rPr>
                <w:rFonts w:hint="eastAsia"/>
              </w:rPr>
              <w:t>噪声影响预测</w:t>
            </w:r>
          </w:p>
          <w:p>
            <w:pPr>
              <w:bidi w:val="0"/>
            </w:pPr>
            <w:r>
              <w:rPr>
                <w:rFonts w:hint="eastAsia"/>
              </w:rPr>
              <w:t>针对本项目噪声源多、噪声强度大，且连续生产的特点，为确保厂界噪声达标排放，本次评价要求采取的降噪措施如下：</w:t>
            </w:r>
          </w:p>
          <w:p>
            <w:pPr>
              <w:bidi w:val="0"/>
            </w:pPr>
            <w:r>
              <w:rPr>
                <w:rFonts w:hint="eastAsia"/>
              </w:rPr>
              <w:t>（1）尽量选用低噪声、低振动工程机械，或带有消声、隔音等附属设备的机械；</w:t>
            </w:r>
          </w:p>
          <w:p>
            <w:pPr>
              <w:bidi w:val="0"/>
            </w:pPr>
            <w:r>
              <w:rPr>
                <w:rFonts w:hint="eastAsia"/>
              </w:rPr>
              <w:t>（2）为工作人员配发耳塞、耳罩等个人噪声防护设施；</w:t>
            </w:r>
          </w:p>
          <w:p>
            <w:pPr>
              <w:bidi w:val="0"/>
            </w:pPr>
            <w:r>
              <w:rPr>
                <w:rFonts w:hint="eastAsia"/>
              </w:rPr>
              <w:t>（</w:t>
            </w:r>
            <w:r>
              <w:t>3</w:t>
            </w:r>
            <w:r>
              <w:rPr>
                <w:rFonts w:hint="eastAsia"/>
              </w:rPr>
              <w:t>）严格安排合理的作业时间，并适当安排人员进行轮岗操作，尽量减小噪声对工作人员及周围声环境的影响；</w:t>
            </w:r>
          </w:p>
          <w:p>
            <w:pPr>
              <w:bidi w:val="0"/>
            </w:pPr>
            <w:r>
              <w:rPr>
                <w:rFonts w:hint="eastAsia"/>
              </w:rPr>
              <w:t>通过采取以上措施，厂界噪声可以达到《工业企业厂界环境噪声排放标准》GB12348-2008)3类区标准值要求，采取措施有效可行。</w:t>
            </w:r>
          </w:p>
          <w:p>
            <w:pPr>
              <w:pStyle w:val="4"/>
              <w:rPr>
                <w:rFonts w:cs="Times New Roman"/>
                <w:szCs w:val="24"/>
              </w:rPr>
            </w:pPr>
            <w:r>
              <w:t>4.2.3.3</w:t>
            </w:r>
            <w:r>
              <w:rPr>
                <w:rFonts w:cs="Times New Roman"/>
                <w:szCs w:val="24"/>
              </w:rPr>
              <w:t>监测要求</w:t>
            </w:r>
          </w:p>
          <w:p>
            <w:pPr>
              <w:bidi w:val="0"/>
              <w:rPr>
                <w:rFonts w:cs="Times New Roman"/>
                <w:szCs w:val="24"/>
              </w:rPr>
            </w:pPr>
            <w:r>
              <w:rPr>
                <w:rFonts w:hint="eastAsia" w:cs="Times New Roman"/>
                <w:szCs w:val="24"/>
              </w:rPr>
              <w:t>参考</w:t>
            </w:r>
            <w:r>
              <w:rPr>
                <w:rFonts w:hint="eastAsia" w:ascii="宋体" w:hAnsi="宋体" w:cs="宋体"/>
                <w:color w:val="000000"/>
                <w:kern w:val="0"/>
                <w:szCs w:val="24"/>
                <w:lang w:bidi="ar"/>
              </w:rPr>
              <w:t>《排污单位自行监测技术指南 造纸工业》（</w:t>
            </w:r>
            <w:r>
              <w:rPr>
                <w:rFonts w:cs="Times New Roman"/>
                <w:color w:val="000000"/>
                <w:kern w:val="0"/>
                <w:szCs w:val="24"/>
                <w:lang w:bidi="ar"/>
              </w:rPr>
              <w:t>HJ1085-2020</w:t>
            </w:r>
            <w:r>
              <w:rPr>
                <w:rFonts w:hint="eastAsia" w:ascii="宋体" w:hAnsi="宋体" w:cs="宋体"/>
                <w:color w:val="000000"/>
                <w:kern w:val="0"/>
                <w:szCs w:val="24"/>
                <w:lang w:bidi="ar"/>
              </w:rPr>
              <w:t>）</w:t>
            </w:r>
            <w:r>
              <w:rPr>
                <w:rFonts w:hint="eastAsia" w:cs="Times New Roman"/>
                <w:szCs w:val="24"/>
              </w:rPr>
              <w:t>规范，本项目噪声监测要求及排放标准如下表：</w:t>
            </w:r>
          </w:p>
          <w:p>
            <w:pPr>
              <w:pStyle w:val="79"/>
              <w:spacing w:line="240" w:lineRule="auto"/>
              <w:ind w:firstLine="0" w:firstLineChars="0"/>
              <w:rPr>
                <w:rFonts w:ascii="Times New Roman" w:hAnsi="Times New Roman" w:cs="Times New Roman"/>
                <w:color w:val="auto"/>
                <w:sz w:val="21"/>
                <w:szCs w:val="21"/>
              </w:rPr>
            </w:pPr>
            <w:r>
              <w:rPr>
                <w:rFonts w:ascii="Times New Roman" w:hAnsi="Times New Roman" w:cs="Times New Roman"/>
                <w:color w:val="auto"/>
                <w:sz w:val="21"/>
                <w:szCs w:val="21"/>
              </w:rPr>
              <w:t>表4-</w:t>
            </w:r>
            <w:r>
              <w:rPr>
                <w:rFonts w:hint="eastAsia" w:ascii="Times New Roman" w:hAnsi="Times New Roman" w:cs="Times New Roman"/>
                <w:color w:val="auto"/>
                <w:sz w:val="21"/>
                <w:szCs w:val="21"/>
                <w:lang w:val="en-US" w:eastAsia="zh-CN"/>
              </w:rPr>
              <w:t>5</w:t>
            </w:r>
            <w:r>
              <w:rPr>
                <w:rFonts w:ascii="Times New Roman" w:hAnsi="Times New Roman" w:cs="Times New Roman"/>
                <w:color w:val="auto"/>
                <w:sz w:val="21"/>
                <w:szCs w:val="21"/>
              </w:rPr>
              <w:t xml:space="preserve">  项目噪声监测点位和监测频次一览表</w:t>
            </w:r>
          </w:p>
          <w:tbl>
            <w:tblPr>
              <w:tblStyle w:val="29"/>
              <w:tblW w:w="8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809"/>
              <w:gridCol w:w="1671"/>
              <w:gridCol w:w="3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2" w:type="dxa"/>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监测点位</w:t>
                  </w:r>
                </w:p>
              </w:tc>
              <w:tc>
                <w:tcPr>
                  <w:tcW w:w="1809" w:type="dxa"/>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监测指标</w:t>
                  </w:r>
                </w:p>
              </w:tc>
              <w:tc>
                <w:tcPr>
                  <w:tcW w:w="1671" w:type="dxa"/>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监测频次</w:t>
                  </w:r>
                </w:p>
              </w:tc>
              <w:tc>
                <w:tcPr>
                  <w:tcW w:w="3754" w:type="dxa"/>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2"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厂界四周</w:t>
                  </w:r>
                </w:p>
              </w:tc>
              <w:tc>
                <w:tcPr>
                  <w:tcW w:w="1809"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等效连续A声级dB(A)</w:t>
                  </w:r>
                </w:p>
              </w:tc>
              <w:tc>
                <w:tcPr>
                  <w:tcW w:w="1671"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每季度监测一次，分昼、夜间进行</w:t>
                  </w:r>
                </w:p>
              </w:tc>
              <w:tc>
                <w:tcPr>
                  <w:tcW w:w="3754"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项目</w:t>
                  </w:r>
                  <w:r>
                    <w:rPr>
                      <w:rFonts w:hint="eastAsia" w:cs="Times New Roman"/>
                      <w:sz w:val="21"/>
                      <w:szCs w:val="21"/>
                    </w:rPr>
                    <w:t>厂界</w:t>
                  </w:r>
                  <w:r>
                    <w:rPr>
                      <w:rFonts w:cs="Times New Roman"/>
                      <w:sz w:val="21"/>
                      <w:szCs w:val="21"/>
                    </w:rPr>
                    <w:t>噪声执行《工业企业厂界环境噪声排放标准》</w:t>
                  </w:r>
                  <w:r>
                    <w:rPr>
                      <w:rFonts w:hint="eastAsia" w:cs="Times New Roman"/>
                      <w:sz w:val="21"/>
                      <w:szCs w:val="21"/>
                    </w:rPr>
                    <w:t>（</w:t>
                  </w:r>
                  <w:r>
                    <w:rPr>
                      <w:rFonts w:cs="Times New Roman"/>
                      <w:sz w:val="21"/>
                      <w:szCs w:val="21"/>
                    </w:rPr>
                    <w:t>GB12348-2008</w:t>
                  </w:r>
                  <w:r>
                    <w:rPr>
                      <w:rFonts w:hint="eastAsia" w:cs="Times New Roman"/>
                      <w:sz w:val="21"/>
                      <w:szCs w:val="21"/>
                    </w:rPr>
                    <w:t>）3</w:t>
                  </w:r>
                  <w:r>
                    <w:rPr>
                      <w:rFonts w:cs="Times New Roman"/>
                      <w:sz w:val="21"/>
                      <w:szCs w:val="21"/>
                    </w:rPr>
                    <w:t>类标准</w:t>
                  </w:r>
                </w:p>
              </w:tc>
            </w:tr>
          </w:tbl>
          <w:p>
            <w:pPr>
              <w:pStyle w:val="4"/>
              <w:framePr w:hSpace="0" w:wrap="auto" w:vAnchor="margin" w:hAnchor="text" w:xAlign="left" w:yAlign="inline"/>
            </w:pPr>
            <w:r>
              <w:rPr>
                <w:rFonts w:hint="eastAsia"/>
              </w:rPr>
              <w:t>4</w:t>
            </w:r>
            <w:r>
              <w:t>.2.4固体废物环境影响分析</w:t>
            </w:r>
          </w:p>
          <w:p>
            <w:pPr>
              <w:bidi w:val="0"/>
            </w:pPr>
            <w:r>
              <w:rPr>
                <w:rFonts w:hint="eastAsia"/>
              </w:rPr>
              <w:t>本项目运营期固体废物主要为废纸、边角料，废机油</w:t>
            </w:r>
            <w:r>
              <w:rPr>
                <w:rFonts w:hint="eastAsia"/>
                <w:lang w:val="en-US" w:eastAsia="zh-CN"/>
              </w:rPr>
              <w:t>等</w:t>
            </w:r>
            <w:r>
              <w:rPr>
                <w:rFonts w:hint="eastAsia"/>
              </w:rPr>
              <w:t>固体废物产生及处置情况汇总见表4-12。具体说明如下：</w:t>
            </w:r>
          </w:p>
          <w:p>
            <w:pPr>
              <w:widowControl/>
              <w:ind w:firstLine="480"/>
              <w:jc w:val="left"/>
            </w:pPr>
            <w:bookmarkStart w:id="11" w:name="_Hlk156401327"/>
            <w:r>
              <w:rPr>
                <w:rFonts w:hint="eastAsia" w:ascii="宋体" w:hAnsi="宋体" w:cs="宋体"/>
                <w:color w:val="000000"/>
                <w:kern w:val="0"/>
                <w:szCs w:val="24"/>
                <w:lang w:bidi="ar"/>
              </w:rPr>
              <w:t>（</w:t>
            </w:r>
            <w:r>
              <w:rPr>
                <w:rFonts w:cs="Times New Roman"/>
                <w:color w:val="000000"/>
                <w:kern w:val="0"/>
                <w:szCs w:val="24"/>
                <w:lang w:bidi="ar"/>
              </w:rPr>
              <w:t>1</w:t>
            </w:r>
            <w:r>
              <w:rPr>
                <w:rFonts w:hint="eastAsia" w:ascii="宋体" w:hAnsi="宋体" w:cs="宋体"/>
                <w:color w:val="000000"/>
                <w:kern w:val="0"/>
                <w:szCs w:val="24"/>
                <w:lang w:bidi="ar"/>
              </w:rPr>
              <w:t>）废纸、边角料</w:t>
            </w:r>
          </w:p>
          <w:p>
            <w:pPr>
              <w:bidi w:val="0"/>
              <w:rPr>
                <w:rFonts w:hint="eastAsia" w:ascii="宋体" w:hAnsi="宋体" w:cs="宋体"/>
                <w:color w:val="000000"/>
                <w:kern w:val="0"/>
                <w:szCs w:val="24"/>
                <w:lang w:bidi="ar"/>
              </w:rPr>
            </w:pPr>
            <w:r>
              <w:rPr>
                <w:rFonts w:hint="eastAsia" w:ascii="宋体" w:hAnsi="宋体" w:cs="宋体"/>
                <w:color w:val="000000"/>
                <w:kern w:val="0"/>
                <w:szCs w:val="24"/>
                <w:lang w:bidi="ar"/>
              </w:rPr>
              <w:t>一般工业固体废物主要为纸筒生产过程中产生废纸、边角料等，根据项目生产情况，一般工业固体废物产生量约</w:t>
            </w:r>
            <w:r>
              <w:rPr>
                <w:rFonts w:hint="eastAsia"/>
                <w:sz w:val="21"/>
                <w:szCs w:val="21"/>
                <w:vertAlign w:val="baseline"/>
                <w:lang w:val="en-US" w:eastAsia="zh-CN"/>
              </w:rPr>
              <w:t>33.6</w:t>
            </w:r>
            <w:r>
              <w:rPr>
                <w:rFonts w:cs="Times New Roman"/>
                <w:color w:val="000000"/>
                <w:kern w:val="0"/>
                <w:szCs w:val="24"/>
                <w:lang w:bidi="ar"/>
              </w:rPr>
              <w:t>t/a</w:t>
            </w:r>
            <w:r>
              <w:rPr>
                <w:rFonts w:hint="eastAsia" w:ascii="宋体" w:hAnsi="宋体" w:cs="宋体"/>
                <w:color w:val="000000"/>
                <w:kern w:val="0"/>
                <w:szCs w:val="24"/>
                <w:lang w:bidi="ar"/>
              </w:rPr>
              <w:t>，外卖给回收商回收利用。</w:t>
            </w:r>
          </w:p>
          <w:p>
            <w:pPr>
              <w:widowControl/>
              <w:ind w:firstLine="480"/>
              <w:jc w:val="left"/>
              <w:rPr>
                <w:rFonts w:hint="eastAsia" w:ascii="宋体" w:hAnsi="宋体" w:cs="宋体"/>
                <w:color w:val="000000"/>
                <w:kern w:val="0"/>
                <w:szCs w:val="24"/>
                <w:lang w:bidi="ar"/>
              </w:rPr>
            </w:pPr>
            <w:r>
              <w:rPr>
                <w:rFonts w:hint="eastAsia" w:ascii="宋体" w:hAnsi="宋体" w:cs="宋体"/>
                <w:color w:val="000000"/>
                <w:kern w:val="0"/>
                <w:szCs w:val="24"/>
                <w:lang w:bidi="ar"/>
              </w:rPr>
              <w:t>（2）废机油</w:t>
            </w:r>
          </w:p>
          <w:p>
            <w:pPr>
              <w:bidi w:val="0"/>
              <w:rPr>
                <w:rFonts w:hint="eastAsia"/>
              </w:rPr>
            </w:pPr>
            <w:r>
              <w:rPr>
                <w:rFonts w:hint="eastAsia"/>
              </w:rPr>
              <w:t>项目生产设备保养及维修过程产生的废机油，根据《国家危险废物名录》，废机油为危险废物，废物类别为</w:t>
            </w:r>
            <w:r>
              <w:t>HW08</w:t>
            </w:r>
            <w:r>
              <w:rPr>
                <w:rFonts w:hint="eastAsia"/>
              </w:rPr>
              <w:t>废矿物油与含矿物油废物，废物代码为</w:t>
            </w:r>
            <w:r>
              <w:t>900-2</w:t>
            </w:r>
            <w:r>
              <w:rPr>
                <w:rFonts w:hint="eastAsia"/>
              </w:rPr>
              <w:t>14</w:t>
            </w:r>
            <w:r>
              <w:t>-08</w:t>
            </w:r>
            <w:r>
              <w:rPr>
                <w:rFonts w:hint="eastAsia"/>
              </w:rPr>
              <w:t>，年产生量约</w:t>
            </w:r>
            <w:r>
              <w:t>0.1t/a</w:t>
            </w:r>
            <w:r>
              <w:rPr>
                <w:rFonts w:hint="eastAsia"/>
              </w:rPr>
              <w:t>。危险废物依托新疆中泰亨惠医疗卫材股份有限公司</w:t>
            </w:r>
            <w:r>
              <w:rPr>
                <w:rFonts w:hint="eastAsia"/>
                <w:lang w:val="en-US" w:eastAsia="zh-CN"/>
              </w:rPr>
              <w:t>现有</w:t>
            </w:r>
            <w:r>
              <w:rPr>
                <w:rFonts w:hint="default" w:cs="Times New Roman"/>
                <w:vertAlign w:val="baseline"/>
                <w:lang w:eastAsia="zh-CN"/>
              </w:rPr>
              <w:t>危险废物贮存点</w:t>
            </w:r>
            <w:r>
              <w:rPr>
                <w:rFonts w:hint="eastAsia"/>
              </w:rPr>
              <w:t>。</w:t>
            </w:r>
          </w:p>
          <w:bookmarkEnd w:id="11"/>
          <w:p>
            <w:pPr>
              <w:spacing w:before="163" w:beforeLines="50" w:line="240" w:lineRule="auto"/>
              <w:ind w:firstLine="0" w:firstLineChars="0"/>
              <w:jc w:val="center"/>
              <w:rPr>
                <w:rFonts w:cs="Times New Roman"/>
                <w:b/>
                <w:color w:val="000000"/>
                <w:sz w:val="21"/>
              </w:rPr>
            </w:pPr>
            <w:r>
              <w:rPr>
                <w:rFonts w:hint="eastAsia" w:cs="Times New Roman"/>
                <w:b/>
                <w:color w:val="000000"/>
                <w:sz w:val="21"/>
              </w:rPr>
              <w:t>表4</w:t>
            </w:r>
            <w:r>
              <w:rPr>
                <w:rFonts w:cs="Times New Roman"/>
                <w:b/>
                <w:color w:val="000000"/>
                <w:sz w:val="21"/>
              </w:rPr>
              <w:t>-</w:t>
            </w:r>
            <w:r>
              <w:rPr>
                <w:rFonts w:hint="eastAsia" w:cs="Times New Roman"/>
                <w:b/>
                <w:color w:val="000000"/>
                <w:sz w:val="21"/>
                <w:lang w:val="en-US" w:eastAsia="zh-CN"/>
              </w:rPr>
              <w:t>6</w:t>
            </w:r>
            <w:r>
              <w:rPr>
                <w:rFonts w:cs="Times New Roman"/>
                <w:b/>
                <w:color w:val="000000"/>
                <w:sz w:val="21"/>
              </w:rPr>
              <w:t xml:space="preserve">  </w:t>
            </w:r>
            <w:r>
              <w:rPr>
                <w:rFonts w:hint="eastAsia" w:cs="Times New Roman"/>
                <w:b/>
                <w:color w:val="000000"/>
                <w:sz w:val="21"/>
              </w:rPr>
              <w:t>固体废物产生情况一览表</w:t>
            </w:r>
          </w:p>
          <w:tbl>
            <w:tblPr>
              <w:tblStyle w:val="29"/>
              <w:tblW w:w="83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9"/>
              <w:gridCol w:w="1026"/>
              <w:gridCol w:w="746"/>
              <w:gridCol w:w="653"/>
              <w:gridCol w:w="1372"/>
              <w:gridCol w:w="788"/>
              <w:gridCol w:w="1421"/>
              <w:gridCol w:w="1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序号</w:t>
                  </w:r>
                </w:p>
              </w:tc>
              <w:tc>
                <w:tcPr>
                  <w:tcW w:w="1026"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固体废物名称</w:t>
                  </w:r>
                </w:p>
              </w:tc>
              <w:tc>
                <w:tcPr>
                  <w:tcW w:w="746"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属性</w:t>
                  </w:r>
                </w:p>
              </w:tc>
              <w:tc>
                <w:tcPr>
                  <w:tcW w:w="653"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物理性状</w:t>
                  </w:r>
                </w:p>
              </w:tc>
              <w:tc>
                <w:tcPr>
                  <w:tcW w:w="1372"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固体废物及危险废物编码</w:t>
                  </w:r>
                </w:p>
              </w:tc>
              <w:tc>
                <w:tcPr>
                  <w:tcW w:w="788"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环境危险特性</w:t>
                  </w:r>
                </w:p>
              </w:tc>
              <w:tc>
                <w:tcPr>
                  <w:tcW w:w="1421"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年度产生量</w:t>
                  </w:r>
                </w:p>
              </w:tc>
              <w:tc>
                <w:tcPr>
                  <w:tcW w:w="1756"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处置方式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1</w:t>
                  </w:r>
                </w:p>
              </w:tc>
              <w:tc>
                <w:tcPr>
                  <w:tcW w:w="1026"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废纸、边角料</w:t>
                  </w:r>
                </w:p>
              </w:tc>
              <w:tc>
                <w:tcPr>
                  <w:tcW w:w="746"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一般固体废物</w:t>
                  </w:r>
                </w:p>
              </w:tc>
              <w:tc>
                <w:tcPr>
                  <w:tcW w:w="653"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固态</w:t>
                  </w:r>
                </w:p>
              </w:tc>
              <w:tc>
                <w:tcPr>
                  <w:tcW w:w="1372"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w:t>
                  </w:r>
                </w:p>
              </w:tc>
              <w:tc>
                <w:tcPr>
                  <w:tcW w:w="788"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w:t>
                  </w:r>
                </w:p>
              </w:tc>
              <w:tc>
                <w:tcPr>
                  <w:tcW w:w="1421" w:type="dxa"/>
                  <w:vAlign w:val="center"/>
                </w:tcPr>
                <w:p>
                  <w:pPr>
                    <w:spacing w:line="240" w:lineRule="auto"/>
                    <w:ind w:firstLine="0" w:firstLineChars="0"/>
                    <w:contextualSpacing/>
                    <w:jc w:val="center"/>
                    <w:rPr>
                      <w:rFonts w:cs="Times New Roman"/>
                      <w:color w:val="000000"/>
                      <w:sz w:val="21"/>
                      <w:szCs w:val="21"/>
                    </w:rPr>
                  </w:pPr>
                  <w:r>
                    <w:rPr>
                      <w:rFonts w:hint="eastAsia"/>
                      <w:sz w:val="21"/>
                      <w:szCs w:val="21"/>
                      <w:vertAlign w:val="baseline"/>
                      <w:lang w:val="en-US" w:eastAsia="zh-CN"/>
                    </w:rPr>
                    <w:t>33.6</w:t>
                  </w:r>
                  <w:r>
                    <w:rPr>
                      <w:rFonts w:hint="eastAsia" w:cs="Times New Roman"/>
                      <w:color w:val="000000"/>
                      <w:sz w:val="21"/>
                      <w:szCs w:val="21"/>
                    </w:rPr>
                    <w:t>t</w:t>
                  </w:r>
                  <w:r>
                    <w:rPr>
                      <w:rFonts w:cs="Times New Roman"/>
                      <w:color w:val="000000"/>
                      <w:sz w:val="21"/>
                      <w:szCs w:val="21"/>
                    </w:rPr>
                    <w:t>/a</w:t>
                  </w:r>
                </w:p>
              </w:tc>
              <w:tc>
                <w:tcPr>
                  <w:tcW w:w="1756"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外卖给废品回收公司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2</w:t>
                  </w:r>
                </w:p>
              </w:tc>
              <w:tc>
                <w:tcPr>
                  <w:tcW w:w="1026"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废机油</w:t>
                  </w:r>
                </w:p>
              </w:tc>
              <w:tc>
                <w:tcPr>
                  <w:tcW w:w="746"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危险废物</w:t>
                  </w:r>
                </w:p>
              </w:tc>
              <w:tc>
                <w:tcPr>
                  <w:tcW w:w="653"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液态</w:t>
                  </w:r>
                </w:p>
              </w:tc>
              <w:tc>
                <w:tcPr>
                  <w:tcW w:w="1372"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 xml:space="preserve">HW08 </w:t>
                  </w:r>
                  <w:r>
                    <w:rPr>
                      <w:rFonts w:cs="Times New Roman"/>
                      <w:color w:val="000000"/>
                      <w:sz w:val="21"/>
                      <w:szCs w:val="21"/>
                    </w:rPr>
                    <w:t>900-214-08</w:t>
                  </w:r>
                </w:p>
              </w:tc>
              <w:tc>
                <w:tcPr>
                  <w:tcW w:w="788"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T，I</w:t>
                  </w:r>
                </w:p>
              </w:tc>
              <w:tc>
                <w:tcPr>
                  <w:tcW w:w="1421"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0.1t</w:t>
                  </w:r>
                </w:p>
              </w:tc>
              <w:tc>
                <w:tcPr>
                  <w:tcW w:w="1756" w:type="dxa"/>
                  <w:vAlign w:val="center"/>
                </w:tcPr>
                <w:p>
                  <w:pPr>
                    <w:spacing w:line="240" w:lineRule="auto"/>
                    <w:ind w:firstLine="0" w:firstLineChars="0"/>
                    <w:contextualSpacing/>
                    <w:jc w:val="center"/>
                    <w:rPr>
                      <w:rFonts w:cs="Times New Roman"/>
                      <w:color w:val="000000"/>
                      <w:sz w:val="21"/>
                      <w:szCs w:val="21"/>
                    </w:rPr>
                  </w:pPr>
                  <w:r>
                    <w:rPr>
                      <w:rFonts w:hint="eastAsia" w:cs="Times New Roman"/>
                      <w:color w:val="000000"/>
                      <w:sz w:val="21"/>
                      <w:szCs w:val="21"/>
                    </w:rPr>
                    <w:t>危险废物贮存点</w:t>
                  </w:r>
                </w:p>
              </w:tc>
            </w:tr>
          </w:tbl>
          <w:p>
            <w:pPr>
              <w:pStyle w:val="94"/>
              <w:bidi w:val="0"/>
              <w:rPr>
                <w:rFonts w:hint="eastAsia"/>
                <w:b w:val="0"/>
                <w:bCs w:val="0"/>
                <w:color w:val="auto"/>
                <w:lang w:val="en-US" w:eastAsia="zh-CN"/>
              </w:rPr>
            </w:pPr>
            <w:r>
              <w:rPr>
                <w:rFonts w:hint="eastAsia"/>
                <w:b w:val="0"/>
                <w:bCs w:val="0"/>
                <w:color w:val="auto"/>
                <w:lang w:val="en-US" w:eastAsia="zh-CN"/>
              </w:rPr>
              <w:t>项目危险废物按照《危险废物贮存污染控制标准》（GB 18597-2023）相关要求进行贮存，具体要求如下：</w:t>
            </w:r>
          </w:p>
          <w:p>
            <w:pPr>
              <w:pStyle w:val="94"/>
              <w:bidi w:val="0"/>
              <w:rPr>
                <w:rFonts w:hint="eastAsia"/>
                <w:b w:val="0"/>
                <w:bCs w:val="0"/>
                <w:color w:val="auto"/>
                <w:lang w:val="en-US" w:eastAsia="zh-CN"/>
              </w:rPr>
            </w:pPr>
            <w:r>
              <w:rPr>
                <w:rFonts w:hint="eastAsia"/>
                <w:b w:val="0"/>
                <w:bCs w:val="0"/>
                <w:color w:val="auto"/>
                <w:lang w:val="en-US" w:eastAsia="zh-CN"/>
              </w:rPr>
              <w:t>（1）不相容的危险废物不能堆放在一起；</w:t>
            </w:r>
          </w:p>
          <w:p>
            <w:pPr>
              <w:pStyle w:val="94"/>
              <w:bidi w:val="0"/>
              <w:rPr>
                <w:rFonts w:hint="eastAsia"/>
                <w:b w:val="0"/>
                <w:bCs w:val="0"/>
                <w:color w:val="auto"/>
                <w:lang w:val="en-US" w:eastAsia="zh-CN"/>
              </w:rPr>
            </w:pPr>
            <w:r>
              <w:rPr>
                <w:rFonts w:hint="eastAsia"/>
                <w:b w:val="0"/>
                <w:bCs w:val="0"/>
                <w:color w:val="auto"/>
                <w:lang w:val="en-US" w:eastAsia="zh-CN"/>
              </w:rPr>
              <w:t>（2）总贮存量不超过300kg（L）的危险废物要放入符合标准的容器内，加上标签，容器放入坚固的柜或箱中，柜或箱应设多个直径不少于30mm的排气孔。不相容危险废物要分别存放或存放在不渗透间隔分开的区域内，每个部分都应有防漏裙角或储漏盘，防漏裙角或储漏盘的材料要与危险废物相容。</w:t>
            </w:r>
          </w:p>
          <w:p>
            <w:pPr>
              <w:pStyle w:val="94"/>
              <w:bidi w:val="0"/>
              <w:rPr>
                <w:rFonts w:hint="eastAsia"/>
                <w:b w:val="0"/>
                <w:bCs w:val="0"/>
                <w:color w:val="auto"/>
                <w:lang w:val="en-US" w:eastAsia="zh-CN"/>
              </w:rPr>
            </w:pPr>
            <w:r>
              <w:rPr>
                <w:rFonts w:hint="eastAsia"/>
                <w:b w:val="0"/>
                <w:bCs w:val="0"/>
                <w:color w:val="auto"/>
                <w:lang w:val="en-US" w:eastAsia="zh-CN"/>
              </w:rPr>
              <w:t>（3）存放装载危险废物的容器的地方必须有耐腐蚀性的硬化地面，且表面无裂缝；</w:t>
            </w:r>
          </w:p>
          <w:p>
            <w:pPr>
              <w:pStyle w:val="94"/>
              <w:bidi w:val="0"/>
              <w:rPr>
                <w:rFonts w:hint="eastAsia"/>
                <w:b w:val="0"/>
                <w:bCs w:val="0"/>
                <w:color w:val="auto"/>
                <w:lang w:val="en-US" w:eastAsia="zh-CN"/>
              </w:rPr>
            </w:pPr>
            <w:r>
              <w:rPr>
                <w:rFonts w:hint="eastAsia"/>
                <w:b w:val="0"/>
                <w:bCs w:val="0"/>
                <w:color w:val="auto"/>
                <w:lang w:val="en-US" w:eastAsia="zh-CN"/>
              </w:rPr>
              <w:t>（4）有防风、防雨、防晒、防渗漏等措施，设置围堤或托盘等措施进行收集，地面硬化且采取防渗防腐处理，防止各种液体类危险废物漫流或泄漏；</w:t>
            </w:r>
          </w:p>
          <w:p>
            <w:pPr>
              <w:pStyle w:val="94"/>
              <w:bidi w:val="0"/>
              <w:rPr>
                <w:rFonts w:hint="eastAsia"/>
                <w:b w:val="0"/>
                <w:bCs w:val="0"/>
                <w:color w:val="auto"/>
                <w:lang w:val="en-US" w:eastAsia="zh-CN"/>
              </w:rPr>
            </w:pPr>
            <w:r>
              <w:rPr>
                <w:rFonts w:hint="eastAsia"/>
                <w:b w:val="0"/>
                <w:bCs w:val="0"/>
                <w:color w:val="auto"/>
                <w:lang w:val="en-US" w:eastAsia="zh-CN"/>
              </w:rPr>
              <w:t>（5）按照《环境保护图形标志固体废物贮存（处置）场》（GB 15562.2）要求标示环保标志；</w:t>
            </w:r>
          </w:p>
          <w:p>
            <w:pPr>
              <w:pStyle w:val="94"/>
              <w:bidi w:val="0"/>
              <w:rPr>
                <w:rFonts w:hint="eastAsia"/>
                <w:b w:val="0"/>
                <w:bCs w:val="0"/>
                <w:color w:val="auto"/>
                <w:lang w:val="en-US" w:eastAsia="zh-CN"/>
              </w:rPr>
            </w:pPr>
            <w:r>
              <w:rPr>
                <w:rFonts w:hint="eastAsia"/>
                <w:b w:val="0"/>
                <w:bCs w:val="0"/>
                <w:color w:val="auto"/>
                <w:lang w:val="en-US" w:eastAsia="zh-CN"/>
              </w:rPr>
              <w:t>（6）贮存间应配备通讯设备、照明设施、安全防护服装及工具，并设有应急设施；</w:t>
            </w:r>
          </w:p>
          <w:p>
            <w:pPr>
              <w:pStyle w:val="94"/>
              <w:bidi w:val="0"/>
              <w:rPr>
                <w:rFonts w:hint="eastAsia"/>
                <w:b w:val="0"/>
                <w:bCs w:val="0"/>
                <w:color w:val="auto"/>
                <w:lang w:val="en-US" w:eastAsia="zh-CN"/>
              </w:rPr>
            </w:pPr>
            <w:r>
              <w:rPr>
                <w:rFonts w:hint="eastAsia"/>
                <w:b w:val="0"/>
                <w:bCs w:val="0"/>
                <w:color w:val="auto"/>
                <w:lang w:val="en-US" w:eastAsia="zh-CN"/>
              </w:rPr>
              <w:t>（7）危险废物的产生者和危险废物贮存设施经营者均须做好危险废物情况的记录，记录上须注明危险废物的名称、来源、数量、特性和包装容器的类别、入库日期、存放库位、废物出库日期及接收单位名称。危险废物的记录和货单在危险废物回取后应继续保留三年。</w:t>
            </w:r>
          </w:p>
          <w:p>
            <w:pPr>
              <w:pStyle w:val="94"/>
              <w:bidi w:val="0"/>
              <w:rPr>
                <w:rFonts w:cs="Times New Roman"/>
              </w:rPr>
            </w:pPr>
            <w:r>
              <w:rPr>
                <w:rFonts w:hint="eastAsia"/>
                <w:b w:val="0"/>
                <w:bCs w:val="0"/>
                <w:color w:val="auto"/>
                <w:lang w:val="en-US" w:eastAsia="zh-CN"/>
              </w:rPr>
              <w:t>综上所述，项目固体废物在采取以上措施后对周围环境的影响较小。</w:t>
            </w:r>
          </w:p>
          <w:p>
            <w:pPr>
              <w:pStyle w:val="4"/>
              <w:framePr w:hSpace="0" w:wrap="auto" w:vAnchor="margin" w:hAnchor="text" w:xAlign="left" w:yAlign="inline"/>
              <w:rPr>
                <w:bCs/>
                <w:color w:val="auto"/>
                <w:kern w:val="2"/>
              </w:rPr>
            </w:pPr>
            <w:r>
              <w:rPr>
                <w:rFonts w:hint="eastAsia"/>
                <w:bCs/>
                <w:color w:val="auto"/>
                <w:kern w:val="2"/>
              </w:rPr>
              <w:t>4.</w:t>
            </w:r>
            <w:r>
              <w:rPr>
                <w:rFonts w:hint="eastAsia"/>
                <w:bCs/>
                <w:color w:val="auto"/>
                <w:kern w:val="2"/>
                <w:lang w:val="en-US" w:eastAsia="zh-CN"/>
              </w:rPr>
              <w:t>3</w:t>
            </w:r>
            <w:r>
              <w:rPr>
                <w:rFonts w:hint="eastAsia"/>
                <w:bCs/>
                <w:color w:val="auto"/>
                <w:kern w:val="2"/>
              </w:rPr>
              <w:t>依托工程可行性分析</w:t>
            </w:r>
          </w:p>
          <w:p>
            <w:pPr>
              <w:ind w:firstLine="480"/>
            </w:pPr>
            <w:r>
              <w:rPr>
                <w:rFonts w:hint="eastAsia"/>
              </w:rPr>
              <w:t>新疆中泰亨惠医疗卫材股份有限公司2021年6月委托新疆净诺环保科技有限公司编制了《关于新疆中泰亨惠医疗卫材股份有限公司年产14万吨生物基绿色可降解材料智能制造项目环境影响报告表》，2021年7月13日通过巴州生态环境局审批并取得《关于新疆中泰亨惠医疗卫材股份有限公司年产14万吨生物基绿色可降解材料智能制造项目环境影响报告表的批复》文号为“新环评函[2021]</w:t>
            </w:r>
            <w:r>
              <w:t>1</w:t>
            </w:r>
            <w:r>
              <w:rPr>
                <w:rFonts w:hint="eastAsia"/>
              </w:rPr>
              <w:t>58号”。于2024年10月19日通过了由新疆中泰亨惠医疗卫材股份有限公司组织的竣工环境保护验收。详见附件4。</w:t>
            </w:r>
          </w:p>
          <w:p>
            <w:pPr>
              <w:ind w:firstLine="480"/>
              <w:rPr>
                <w:rFonts w:hint="eastAsia"/>
              </w:rPr>
            </w:pPr>
            <w:r>
              <w:rPr>
                <w:rFonts w:hint="eastAsia"/>
              </w:rPr>
              <w:t>本项目运营期间废机油产生量为</w:t>
            </w:r>
            <w:r>
              <w:t>0.1t/a</w:t>
            </w:r>
            <w:r>
              <w:rPr>
                <w:rFonts w:hint="eastAsia"/>
                <w:lang w:eastAsia="zh-CN"/>
              </w:rPr>
              <w:t>，</w:t>
            </w:r>
            <w:r>
              <w:rPr>
                <w:rFonts w:hint="eastAsia"/>
              </w:rPr>
              <w:t>危险废物依托新疆中泰亨惠医疗卫材股份有限公司危险废物贮存点暂存。危险废物贮存点在厂区西北角。危险废物贮存和</w:t>
            </w:r>
            <w:r>
              <w:rPr>
                <w:rFonts w:hint="default"/>
              </w:rPr>
              <w:t>危险废物贮存点</w:t>
            </w:r>
            <w:r>
              <w:rPr>
                <w:rFonts w:hint="eastAsia"/>
              </w:rPr>
              <w:t>设置符合《危险废物贮存污染控制标准》</w:t>
            </w:r>
            <w:r>
              <w:t>(GB18597-2023)</w:t>
            </w:r>
            <w:r>
              <w:rPr>
                <w:rFonts w:hint="eastAsia"/>
              </w:rPr>
              <w:t>的相关要求。</w:t>
            </w:r>
            <w:r>
              <w:rPr>
                <w:rFonts w:hint="eastAsia"/>
                <w:lang w:val="en-US" w:eastAsia="zh-CN"/>
              </w:rPr>
              <w:t>面积为10m</w:t>
            </w:r>
            <w:r>
              <w:rPr>
                <w:rFonts w:hint="eastAsia"/>
                <w:vertAlign w:val="superscript"/>
                <w:lang w:val="en-US" w:eastAsia="zh-CN"/>
              </w:rPr>
              <w:t>2</w:t>
            </w:r>
            <w:r>
              <w:rPr>
                <w:rFonts w:hint="eastAsia"/>
                <w:lang w:val="en-US" w:eastAsia="zh-CN"/>
              </w:rPr>
              <w:t>，已进行重点防渗。</w:t>
            </w:r>
            <w:r>
              <w:rPr>
                <w:rFonts w:hint="eastAsia"/>
              </w:rPr>
              <w:t>本项目废机油产生量较少，只占</w:t>
            </w:r>
            <w:r>
              <w:rPr>
                <w:rFonts w:hint="default" w:cs="Times New Roman"/>
                <w:vertAlign w:val="baseline"/>
                <w:lang w:eastAsia="zh-CN"/>
              </w:rPr>
              <w:t>危险废物贮存点</w:t>
            </w:r>
            <w:r>
              <w:rPr>
                <w:rFonts w:hint="eastAsia"/>
              </w:rPr>
              <w:t>的小部分，能够接纳本项目产生的</w:t>
            </w:r>
            <w:r>
              <w:rPr>
                <w:rFonts w:hint="eastAsia"/>
                <w:lang w:val="en-US" w:eastAsia="zh-CN"/>
              </w:rPr>
              <w:t>危险废物</w:t>
            </w:r>
            <w:r>
              <w:rPr>
                <w:rFonts w:hint="eastAsia"/>
              </w:rPr>
              <w:t>，项目危险废物处理措施可行。</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0" w:type="dxa"/>
                </w:tcPr>
                <w:p>
                  <w:pPr>
                    <w:ind w:left="0" w:leftChars="0" w:firstLine="0" w:firstLineChars="0"/>
                    <w:rPr>
                      <w:rFonts w:hint="eastAsia"/>
                      <w:vertAlign w:val="baseline"/>
                    </w:rPr>
                  </w:pPr>
                  <w:r>
                    <w:drawing>
                      <wp:inline distT="0" distB="0" distL="114300" distR="114300">
                        <wp:extent cx="2506980" cy="1793240"/>
                        <wp:effectExtent l="0" t="0" r="762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2506980" cy="1793240"/>
                                </a:xfrm>
                                <a:prstGeom prst="rect">
                                  <a:avLst/>
                                </a:prstGeom>
                                <a:noFill/>
                                <a:ln>
                                  <a:noFill/>
                                </a:ln>
                              </pic:spPr>
                            </pic:pic>
                          </a:graphicData>
                        </a:graphic>
                      </wp:inline>
                    </w:drawing>
                  </w:r>
                </w:p>
              </w:tc>
              <w:tc>
                <w:tcPr>
                  <w:tcW w:w="4186" w:type="dxa"/>
                </w:tcPr>
                <w:p>
                  <w:pPr>
                    <w:ind w:left="0" w:leftChars="0" w:firstLine="0" w:firstLineChars="0"/>
                    <w:rPr>
                      <w:rFonts w:hint="eastAsia"/>
                      <w:vertAlign w:val="baseline"/>
                    </w:rPr>
                  </w:pPr>
                  <w:r>
                    <w:drawing>
                      <wp:inline distT="0" distB="0" distL="114300" distR="114300">
                        <wp:extent cx="2570480" cy="1829435"/>
                        <wp:effectExtent l="0" t="0" r="1270"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2570480" cy="18294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6" w:type="dxa"/>
                  <w:gridSpan w:val="2"/>
                </w:tcPr>
                <w:p>
                  <w:pPr>
                    <w:jc w:val="center"/>
                    <w:rPr>
                      <w:rFonts w:hint="eastAsia" w:eastAsia="宋体"/>
                      <w:vertAlign w:val="baseline"/>
                      <w:lang w:val="en-US" w:eastAsia="zh-CN"/>
                    </w:rPr>
                  </w:pPr>
                  <w:r>
                    <w:rPr>
                      <w:rFonts w:hint="eastAsia"/>
                    </w:rPr>
                    <w:t>新疆中泰亨惠医疗卫材股份有限公司危险废物贮存点</w:t>
                  </w:r>
                </w:p>
              </w:tc>
            </w:tr>
          </w:tbl>
          <w:p>
            <w:pPr>
              <w:ind w:firstLine="480"/>
            </w:pPr>
            <w:r>
              <w:rPr>
                <w:rFonts w:hint="eastAsia"/>
              </w:rPr>
              <w:t>综上，采取上述处置措施后，项目运营期产生的各类固体废物皆得到有效合理处置，该处置方法满足环保要求，对周围环境影响较小。</w:t>
            </w:r>
          </w:p>
          <w:p>
            <w:pPr>
              <w:pStyle w:val="4"/>
            </w:pPr>
            <w:r>
              <w:rPr>
                <w:rFonts w:hint="eastAsia"/>
              </w:rPr>
              <w:t>4</w:t>
            </w:r>
            <w:r>
              <w:t>.4</w:t>
            </w:r>
            <w:r>
              <w:rPr>
                <w:rFonts w:hint="eastAsia"/>
              </w:rPr>
              <w:t>地下水、土壤环境影响分析</w:t>
            </w:r>
          </w:p>
          <w:p>
            <w:pPr>
              <w:pStyle w:val="4"/>
              <w:framePr w:hSpace="0" w:wrap="auto" w:vAnchor="margin" w:hAnchor="text" w:xAlign="left" w:yAlign="inline"/>
            </w:pPr>
            <w:r>
              <w:rPr>
                <w:rFonts w:hint="eastAsia"/>
              </w:rPr>
              <w:t>4.</w:t>
            </w:r>
            <w:r>
              <w:t>4</w:t>
            </w:r>
            <w:r>
              <w:rPr>
                <w:rFonts w:hint="eastAsia"/>
              </w:rPr>
              <w:t>.1污染源及污染途径</w:t>
            </w:r>
          </w:p>
          <w:p>
            <w:pPr>
              <w:ind w:firstLine="480"/>
            </w:pPr>
            <w:r>
              <w:rPr>
                <w:rFonts w:hint="eastAsia"/>
              </w:rPr>
              <w:t>项目厂房及厂区地面均已进行混凝土硬化处理，污染物不会发生渗漏对地下水和土壤造成影响；</w:t>
            </w:r>
          </w:p>
          <w:p>
            <w:pPr>
              <w:ind w:firstLine="0" w:firstLineChars="0"/>
              <w:rPr>
                <w:b/>
                <w:bCs/>
              </w:rPr>
            </w:pPr>
            <w:r>
              <w:rPr>
                <w:rFonts w:hint="eastAsia"/>
                <w:b/>
                <w:bCs/>
              </w:rPr>
              <w:t>4.</w:t>
            </w:r>
            <w:r>
              <w:rPr>
                <w:b/>
                <w:bCs/>
              </w:rPr>
              <w:t>4</w:t>
            </w:r>
            <w:r>
              <w:rPr>
                <w:rFonts w:hint="eastAsia"/>
                <w:b/>
                <w:bCs/>
              </w:rPr>
              <w:t>.2污染防控措施</w:t>
            </w:r>
          </w:p>
          <w:p>
            <w:pPr>
              <w:ind w:firstLine="480"/>
            </w:pPr>
            <w:r>
              <w:rPr>
                <w:rFonts w:hint="eastAsia"/>
              </w:rPr>
              <w:t>本项目地下水、土壤污染防控措施应在做好防止和减少“跑、冒、滴、漏”等源头控制措施的基础上，对项目区域进行分区防渗处理。</w:t>
            </w:r>
          </w:p>
          <w:p>
            <w:pPr>
              <w:ind w:firstLine="480"/>
            </w:pPr>
            <w:r>
              <w:rPr>
                <w:rFonts w:hint="eastAsia"/>
              </w:rPr>
              <w:t>（</w:t>
            </w:r>
            <w:r>
              <w:t>1</w:t>
            </w:r>
            <w:r>
              <w:rPr>
                <w:rFonts w:hint="eastAsia"/>
              </w:rPr>
              <w:t>）源头控制措施</w:t>
            </w:r>
          </w:p>
          <w:p>
            <w:pPr>
              <w:ind w:firstLine="480"/>
            </w:pPr>
            <w:r>
              <w:rPr>
                <w:rFonts w:hint="eastAsia"/>
              </w:rPr>
              <w:t>①积极推行实施清洁生产，实现各类废物循环利用，减少污染物的排放量；</w:t>
            </w:r>
          </w:p>
          <w:p>
            <w:pPr>
              <w:ind w:firstLine="480"/>
            </w:pPr>
            <w:r>
              <w:rPr>
                <w:rFonts w:hint="eastAsia"/>
              </w:rPr>
              <w:t>②应根据国家现行相关规范加强环境管理，采取防止和降低污染物跑、冒、滴、漏的措施。正常运营过程中应加强巡检及时处理污染物跑、冒、滴、漏，同时应加强对防渗工程的检查，若发现防渗密封材料老化或损坏，应及时维修更换；</w:t>
            </w:r>
          </w:p>
          <w:p>
            <w:pPr>
              <w:ind w:firstLine="480"/>
            </w:pPr>
            <w:r>
              <w:rPr>
                <w:rFonts w:hint="eastAsia"/>
              </w:rPr>
              <w:t>③对工艺、管道、设备、污水储存及处理构筑物采取控制措施，防止污染物的跑、冒、滴、漏，将污染物泄漏的环境风险事故降到最低限度。</w:t>
            </w:r>
          </w:p>
          <w:p>
            <w:pPr>
              <w:ind w:firstLine="480"/>
            </w:pPr>
            <w:r>
              <w:rPr>
                <w:rFonts w:hint="eastAsia"/>
              </w:rPr>
              <w:t>（</w:t>
            </w:r>
            <w:r>
              <w:t>2</w:t>
            </w:r>
            <w:r>
              <w:rPr>
                <w:rFonts w:hint="eastAsia"/>
              </w:rPr>
              <w:t>）分区防控措施</w:t>
            </w:r>
          </w:p>
          <w:p>
            <w:pPr>
              <w:ind w:firstLine="480"/>
              <w:rPr>
                <w:lang w:val="zh-CN" w:bidi="zh-CN"/>
              </w:rPr>
            </w:pPr>
            <w:r>
              <w:rPr>
                <w:rFonts w:hint="eastAsia"/>
                <w:lang w:val="zh-CN" w:bidi="zh-CN"/>
              </w:rPr>
              <w:t>根据物料和生产单元所处的位置，项目区为一般防渗区。</w:t>
            </w:r>
          </w:p>
          <w:p>
            <w:pPr>
              <w:ind w:firstLine="480"/>
              <w:rPr>
                <w:lang w:val="zh-CN" w:bidi="zh-CN"/>
              </w:rPr>
            </w:pPr>
            <w:r>
              <w:rPr>
                <w:rFonts w:hint="eastAsia"/>
                <w:lang w:val="zh-CN" w:bidi="zh-CN"/>
              </w:rPr>
              <w:t>参照《环境影响评价技术导则 地下水环境》（HJ610-2016）的分区防控措施，根据场地天然包气带防污性能、污染控制难易程度和污染物特性，参照表</w:t>
            </w:r>
            <w:r>
              <w:rPr>
                <w:lang w:val="zh-CN" w:bidi="zh-CN"/>
              </w:rPr>
              <w:t>4-14</w:t>
            </w:r>
            <w:r>
              <w:rPr>
                <w:rFonts w:hint="eastAsia"/>
                <w:lang w:val="zh-CN" w:bidi="zh-CN"/>
              </w:rPr>
              <w:t>对项目厂区提出防渗技术要求。</w:t>
            </w:r>
          </w:p>
          <w:p>
            <w:pPr>
              <w:pStyle w:val="6"/>
              <w:ind w:firstLine="422"/>
              <w:jc w:val="center"/>
              <w:rPr>
                <w:rFonts w:ascii="Times New Roman" w:hAnsi="Times New Roman"/>
                <w:b/>
                <w:bCs/>
                <w:szCs w:val="21"/>
                <w:lang w:val="zh-CN"/>
              </w:rPr>
            </w:pPr>
            <w:r>
              <w:rPr>
                <w:rFonts w:hint="eastAsia" w:ascii="Times New Roman" w:hAnsi="Times New Roman"/>
                <w:b/>
                <w:bCs/>
                <w:szCs w:val="21"/>
                <w:lang w:val="zh-CN"/>
              </w:rPr>
              <w:t>表</w:t>
            </w:r>
            <w:r>
              <w:rPr>
                <w:rFonts w:ascii="Times New Roman" w:hAnsi="Times New Roman"/>
                <w:b/>
                <w:bCs/>
                <w:szCs w:val="21"/>
                <w:lang w:val="zh-CN"/>
              </w:rPr>
              <w:t>4-</w:t>
            </w:r>
            <w:r>
              <w:rPr>
                <w:rFonts w:hint="eastAsia" w:ascii="Times New Roman" w:hAnsi="Times New Roman"/>
                <w:b/>
                <w:bCs/>
                <w:szCs w:val="21"/>
                <w:lang w:val="en-US" w:eastAsia="zh-CN"/>
              </w:rPr>
              <w:t>9</w:t>
            </w:r>
            <w:r>
              <w:rPr>
                <w:rFonts w:hint="eastAsia" w:ascii="Times New Roman" w:hAnsi="Times New Roman"/>
                <w:b/>
                <w:bCs/>
                <w:szCs w:val="21"/>
                <w:lang w:val="zh-CN"/>
              </w:rPr>
              <w:t xml:space="preserve">  地下水污染防渗分区参照表</w:t>
            </w:r>
          </w:p>
          <w:tbl>
            <w:tblPr>
              <w:tblStyle w:val="29"/>
              <w:tblW w:w="83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28" w:type="dxa"/>
                <w:left w:w="0" w:type="dxa"/>
                <w:bottom w:w="28" w:type="dxa"/>
                <w:right w:w="0" w:type="dxa"/>
              </w:tblCellMar>
            </w:tblPr>
            <w:tblGrid>
              <w:gridCol w:w="1385"/>
              <w:gridCol w:w="1357"/>
              <w:gridCol w:w="1082"/>
              <w:gridCol w:w="1665"/>
              <w:gridCol w:w="28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28" w:type="dxa"/>
                  <w:left w:w="0" w:type="dxa"/>
                  <w:bottom w:w="28" w:type="dxa"/>
                  <w:right w:w="0" w:type="dxa"/>
                </w:tblCellMar>
              </w:tblPrEx>
              <w:trPr>
                <w:trHeight w:val="20" w:hRule="atLeast"/>
                <w:jc w:val="center"/>
              </w:trPr>
              <w:tc>
                <w:tcPr>
                  <w:tcW w:w="1385" w:type="dxa"/>
                  <w:vAlign w:val="center"/>
                </w:tcPr>
                <w:p>
                  <w:pPr>
                    <w:pStyle w:val="38"/>
                    <w:rPr>
                      <w:snapToGrid w:val="0"/>
                    </w:rPr>
                  </w:pPr>
                  <w:r>
                    <w:rPr>
                      <w:snapToGrid w:val="0"/>
                    </w:rPr>
                    <w:t>防渗分区</w:t>
                  </w:r>
                </w:p>
              </w:tc>
              <w:tc>
                <w:tcPr>
                  <w:tcW w:w="1357" w:type="dxa"/>
                  <w:vAlign w:val="center"/>
                </w:tcPr>
                <w:p>
                  <w:pPr>
                    <w:pStyle w:val="38"/>
                    <w:rPr>
                      <w:snapToGrid w:val="0"/>
                    </w:rPr>
                  </w:pPr>
                  <w:r>
                    <w:rPr>
                      <w:snapToGrid w:val="0"/>
                      <w:spacing w:val="8"/>
                    </w:rPr>
                    <w:t>天</w:t>
                  </w:r>
                  <w:r>
                    <w:rPr>
                      <w:snapToGrid w:val="0"/>
                      <w:spacing w:val="7"/>
                    </w:rPr>
                    <w:t>然包气带</w:t>
                  </w:r>
                  <w:r>
                    <w:rPr>
                      <w:snapToGrid w:val="0"/>
                    </w:rPr>
                    <w:t>防污性能</w:t>
                  </w:r>
                </w:p>
              </w:tc>
              <w:tc>
                <w:tcPr>
                  <w:tcW w:w="1082" w:type="dxa"/>
                  <w:vAlign w:val="center"/>
                </w:tcPr>
                <w:p>
                  <w:pPr>
                    <w:pStyle w:val="38"/>
                    <w:rPr>
                      <w:snapToGrid w:val="0"/>
                    </w:rPr>
                  </w:pPr>
                  <w:r>
                    <w:rPr>
                      <w:snapToGrid w:val="0"/>
                      <w:spacing w:val="7"/>
                    </w:rPr>
                    <w:t>污染控</w:t>
                  </w:r>
                  <w:r>
                    <w:rPr>
                      <w:snapToGrid w:val="0"/>
                      <w:spacing w:val="6"/>
                    </w:rPr>
                    <w:t>制</w:t>
                  </w:r>
                  <w:r>
                    <w:rPr>
                      <w:snapToGrid w:val="0"/>
                      <w:spacing w:val="9"/>
                    </w:rPr>
                    <w:t>难</w:t>
                  </w:r>
                  <w:r>
                    <w:rPr>
                      <w:snapToGrid w:val="0"/>
                      <w:spacing w:val="7"/>
                    </w:rPr>
                    <w:t>易程度</w:t>
                  </w:r>
                </w:p>
              </w:tc>
              <w:tc>
                <w:tcPr>
                  <w:tcW w:w="1665" w:type="dxa"/>
                  <w:vAlign w:val="center"/>
                </w:tcPr>
                <w:p>
                  <w:pPr>
                    <w:pStyle w:val="38"/>
                    <w:rPr>
                      <w:snapToGrid w:val="0"/>
                    </w:rPr>
                  </w:pPr>
                  <w:r>
                    <w:rPr>
                      <w:snapToGrid w:val="0"/>
                      <w:spacing w:val="8"/>
                    </w:rPr>
                    <w:t>污染物类</w:t>
                  </w:r>
                  <w:r>
                    <w:rPr>
                      <w:snapToGrid w:val="0"/>
                      <w:spacing w:val="7"/>
                    </w:rPr>
                    <w:t>型</w:t>
                  </w:r>
                </w:p>
              </w:tc>
              <w:tc>
                <w:tcPr>
                  <w:tcW w:w="2857" w:type="dxa"/>
                  <w:vAlign w:val="center"/>
                </w:tcPr>
                <w:p>
                  <w:pPr>
                    <w:pStyle w:val="38"/>
                    <w:rPr>
                      <w:snapToGrid w:val="0"/>
                    </w:rPr>
                  </w:pPr>
                  <w:r>
                    <w:rPr>
                      <w:snapToGrid w:val="0"/>
                      <w:spacing w:val="6"/>
                    </w:rPr>
                    <w:t>防渗技术要求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28" w:type="dxa"/>
                  <w:left w:w="0" w:type="dxa"/>
                  <w:bottom w:w="28" w:type="dxa"/>
                  <w:right w:w="0" w:type="dxa"/>
                </w:tblCellMar>
              </w:tblPrEx>
              <w:trPr>
                <w:trHeight w:val="20" w:hRule="atLeast"/>
                <w:jc w:val="center"/>
              </w:trPr>
              <w:tc>
                <w:tcPr>
                  <w:tcW w:w="1385" w:type="dxa"/>
                  <w:vMerge w:val="restart"/>
                  <w:vAlign w:val="center"/>
                </w:tcPr>
                <w:p>
                  <w:pPr>
                    <w:pStyle w:val="38"/>
                    <w:rPr>
                      <w:snapToGrid w:val="0"/>
                    </w:rPr>
                  </w:pPr>
                  <w:r>
                    <w:rPr>
                      <w:snapToGrid w:val="0"/>
                      <w:spacing w:val="9"/>
                    </w:rPr>
                    <w:t>一</w:t>
                  </w:r>
                  <w:r>
                    <w:rPr>
                      <w:snapToGrid w:val="0"/>
                      <w:spacing w:val="7"/>
                    </w:rPr>
                    <w:t>般防渗区</w:t>
                  </w:r>
                </w:p>
              </w:tc>
              <w:tc>
                <w:tcPr>
                  <w:tcW w:w="1357" w:type="dxa"/>
                  <w:vAlign w:val="center"/>
                </w:tcPr>
                <w:p>
                  <w:pPr>
                    <w:pStyle w:val="38"/>
                    <w:rPr>
                      <w:snapToGrid w:val="0"/>
                    </w:rPr>
                  </w:pPr>
                  <w:r>
                    <w:rPr>
                      <w:snapToGrid w:val="0"/>
                    </w:rPr>
                    <w:t>弱</w:t>
                  </w:r>
                </w:p>
              </w:tc>
              <w:tc>
                <w:tcPr>
                  <w:tcW w:w="1082" w:type="dxa"/>
                  <w:vAlign w:val="center"/>
                </w:tcPr>
                <w:p>
                  <w:pPr>
                    <w:pStyle w:val="38"/>
                    <w:rPr>
                      <w:snapToGrid w:val="0"/>
                    </w:rPr>
                  </w:pPr>
                  <w:r>
                    <w:rPr>
                      <w:snapToGrid w:val="0"/>
                      <w:spacing w:val="-6"/>
                    </w:rPr>
                    <w:t>易</w:t>
                  </w:r>
                  <w:r>
                    <w:rPr>
                      <w:rFonts w:eastAsia="Times New Roman"/>
                      <w:snapToGrid w:val="0"/>
                      <w:spacing w:val="-6"/>
                    </w:rPr>
                    <w:t>-</w:t>
                  </w:r>
                  <w:r>
                    <w:rPr>
                      <w:snapToGrid w:val="0"/>
                      <w:spacing w:val="-6"/>
                    </w:rPr>
                    <w:t>难</w:t>
                  </w:r>
                </w:p>
              </w:tc>
              <w:tc>
                <w:tcPr>
                  <w:tcW w:w="1665" w:type="dxa"/>
                  <w:vMerge w:val="restart"/>
                  <w:vAlign w:val="center"/>
                </w:tcPr>
                <w:p>
                  <w:pPr>
                    <w:pStyle w:val="38"/>
                    <w:rPr>
                      <w:snapToGrid w:val="0"/>
                    </w:rPr>
                  </w:pPr>
                  <w:r>
                    <w:rPr>
                      <w:snapToGrid w:val="0"/>
                      <w:spacing w:val="7"/>
                    </w:rPr>
                    <w:t>其他类型</w:t>
                  </w:r>
                </w:p>
              </w:tc>
              <w:tc>
                <w:tcPr>
                  <w:tcW w:w="2857" w:type="dxa"/>
                  <w:vMerge w:val="restart"/>
                  <w:vAlign w:val="center"/>
                </w:tcPr>
                <w:p>
                  <w:pPr>
                    <w:pStyle w:val="38"/>
                    <w:rPr>
                      <w:snapToGrid w:val="0"/>
                    </w:rPr>
                  </w:pPr>
                  <w:r>
                    <w:rPr>
                      <w:snapToGrid w:val="0"/>
                      <w:spacing w:val="-14"/>
                    </w:rPr>
                    <w:t>等</w:t>
                  </w:r>
                  <w:r>
                    <w:rPr>
                      <w:snapToGrid w:val="0"/>
                      <w:spacing w:val="-10"/>
                    </w:rPr>
                    <w:t>效黏土防渗层</w:t>
                  </w:r>
                  <w:r>
                    <w:rPr>
                      <w:rFonts w:eastAsia="Times New Roman"/>
                      <w:snapToGrid w:val="0"/>
                      <w:spacing w:val="-10"/>
                    </w:rPr>
                    <w:t>Mb≥1.5m</w:t>
                  </w:r>
                  <w:r>
                    <w:rPr>
                      <w:snapToGrid w:val="0"/>
                      <w:spacing w:val="-10"/>
                    </w:rPr>
                    <w:t>，</w:t>
                  </w:r>
                  <w:r>
                    <w:rPr>
                      <w:rFonts w:eastAsia="Times New Roman"/>
                      <w:snapToGrid w:val="0"/>
                    </w:rPr>
                    <w:t>K</w:t>
                  </w:r>
                  <w:r>
                    <w:rPr>
                      <w:rFonts w:eastAsia="Times New Roman"/>
                      <w:snapToGrid w:val="0"/>
                      <w:spacing w:val="-1"/>
                    </w:rPr>
                    <w:t>≤1×10</w:t>
                  </w:r>
                  <w:r>
                    <w:rPr>
                      <w:rFonts w:eastAsia="Times New Roman"/>
                      <w:snapToGrid w:val="0"/>
                      <w:spacing w:val="-1"/>
                      <w:position w:val="6"/>
                      <w:sz w:val="13"/>
                      <w:szCs w:val="13"/>
                    </w:rPr>
                    <w:t>-7</w:t>
                  </w:r>
                  <w:r>
                    <w:rPr>
                      <w:rFonts w:eastAsia="Times New Roman"/>
                      <w:snapToGrid w:val="0"/>
                    </w:rPr>
                    <w:t>cm</w:t>
                  </w:r>
                  <w:r>
                    <w:rPr>
                      <w:rFonts w:eastAsia="Times New Roman"/>
                      <w:snapToGrid w:val="0"/>
                      <w:spacing w:val="-1"/>
                    </w:rPr>
                    <w:t>/</w:t>
                  </w:r>
                  <w:r>
                    <w:rPr>
                      <w:rFonts w:eastAsia="Times New Roman"/>
                      <w:snapToGrid w:val="0"/>
                    </w:rPr>
                    <w:t>s</w:t>
                  </w:r>
                  <w:r>
                    <w:rPr>
                      <w:snapToGrid w:val="0"/>
                      <w:spacing w:val="-1"/>
                    </w:rPr>
                    <w:t>；或参照</w:t>
                  </w:r>
                  <w:r>
                    <w:rPr>
                      <w:rFonts w:eastAsia="Times New Roman"/>
                      <w:snapToGrid w:val="0"/>
                    </w:rPr>
                    <w:t>GB16889</w:t>
                  </w:r>
                  <w:r>
                    <w:rPr>
                      <w:snapToGrid w:val="0"/>
                      <w:spacing w:val="6"/>
                    </w:rPr>
                    <w:t>执</w:t>
                  </w:r>
                  <w:r>
                    <w:rPr>
                      <w:snapToGrid w:val="0"/>
                    </w:rPr>
                    <w:t>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28" w:type="dxa"/>
                  <w:left w:w="0" w:type="dxa"/>
                  <w:bottom w:w="28" w:type="dxa"/>
                  <w:right w:w="0" w:type="dxa"/>
                </w:tblCellMar>
              </w:tblPrEx>
              <w:trPr>
                <w:trHeight w:val="20" w:hRule="atLeast"/>
                <w:jc w:val="center"/>
              </w:trPr>
              <w:tc>
                <w:tcPr>
                  <w:tcW w:w="1385" w:type="dxa"/>
                  <w:vMerge w:val="continue"/>
                  <w:vAlign w:val="center"/>
                </w:tcPr>
                <w:p>
                  <w:pPr>
                    <w:pStyle w:val="38"/>
                    <w:rPr>
                      <w:snapToGrid w:val="0"/>
                    </w:rPr>
                  </w:pPr>
                </w:p>
              </w:tc>
              <w:tc>
                <w:tcPr>
                  <w:tcW w:w="1357" w:type="dxa"/>
                  <w:vAlign w:val="center"/>
                </w:tcPr>
                <w:p>
                  <w:pPr>
                    <w:pStyle w:val="38"/>
                    <w:rPr>
                      <w:snapToGrid w:val="0"/>
                    </w:rPr>
                  </w:pPr>
                  <w:r>
                    <w:rPr>
                      <w:snapToGrid w:val="0"/>
                      <w:spacing w:val="-1"/>
                    </w:rPr>
                    <w:t>中</w:t>
                  </w:r>
                  <w:r>
                    <w:rPr>
                      <w:rFonts w:eastAsia="Times New Roman"/>
                      <w:snapToGrid w:val="0"/>
                      <w:spacing w:val="-1"/>
                    </w:rPr>
                    <w:t>-</w:t>
                  </w:r>
                  <w:r>
                    <w:rPr>
                      <w:snapToGrid w:val="0"/>
                      <w:spacing w:val="-1"/>
                    </w:rPr>
                    <w:t>强</w:t>
                  </w:r>
                </w:p>
              </w:tc>
              <w:tc>
                <w:tcPr>
                  <w:tcW w:w="1082" w:type="dxa"/>
                  <w:vAlign w:val="center"/>
                </w:tcPr>
                <w:p>
                  <w:pPr>
                    <w:pStyle w:val="38"/>
                    <w:rPr>
                      <w:snapToGrid w:val="0"/>
                    </w:rPr>
                  </w:pPr>
                  <w:r>
                    <w:rPr>
                      <w:snapToGrid w:val="0"/>
                      <w:spacing w:val="1"/>
                    </w:rPr>
                    <w:t>难</w:t>
                  </w:r>
                </w:p>
              </w:tc>
              <w:tc>
                <w:tcPr>
                  <w:tcW w:w="1665" w:type="dxa"/>
                  <w:vMerge w:val="continue"/>
                  <w:vAlign w:val="center"/>
                </w:tcPr>
                <w:p>
                  <w:pPr>
                    <w:pStyle w:val="38"/>
                    <w:rPr>
                      <w:snapToGrid w:val="0"/>
                    </w:rPr>
                  </w:pPr>
                </w:p>
              </w:tc>
              <w:tc>
                <w:tcPr>
                  <w:tcW w:w="2857" w:type="dxa"/>
                  <w:vMerge w:val="continue"/>
                  <w:vAlign w:val="center"/>
                </w:tcPr>
                <w:p>
                  <w:pPr>
                    <w:pStyle w:val="38"/>
                    <w:rPr>
                      <w:snapToGrid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28" w:type="dxa"/>
                  <w:left w:w="0" w:type="dxa"/>
                  <w:bottom w:w="28" w:type="dxa"/>
                  <w:right w:w="0" w:type="dxa"/>
                </w:tblCellMar>
              </w:tblPrEx>
              <w:trPr>
                <w:trHeight w:val="20" w:hRule="atLeast"/>
                <w:jc w:val="center"/>
              </w:trPr>
              <w:tc>
                <w:tcPr>
                  <w:tcW w:w="1385" w:type="dxa"/>
                  <w:vMerge w:val="continue"/>
                  <w:vAlign w:val="center"/>
                </w:tcPr>
                <w:p>
                  <w:pPr>
                    <w:pStyle w:val="38"/>
                    <w:rPr>
                      <w:snapToGrid w:val="0"/>
                    </w:rPr>
                  </w:pPr>
                </w:p>
              </w:tc>
              <w:tc>
                <w:tcPr>
                  <w:tcW w:w="1357" w:type="dxa"/>
                  <w:vAlign w:val="center"/>
                </w:tcPr>
                <w:p>
                  <w:pPr>
                    <w:pStyle w:val="38"/>
                    <w:rPr>
                      <w:snapToGrid w:val="0"/>
                    </w:rPr>
                  </w:pPr>
                  <w:r>
                    <w:rPr>
                      <w:snapToGrid w:val="0"/>
                    </w:rPr>
                    <w:t>中</w:t>
                  </w:r>
                </w:p>
              </w:tc>
              <w:tc>
                <w:tcPr>
                  <w:tcW w:w="1082" w:type="dxa"/>
                  <w:vAlign w:val="center"/>
                </w:tcPr>
                <w:p>
                  <w:pPr>
                    <w:pStyle w:val="38"/>
                    <w:rPr>
                      <w:snapToGrid w:val="0"/>
                    </w:rPr>
                  </w:pPr>
                  <w:r>
                    <w:rPr>
                      <w:snapToGrid w:val="0"/>
                    </w:rPr>
                    <w:t>易</w:t>
                  </w:r>
                </w:p>
              </w:tc>
              <w:tc>
                <w:tcPr>
                  <w:tcW w:w="1665" w:type="dxa"/>
                  <w:vMerge w:val="restart"/>
                  <w:vAlign w:val="center"/>
                </w:tcPr>
                <w:p>
                  <w:pPr>
                    <w:pStyle w:val="38"/>
                    <w:rPr>
                      <w:snapToGrid w:val="0"/>
                    </w:rPr>
                  </w:pPr>
                  <w:r>
                    <w:rPr>
                      <w:snapToGrid w:val="0"/>
                      <w:spacing w:val="6"/>
                    </w:rPr>
                    <w:t>重</w:t>
                  </w:r>
                  <w:r>
                    <w:rPr>
                      <w:snapToGrid w:val="0"/>
                    </w:rPr>
                    <w:t>金</w:t>
                  </w:r>
                  <w:r>
                    <w:rPr>
                      <w:snapToGrid w:val="0"/>
                      <w:spacing w:val="3"/>
                    </w:rPr>
                    <w:t>属、持久性有</w:t>
                  </w:r>
                  <w:r>
                    <w:rPr>
                      <w:snapToGrid w:val="0"/>
                      <w:spacing w:val="9"/>
                    </w:rPr>
                    <w:t>机</w:t>
                  </w:r>
                  <w:r>
                    <w:rPr>
                      <w:snapToGrid w:val="0"/>
                      <w:spacing w:val="8"/>
                    </w:rPr>
                    <w:t>物污染物</w:t>
                  </w:r>
                </w:p>
              </w:tc>
              <w:tc>
                <w:tcPr>
                  <w:tcW w:w="2857" w:type="dxa"/>
                  <w:vMerge w:val="continue"/>
                  <w:vAlign w:val="center"/>
                </w:tcPr>
                <w:p>
                  <w:pPr>
                    <w:pStyle w:val="38"/>
                    <w:rPr>
                      <w:snapToGrid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28" w:type="dxa"/>
                  <w:left w:w="0" w:type="dxa"/>
                  <w:bottom w:w="28" w:type="dxa"/>
                  <w:right w:w="0" w:type="dxa"/>
                </w:tblCellMar>
              </w:tblPrEx>
              <w:trPr>
                <w:trHeight w:val="20" w:hRule="atLeast"/>
                <w:jc w:val="center"/>
              </w:trPr>
              <w:tc>
                <w:tcPr>
                  <w:tcW w:w="1385" w:type="dxa"/>
                  <w:vMerge w:val="continue"/>
                  <w:vAlign w:val="center"/>
                </w:tcPr>
                <w:p>
                  <w:pPr>
                    <w:pStyle w:val="38"/>
                    <w:rPr>
                      <w:snapToGrid w:val="0"/>
                    </w:rPr>
                  </w:pPr>
                </w:p>
              </w:tc>
              <w:tc>
                <w:tcPr>
                  <w:tcW w:w="1357" w:type="dxa"/>
                  <w:vAlign w:val="center"/>
                </w:tcPr>
                <w:p>
                  <w:pPr>
                    <w:pStyle w:val="38"/>
                    <w:rPr>
                      <w:snapToGrid w:val="0"/>
                    </w:rPr>
                  </w:pPr>
                  <w:r>
                    <w:rPr>
                      <w:snapToGrid w:val="0"/>
                    </w:rPr>
                    <w:t>强</w:t>
                  </w:r>
                </w:p>
              </w:tc>
              <w:tc>
                <w:tcPr>
                  <w:tcW w:w="1082" w:type="dxa"/>
                  <w:vAlign w:val="center"/>
                </w:tcPr>
                <w:p>
                  <w:pPr>
                    <w:pStyle w:val="38"/>
                    <w:rPr>
                      <w:snapToGrid w:val="0"/>
                    </w:rPr>
                  </w:pPr>
                  <w:r>
                    <w:rPr>
                      <w:snapToGrid w:val="0"/>
                    </w:rPr>
                    <w:t>易</w:t>
                  </w:r>
                </w:p>
              </w:tc>
              <w:tc>
                <w:tcPr>
                  <w:tcW w:w="1665" w:type="dxa"/>
                  <w:vMerge w:val="continue"/>
                  <w:vAlign w:val="center"/>
                </w:tcPr>
                <w:p>
                  <w:pPr>
                    <w:pStyle w:val="38"/>
                    <w:rPr>
                      <w:snapToGrid w:val="0"/>
                    </w:rPr>
                  </w:pPr>
                </w:p>
              </w:tc>
              <w:tc>
                <w:tcPr>
                  <w:tcW w:w="2857" w:type="dxa"/>
                  <w:vMerge w:val="continue"/>
                  <w:vAlign w:val="center"/>
                </w:tcPr>
                <w:p>
                  <w:pPr>
                    <w:pStyle w:val="38"/>
                    <w:rPr>
                      <w:snapToGrid w:val="0"/>
                    </w:rPr>
                  </w:pPr>
                </w:p>
              </w:tc>
            </w:tr>
          </w:tbl>
          <w:p>
            <w:pPr>
              <w:ind w:firstLine="536"/>
              <w:rPr>
                <w:snapToGrid w:val="0"/>
              </w:rPr>
            </w:pPr>
            <w:r>
              <w:rPr>
                <w:snapToGrid w:val="0"/>
                <w:spacing w:val="14"/>
              </w:rPr>
              <w:t>根据《</w:t>
            </w:r>
            <w:r>
              <w:rPr>
                <w:snapToGrid w:val="0"/>
              </w:rPr>
              <w:t>环境影响评价技术导则</w:t>
            </w:r>
            <w:r>
              <w:rPr>
                <w:rFonts w:hint="eastAsia"/>
                <w:snapToGrid w:val="0"/>
              </w:rPr>
              <w:t xml:space="preserve"> </w:t>
            </w:r>
            <w:r>
              <w:rPr>
                <w:snapToGrid w:val="0"/>
              </w:rPr>
              <w:t xml:space="preserve"> 地下水环境》（</w:t>
            </w:r>
            <w:r>
              <w:rPr>
                <w:rFonts w:eastAsia="Times New Roman"/>
                <w:snapToGrid w:val="0"/>
              </w:rPr>
              <w:t>HJ610-2016</w:t>
            </w:r>
            <w:r>
              <w:rPr>
                <w:snapToGrid w:val="0"/>
              </w:rPr>
              <w:t>）要求，结合本项目的</w:t>
            </w:r>
            <w:r>
              <w:rPr>
                <w:snapToGrid w:val="0"/>
                <w:spacing w:val="16"/>
              </w:rPr>
              <w:t>性</w:t>
            </w:r>
            <w:r>
              <w:rPr>
                <w:snapToGrid w:val="0"/>
              </w:rPr>
              <w:t>质，厂区分区防渗设置如下：</w:t>
            </w:r>
          </w:p>
          <w:p>
            <w:pPr>
              <w:spacing w:line="240" w:lineRule="auto"/>
              <w:ind w:firstLine="0" w:firstLineChars="0"/>
              <w:jc w:val="center"/>
              <w:textAlignment w:val="auto"/>
              <w:rPr>
                <w:b/>
                <w:bCs/>
                <w:sz w:val="21"/>
                <w:szCs w:val="21"/>
              </w:rPr>
            </w:pPr>
            <w:r>
              <w:rPr>
                <w:rFonts w:hint="eastAsia"/>
                <w:b/>
                <w:bCs/>
                <w:sz w:val="21"/>
                <w:szCs w:val="21"/>
              </w:rPr>
              <w:t>表4-</w:t>
            </w:r>
            <w:r>
              <w:rPr>
                <w:rFonts w:hint="eastAsia"/>
                <w:b/>
                <w:bCs/>
                <w:sz w:val="21"/>
                <w:szCs w:val="21"/>
                <w:lang w:val="en-US" w:eastAsia="zh-CN"/>
              </w:rPr>
              <w:t>10</w:t>
            </w:r>
            <w:r>
              <w:rPr>
                <w:b/>
                <w:bCs/>
                <w:sz w:val="21"/>
                <w:szCs w:val="21"/>
              </w:rPr>
              <w:t xml:space="preserve">  </w:t>
            </w:r>
            <w:r>
              <w:rPr>
                <w:rFonts w:hint="eastAsia"/>
                <w:b/>
                <w:bCs/>
                <w:color w:val="000000" w:themeColor="text1"/>
                <w:sz w:val="21"/>
                <w:szCs w:val="21"/>
                <w:lang w:val="zh-CN"/>
                <w14:textFill>
                  <w14:solidFill>
                    <w14:schemeClr w14:val="tx1"/>
                  </w14:solidFill>
                </w14:textFill>
              </w:rPr>
              <w:t>工程防渗措施要求一览表</w:t>
            </w:r>
          </w:p>
          <w:tbl>
            <w:tblPr>
              <w:tblStyle w:val="29"/>
              <w:tblW w:w="8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883"/>
              <w:gridCol w:w="4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45"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防渗分区</w:t>
                  </w:r>
                </w:p>
              </w:tc>
              <w:tc>
                <w:tcPr>
                  <w:tcW w:w="1883"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防渗区域</w:t>
                  </w:r>
                </w:p>
              </w:tc>
              <w:tc>
                <w:tcPr>
                  <w:tcW w:w="4718"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防渗要求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745"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一般防渗区</w:t>
                  </w:r>
                </w:p>
              </w:tc>
              <w:tc>
                <w:tcPr>
                  <w:tcW w:w="1883"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生产车间</w:t>
                  </w:r>
                </w:p>
              </w:tc>
              <w:tc>
                <w:tcPr>
                  <w:tcW w:w="4718"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设置等效黏土防渗层Mb≥1.5m，地面渗透系数≤10</w:t>
                  </w:r>
                  <w:r>
                    <w:rPr>
                      <w:rFonts w:cs="Times New Roman"/>
                      <w:sz w:val="21"/>
                      <w:szCs w:val="21"/>
                      <w:vertAlign w:val="superscript"/>
                    </w:rPr>
                    <w:t>-7</w:t>
                  </w:r>
                  <w:r>
                    <w:rPr>
                      <w:rFonts w:cs="Times New Roman"/>
                      <w:sz w:val="21"/>
                      <w:szCs w:val="21"/>
                    </w:rPr>
                    <w:t>cm/s的防渗层。</w:t>
                  </w:r>
                </w:p>
              </w:tc>
            </w:tr>
          </w:tbl>
          <w:p>
            <w:pPr>
              <w:ind w:firstLine="480"/>
              <w:textAlignment w:val="auto"/>
            </w:pPr>
            <w:r>
              <w:rPr>
                <w:rFonts w:hint="eastAsia"/>
              </w:rPr>
              <w:t>由上述措施可知，本项目针对可能造成地下水和土壤污染影响的各途径均进行有效预防，在确保各项防控措施得以落实，并加强环境管理的前提下，可有效杜绝地下水和土壤污染。</w:t>
            </w:r>
          </w:p>
          <w:p>
            <w:pPr>
              <w:ind w:firstLine="480"/>
              <w:textAlignment w:val="auto"/>
            </w:pPr>
            <w:r>
              <w:rPr>
                <w:rFonts w:hint="eastAsia"/>
              </w:rPr>
              <w:t>综上所述，本项目在采取上述防控措施后，可有效防止地下水和土壤的污染。</w:t>
            </w:r>
          </w:p>
          <w:p>
            <w:pPr>
              <w:pStyle w:val="4"/>
            </w:pPr>
            <w:r>
              <w:rPr>
                <w:rFonts w:hint="eastAsia"/>
              </w:rPr>
              <w:t>4</w:t>
            </w:r>
            <w:r>
              <w:t>.5</w:t>
            </w:r>
            <w:r>
              <w:rPr>
                <w:rFonts w:hint="eastAsia"/>
              </w:rPr>
              <w:t>生态环境</w:t>
            </w:r>
          </w:p>
          <w:p>
            <w:pPr>
              <w:ind w:firstLine="480"/>
              <w:textAlignment w:val="auto"/>
            </w:pPr>
            <w:r>
              <w:t>项目占地范围内无生态环境保护目标，无生态环境影响。</w:t>
            </w:r>
          </w:p>
          <w:p>
            <w:pPr>
              <w:pStyle w:val="4"/>
            </w:pPr>
            <w:r>
              <w:t>4.6</w:t>
            </w:r>
            <w:r>
              <w:rPr>
                <w:rFonts w:hint="eastAsia"/>
              </w:rPr>
              <w:t>环境风险</w:t>
            </w:r>
          </w:p>
          <w:p>
            <w:pPr>
              <w:pStyle w:val="4"/>
              <w:framePr w:hSpace="0" w:wrap="auto" w:vAnchor="margin" w:hAnchor="text" w:xAlign="left" w:yAlign="inline"/>
            </w:pPr>
            <w:r>
              <w:rPr>
                <w:rFonts w:hint="eastAsia"/>
              </w:rPr>
              <w:t>4.</w:t>
            </w:r>
            <w:r>
              <w:t>6</w:t>
            </w:r>
            <w:r>
              <w:rPr>
                <w:rFonts w:hint="eastAsia"/>
              </w:rPr>
              <w:t>.1风险调查</w:t>
            </w:r>
          </w:p>
          <w:p>
            <w:pPr>
              <w:ind w:firstLine="480"/>
            </w:pPr>
            <w:r>
              <w:rPr>
                <w:rFonts w:hint="eastAsia"/>
              </w:rPr>
              <w:t>（1）建设项目风险源调查</w:t>
            </w:r>
          </w:p>
          <w:p>
            <w:pPr>
              <w:ind w:firstLine="480"/>
            </w:pPr>
            <w:r>
              <w:rPr>
                <w:rFonts w:hint="eastAsia"/>
              </w:rPr>
              <w:t>对照《建设项目环境风险评价技术导则》（HJ169-2018）附录B，本项目生产、使用、储存过程中涉及的危险物质数量与临界量的比值Q见下表。</w:t>
            </w:r>
          </w:p>
          <w:p>
            <w:pPr>
              <w:ind w:firstLine="480"/>
            </w:pPr>
            <w:r>
              <w:rPr>
                <w:rFonts w:hint="eastAsia"/>
              </w:rPr>
              <w:t>（2）环境敏感目标调查</w:t>
            </w:r>
          </w:p>
          <w:p>
            <w:pPr>
              <w:ind w:firstLine="480"/>
            </w:pPr>
            <w:r>
              <w:rPr>
                <w:rFonts w:hint="eastAsia"/>
              </w:rPr>
              <w:t>本项目环境风险评价范围内无自然保护区、风景名胜区、水源地等环境风险敏感目标。</w:t>
            </w:r>
          </w:p>
          <w:p>
            <w:pPr>
              <w:pStyle w:val="4"/>
              <w:framePr w:hSpace="0" w:wrap="auto" w:vAnchor="margin" w:hAnchor="text" w:xAlign="left" w:yAlign="inline"/>
            </w:pPr>
            <w:r>
              <w:rPr>
                <w:rFonts w:hint="eastAsia"/>
              </w:rPr>
              <w:t>4.</w:t>
            </w:r>
            <w:r>
              <w:t>6</w:t>
            </w:r>
            <w:r>
              <w:rPr>
                <w:rFonts w:hint="eastAsia"/>
              </w:rPr>
              <w:t>.2环境风险评价等级</w:t>
            </w:r>
          </w:p>
          <w:p>
            <w:pPr>
              <w:ind w:firstLine="480"/>
              <w:textAlignment w:val="auto"/>
            </w:pPr>
            <w:r>
              <w:rPr>
                <w:rFonts w:hint="eastAsia"/>
              </w:rPr>
              <w:t>根据《建设项目环境风险评价技术导则》（HJ169-2018）项目风险物质为废机油。风险源情况详见下表4</w:t>
            </w:r>
            <w:r>
              <w:t>-1</w:t>
            </w:r>
            <w:r>
              <w:rPr>
                <w:rFonts w:hint="eastAsia"/>
                <w:lang w:val="en-US" w:eastAsia="zh-CN"/>
              </w:rPr>
              <w:t>1</w:t>
            </w:r>
            <w:r>
              <w:rPr>
                <w:rFonts w:hint="eastAsia"/>
              </w:rPr>
              <w:t>。</w:t>
            </w:r>
          </w:p>
          <w:p>
            <w:pPr>
              <w:spacing w:line="240" w:lineRule="auto"/>
              <w:ind w:firstLine="211" w:firstLineChars="100"/>
              <w:jc w:val="center"/>
              <w:textAlignment w:val="auto"/>
              <w:rPr>
                <w:b/>
                <w:bCs/>
                <w:sz w:val="21"/>
                <w:szCs w:val="21"/>
              </w:rPr>
            </w:pPr>
            <w:r>
              <w:rPr>
                <w:rFonts w:hint="eastAsia"/>
                <w:b/>
                <w:bCs/>
                <w:sz w:val="21"/>
                <w:szCs w:val="21"/>
              </w:rPr>
              <w:t>表4-1</w:t>
            </w:r>
            <w:r>
              <w:rPr>
                <w:rFonts w:hint="eastAsia"/>
                <w:b/>
                <w:bCs/>
                <w:sz w:val="21"/>
                <w:szCs w:val="21"/>
                <w:lang w:val="en-US" w:eastAsia="zh-CN"/>
              </w:rPr>
              <w:t>1</w:t>
            </w:r>
            <w:r>
              <w:rPr>
                <w:b/>
                <w:bCs/>
                <w:sz w:val="21"/>
                <w:szCs w:val="21"/>
              </w:rPr>
              <w:t xml:space="preserve">  </w:t>
            </w:r>
            <w:r>
              <w:rPr>
                <w:rFonts w:hint="eastAsia"/>
                <w:b/>
                <w:bCs/>
                <w:sz w:val="21"/>
                <w:szCs w:val="21"/>
              </w:rPr>
              <w:t>危险化学品临界量一览表</w:t>
            </w:r>
          </w:p>
          <w:tbl>
            <w:tblPr>
              <w:tblStyle w:val="29"/>
              <w:tblW w:w="834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22"/>
              <w:gridCol w:w="1149"/>
              <w:gridCol w:w="1850"/>
              <w:gridCol w:w="1850"/>
              <w:gridCol w:w="1217"/>
              <w:gridCol w:w="16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28" w:hRule="exact"/>
                <w:jc w:val="center"/>
              </w:trPr>
              <w:tc>
                <w:tcPr>
                  <w:tcW w:w="622" w:type="dxa"/>
                  <w:vAlign w:val="center"/>
                </w:tcPr>
                <w:p>
                  <w:pPr>
                    <w:spacing w:line="240" w:lineRule="auto"/>
                    <w:ind w:firstLine="0" w:firstLineChars="0"/>
                    <w:jc w:val="center"/>
                    <w:textAlignment w:val="auto"/>
                    <w:rPr>
                      <w:sz w:val="21"/>
                      <w:szCs w:val="21"/>
                    </w:rPr>
                  </w:pPr>
                  <w:r>
                    <w:rPr>
                      <w:rFonts w:hint="eastAsia"/>
                      <w:sz w:val="21"/>
                      <w:szCs w:val="21"/>
                    </w:rPr>
                    <w:t>序号</w:t>
                  </w:r>
                </w:p>
              </w:tc>
              <w:tc>
                <w:tcPr>
                  <w:tcW w:w="1149" w:type="dxa"/>
                  <w:vAlign w:val="center"/>
                </w:tcPr>
                <w:p>
                  <w:pPr>
                    <w:spacing w:line="240" w:lineRule="auto"/>
                    <w:ind w:firstLine="0" w:firstLineChars="0"/>
                    <w:jc w:val="center"/>
                    <w:textAlignment w:val="auto"/>
                    <w:rPr>
                      <w:sz w:val="21"/>
                      <w:szCs w:val="21"/>
                    </w:rPr>
                  </w:pPr>
                  <w:r>
                    <w:rPr>
                      <w:rFonts w:hint="eastAsia"/>
                      <w:sz w:val="21"/>
                      <w:szCs w:val="21"/>
                    </w:rPr>
                    <w:t>环境风险物质</w:t>
                  </w:r>
                </w:p>
              </w:tc>
              <w:tc>
                <w:tcPr>
                  <w:tcW w:w="1850" w:type="dxa"/>
                </w:tcPr>
                <w:p>
                  <w:pPr>
                    <w:spacing w:line="240" w:lineRule="auto"/>
                    <w:ind w:firstLine="0" w:firstLineChars="0"/>
                    <w:jc w:val="center"/>
                    <w:textAlignment w:val="auto"/>
                    <w:rPr>
                      <w:sz w:val="21"/>
                      <w:szCs w:val="21"/>
                    </w:rPr>
                  </w:pPr>
                  <w:r>
                    <w:rPr>
                      <w:rFonts w:hint="eastAsia"/>
                      <w:sz w:val="21"/>
                      <w:szCs w:val="21"/>
                    </w:rPr>
                    <w:t>CAS号</w:t>
                  </w:r>
                </w:p>
              </w:tc>
              <w:tc>
                <w:tcPr>
                  <w:tcW w:w="1850" w:type="dxa"/>
                  <w:vAlign w:val="center"/>
                </w:tcPr>
                <w:p>
                  <w:pPr>
                    <w:spacing w:line="240" w:lineRule="auto"/>
                    <w:ind w:firstLine="0" w:firstLineChars="0"/>
                    <w:jc w:val="center"/>
                    <w:textAlignment w:val="auto"/>
                    <w:rPr>
                      <w:sz w:val="21"/>
                      <w:szCs w:val="21"/>
                    </w:rPr>
                  </w:pPr>
                  <w:r>
                    <w:rPr>
                      <w:rFonts w:hint="eastAsia"/>
                      <w:sz w:val="21"/>
                      <w:szCs w:val="21"/>
                    </w:rPr>
                    <w:t>储存量（q）</w:t>
                  </w:r>
                </w:p>
              </w:tc>
              <w:tc>
                <w:tcPr>
                  <w:tcW w:w="1217" w:type="dxa"/>
                  <w:vAlign w:val="center"/>
                </w:tcPr>
                <w:p>
                  <w:pPr>
                    <w:spacing w:line="240" w:lineRule="auto"/>
                    <w:ind w:firstLine="0" w:firstLineChars="0"/>
                    <w:jc w:val="center"/>
                    <w:textAlignment w:val="auto"/>
                    <w:rPr>
                      <w:sz w:val="21"/>
                      <w:szCs w:val="21"/>
                    </w:rPr>
                  </w:pPr>
                  <w:r>
                    <w:rPr>
                      <w:rFonts w:hint="eastAsia"/>
                      <w:sz w:val="21"/>
                      <w:szCs w:val="21"/>
                    </w:rPr>
                    <w:t>临界量（Q）</w:t>
                  </w:r>
                </w:p>
              </w:tc>
              <w:tc>
                <w:tcPr>
                  <w:tcW w:w="1658" w:type="dxa"/>
                  <w:vAlign w:val="center"/>
                </w:tcPr>
                <w:p>
                  <w:pPr>
                    <w:spacing w:line="240" w:lineRule="auto"/>
                    <w:ind w:firstLine="0" w:firstLineChars="0"/>
                    <w:jc w:val="center"/>
                    <w:textAlignment w:val="auto"/>
                    <w:rPr>
                      <w:sz w:val="21"/>
                      <w:szCs w:val="21"/>
                    </w:rPr>
                  </w:pPr>
                  <w:r>
                    <w:rPr>
                      <w:rFonts w:hint="eastAsia"/>
                      <w:sz w:val="21"/>
                      <w:szCs w:val="21"/>
                    </w:rPr>
                    <w:t>q比值（Q）</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3" w:hRule="exact"/>
                <w:jc w:val="center"/>
              </w:trPr>
              <w:tc>
                <w:tcPr>
                  <w:tcW w:w="622" w:type="dxa"/>
                  <w:vAlign w:val="center"/>
                </w:tcPr>
                <w:p>
                  <w:pPr>
                    <w:spacing w:line="240" w:lineRule="auto"/>
                    <w:ind w:firstLine="0" w:firstLineChars="0"/>
                    <w:jc w:val="center"/>
                    <w:textAlignment w:val="auto"/>
                    <w:rPr>
                      <w:sz w:val="21"/>
                      <w:szCs w:val="21"/>
                    </w:rPr>
                  </w:pPr>
                  <w:r>
                    <w:rPr>
                      <w:sz w:val="21"/>
                      <w:szCs w:val="21"/>
                    </w:rPr>
                    <w:t>1</w:t>
                  </w:r>
                </w:p>
              </w:tc>
              <w:tc>
                <w:tcPr>
                  <w:tcW w:w="1149" w:type="dxa"/>
                  <w:vAlign w:val="center"/>
                </w:tcPr>
                <w:p>
                  <w:pPr>
                    <w:spacing w:line="240" w:lineRule="auto"/>
                    <w:ind w:firstLine="0" w:firstLineChars="0"/>
                    <w:jc w:val="center"/>
                    <w:textAlignment w:val="auto"/>
                    <w:rPr>
                      <w:sz w:val="21"/>
                      <w:szCs w:val="21"/>
                    </w:rPr>
                  </w:pPr>
                  <w:r>
                    <w:rPr>
                      <w:rFonts w:hint="eastAsia"/>
                      <w:sz w:val="21"/>
                      <w:szCs w:val="21"/>
                    </w:rPr>
                    <w:t>废机油</w:t>
                  </w:r>
                </w:p>
              </w:tc>
              <w:tc>
                <w:tcPr>
                  <w:tcW w:w="1850" w:type="dxa"/>
                </w:tcPr>
                <w:p>
                  <w:pPr>
                    <w:spacing w:line="240" w:lineRule="auto"/>
                    <w:ind w:firstLine="0" w:firstLineChars="0"/>
                    <w:jc w:val="center"/>
                    <w:textAlignment w:val="auto"/>
                    <w:rPr>
                      <w:sz w:val="21"/>
                      <w:szCs w:val="21"/>
                    </w:rPr>
                  </w:pPr>
                  <w:r>
                    <w:rPr>
                      <w:rFonts w:hint="eastAsia"/>
                      <w:sz w:val="21"/>
                      <w:szCs w:val="21"/>
                    </w:rPr>
                    <w:t>/</w:t>
                  </w:r>
                </w:p>
              </w:tc>
              <w:tc>
                <w:tcPr>
                  <w:tcW w:w="1850" w:type="dxa"/>
                  <w:vAlign w:val="center"/>
                </w:tcPr>
                <w:p>
                  <w:pPr>
                    <w:spacing w:line="240" w:lineRule="auto"/>
                    <w:ind w:firstLine="0" w:firstLineChars="0"/>
                    <w:jc w:val="center"/>
                    <w:textAlignment w:val="auto"/>
                    <w:rPr>
                      <w:sz w:val="21"/>
                      <w:szCs w:val="21"/>
                    </w:rPr>
                  </w:pPr>
                  <w:r>
                    <w:rPr>
                      <w:rFonts w:hint="eastAsia"/>
                      <w:sz w:val="21"/>
                      <w:szCs w:val="21"/>
                    </w:rPr>
                    <w:t>0.1t</w:t>
                  </w:r>
                </w:p>
              </w:tc>
              <w:tc>
                <w:tcPr>
                  <w:tcW w:w="1217" w:type="dxa"/>
                  <w:vAlign w:val="center"/>
                </w:tcPr>
                <w:p>
                  <w:pPr>
                    <w:spacing w:line="240" w:lineRule="auto"/>
                    <w:ind w:firstLine="0" w:firstLineChars="0"/>
                    <w:jc w:val="center"/>
                    <w:textAlignment w:val="auto"/>
                    <w:rPr>
                      <w:sz w:val="21"/>
                      <w:szCs w:val="21"/>
                    </w:rPr>
                  </w:pPr>
                  <w:r>
                    <w:rPr>
                      <w:rFonts w:hint="eastAsia"/>
                      <w:sz w:val="21"/>
                      <w:szCs w:val="21"/>
                    </w:rPr>
                    <w:t>5000</w:t>
                  </w:r>
                </w:p>
              </w:tc>
              <w:tc>
                <w:tcPr>
                  <w:tcW w:w="1658" w:type="dxa"/>
                  <w:vAlign w:val="center"/>
                </w:tcPr>
                <w:p>
                  <w:pPr>
                    <w:spacing w:line="240" w:lineRule="auto"/>
                    <w:ind w:firstLine="0" w:firstLineChars="0"/>
                    <w:jc w:val="center"/>
                    <w:textAlignment w:val="auto"/>
                    <w:rPr>
                      <w:sz w:val="21"/>
                      <w:szCs w:val="21"/>
                    </w:rPr>
                  </w:pPr>
                  <w:r>
                    <w:rPr>
                      <w:sz w:val="21"/>
                      <w:szCs w:val="21"/>
                    </w:rPr>
                    <w:t>0.00</w:t>
                  </w:r>
                  <w:r>
                    <w:rPr>
                      <w:rFonts w:hint="eastAsia"/>
                      <w:sz w:val="21"/>
                      <w:szCs w:val="21"/>
                    </w:rPr>
                    <w:t>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3" w:hRule="exact"/>
                <w:jc w:val="center"/>
              </w:trPr>
              <w:tc>
                <w:tcPr>
                  <w:tcW w:w="6688" w:type="dxa"/>
                  <w:gridSpan w:val="5"/>
                  <w:vAlign w:val="center"/>
                </w:tcPr>
                <w:p>
                  <w:pPr>
                    <w:spacing w:line="240" w:lineRule="auto"/>
                    <w:ind w:firstLine="0" w:firstLineChars="0"/>
                    <w:jc w:val="center"/>
                    <w:textAlignment w:val="auto"/>
                    <w:rPr>
                      <w:sz w:val="21"/>
                      <w:szCs w:val="21"/>
                    </w:rPr>
                  </w:pPr>
                  <w:r>
                    <w:rPr>
                      <w:rFonts w:hint="eastAsia"/>
                      <w:sz w:val="21"/>
                      <w:szCs w:val="21"/>
                    </w:rPr>
                    <w:t>合计</w:t>
                  </w:r>
                </w:p>
              </w:tc>
              <w:tc>
                <w:tcPr>
                  <w:tcW w:w="1658" w:type="dxa"/>
                  <w:vAlign w:val="center"/>
                </w:tcPr>
                <w:p>
                  <w:pPr>
                    <w:spacing w:line="240" w:lineRule="auto"/>
                    <w:ind w:firstLine="0" w:firstLineChars="0"/>
                    <w:jc w:val="center"/>
                    <w:textAlignment w:val="auto"/>
                    <w:rPr>
                      <w:sz w:val="21"/>
                      <w:szCs w:val="21"/>
                    </w:rPr>
                  </w:pPr>
                  <w:r>
                    <w:rPr>
                      <w:sz w:val="21"/>
                      <w:szCs w:val="21"/>
                    </w:rPr>
                    <w:t>0.00</w:t>
                  </w:r>
                  <w:r>
                    <w:rPr>
                      <w:rFonts w:hint="eastAsia"/>
                      <w:sz w:val="21"/>
                      <w:szCs w:val="21"/>
                    </w:rPr>
                    <w:t>004</w:t>
                  </w:r>
                </w:p>
              </w:tc>
            </w:tr>
          </w:tbl>
          <w:p>
            <w:pPr>
              <w:ind w:firstLine="480"/>
              <w:textAlignment w:val="auto"/>
              <w:rPr>
                <w:rFonts w:hint="eastAsia"/>
              </w:rPr>
            </w:pPr>
            <w:r>
              <w:rPr>
                <w:rFonts w:cs="Times New Roman"/>
              </w:rPr>
              <w:t>根据危险物质数量与临界量比值，确定Q=0.00</w:t>
            </w:r>
            <w:r>
              <w:rPr>
                <w:rFonts w:hint="eastAsia" w:cs="Times New Roman"/>
              </w:rPr>
              <w:t>004</w:t>
            </w:r>
            <w:r>
              <w:rPr>
                <w:rFonts w:cs="Times New Roman"/>
              </w:rPr>
              <w:t>＜1。当Q＜1时，该项目风险期潜势为Ⅰ，风险期潜势为Ⅰ时，环境风险评价工作等级为简单分析</w:t>
            </w:r>
            <w:r>
              <w:rPr>
                <w:rFonts w:hint="eastAsia"/>
              </w:rPr>
              <w:t>。</w:t>
            </w:r>
          </w:p>
          <w:p>
            <w:pPr>
              <w:pStyle w:val="4"/>
              <w:framePr w:hSpace="0" w:wrap="auto" w:vAnchor="margin" w:hAnchor="text" w:xAlign="left" w:yAlign="inline"/>
            </w:pPr>
            <w:r>
              <w:t>4.6.3环境风险影响分析</w:t>
            </w:r>
          </w:p>
          <w:p>
            <w:pPr>
              <w:ind w:firstLine="480"/>
            </w:pPr>
            <w:r>
              <w:rPr>
                <w:rFonts w:hint="eastAsia"/>
              </w:rPr>
              <w:t>根据生产情况，本项目生产过程中释放风险物质的扩散途径及环境影响情况见下表。</w:t>
            </w:r>
          </w:p>
          <w:p>
            <w:pPr>
              <w:spacing w:line="240" w:lineRule="auto"/>
              <w:ind w:firstLine="211" w:firstLineChars="100"/>
              <w:jc w:val="center"/>
              <w:textAlignment w:val="auto"/>
              <w:rPr>
                <w:b/>
                <w:bCs/>
                <w:sz w:val="21"/>
                <w:szCs w:val="21"/>
              </w:rPr>
            </w:pPr>
            <w:r>
              <w:rPr>
                <w:rFonts w:hint="eastAsia"/>
                <w:b/>
                <w:bCs/>
                <w:sz w:val="21"/>
                <w:szCs w:val="21"/>
              </w:rPr>
              <w:t>表4-1</w:t>
            </w:r>
            <w:r>
              <w:rPr>
                <w:rFonts w:hint="eastAsia"/>
                <w:b/>
                <w:bCs/>
                <w:sz w:val="21"/>
                <w:szCs w:val="21"/>
                <w:lang w:val="en-US" w:eastAsia="zh-CN"/>
              </w:rPr>
              <w:t>2</w:t>
            </w:r>
            <w:r>
              <w:rPr>
                <w:b/>
                <w:bCs/>
                <w:sz w:val="21"/>
                <w:szCs w:val="21"/>
              </w:rPr>
              <w:t xml:space="preserve">  </w:t>
            </w:r>
            <w:r>
              <w:rPr>
                <w:rFonts w:hint="eastAsia"/>
                <w:b/>
                <w:bCs/>
                <w:sz w:val="21"/>
                <w:szCs w:val="21"/>
              </w:rPr>
              <w:t>本项目风险物质的扩散途径及环境影响一览</w:t>
            </w:r>
          </w:p>
          <w:tbl>
            <w:tblPr>
              <w:tblStyle w:val="30"/>
              <w:tblW w:w="8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2083"/>
              <w:gridCol w:w="1391"/>
              <w:gridCol w:w="3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pStyle w:val="2"/>
                    <w:framePr w:hSpace="0" w:wrap="auto" w:vAnchor="margin" w:hAnchor="text" w:xAlign="left" w:yAlign="inline"/>
                    <w:spacing w:line="240" w:lineRule="auto"/>
                    <w:rPr>
                      <w:sz w:val="21"/>
                      <w:szCs w:val="21"/>
                    </w:rPr>
                  </w:pPr>
                  <w:r>
                    <w:rPr>
                      <w:sz w:val="21"/>
                      <w:szCs w:val="21"/>
                    </w:rPr>
                    <w:t>序号</w:t>
                  </w:r>
                </w:p>
              </w:tc>
              <w:tc>
                <w:tcPr>
                  <w:tcW w:w="2083" w:type="dxa"/>
                  <w:vAlign w:val="center"/>
                </w:tcPr>
                <w:p>
                  <w:pPr>
                    <w:pStyle w:val="2"/>
                    <w:framePr w:hSpace="0" w:wrap="auto" w:vAnchor="margin" w:hAnchor="text" w:xAlign="left" w:yAlign="inline"/>
                    <w:spacing w:line="240" w:lineRule="auto"/>
                    <w:rPr>
                      <w:sz w:val="21"/>
                      <w:szCs w:val="21"/>
                    </w:rPr>
                  </w:pPr>
                  <w:r>
                    <w:rPr>
                      <w:sz w:val="21"/>
                      <w:szCs w:val="21"/>
                    </w:rPr>
                    <w:t>环境风险单元</w:t>
                  </w:r>
                </w:p>
              </w:tc>
              <w:tc>
                <w:tcPr>
                  <w:tcW w:w="1391" w:type="dxa"/>
                  <w:vAlign w:val="center"/>
                </w:tcPr>
                <w:p>
                  <w:pPr>
                    <w:pStyle w:val="2"/>
                    <w:framePr w:hSpace="0" w:wrap="auto" w:vAnchor="margin" w:hAnchor="text" w:xAlign="left" w:yAlign="inline"/>
                    <w:spacing w:line="240" w:lineRule="auto"/>
                    <w:rPr>
                      <w:sz w:val="21"/>
                      <w:szCs w:val="21"/>
                    </w:rPr>
                  </w:pPr>
                  <w:r>
                    <w:rPr>
                      <w:sz w:val="21"/>
                      <w:szCs w:val="21"/>
                    </w:rPr>
                    <w:t>涉及物质</w:t>
                  </w:r>
                </w:p>
              </w:tc>
              <w:tc>
                <w:tcPr>
                  <w:tcW w:w="3902" w:type="dxa"/>
                  <w:vAlign w:val="center"/>
                </w:tcPr>
                <w:p>
                  <w:pPr>
                    <w:pStyle w:val="2"/>
                    <w:framePr w:hSpace="0" w:wrap="auto" w:vAnchor="margin" w:hAnchor="text" w:xAlign="left" w:yAlign="inline"/>
                    <w:spacing w:line="240" w:lineRule="auto"/>
                    <w:rPr>
                      <w:sz w:val="21"/>
                      <w:szCs w:val="21"/>
                    </w:rPr>
                  </w:pPr>
                  <w:r>
                    <w:rPr>
                      <w:sz w:val="21"/>
                      <w:szCs w:val="21"/>
                    </w:rPr>
                    <w:t>扩散途径及环境影响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70" w:type="dxa"/>
                  <w:vAlign w:val="center"/>
                </w:tcPr>
                <w:p>
                  <w:pPr>
                    <w:pStyle w:val="2"/>
                    <w:framePr w:hSpace="0" w:wrap="auto" w:vAnchor="margin" w:hAnchor="text" w:xAlign="left" w:yAlign="inline"/>
                    <w:spacing w:line="240" w:lineRule="auto"/>
                    <w:rPr>
                      <w:sz w:val="21"/>
                      <w:szCs w:val="21"/>
                    </w:rPr>
                  </w:pPr>
                  <w:r>
                    <w:rPr>
                      <w:sz w:val="21"/>
                      <w:szCs w:val="21"/>
                    </w:rPr>
                    <w:t>1</w:t>
                  </w:r>
                </w:p>
              </w:tc>
              <w:tc>
                <w:tcPr>
                  <w:tcW w:w="2083" w:type="dxa"/>
                  <w:vAlign w:val="center"/>
                </w:tcPr>
                <w:p>
                  <w:pPr>
                    <w:pStyle w:val="2"/>
                    <w:framePr w:hSpace="0" w:wrap="auto" w:vAnchor="margin" w:hAnchor="text" w:xAlign="left" w:yAlign="inline"/>
                    <w:spacing w:line="240" w:lineRule="auto"/>
                    <w:rPr>
                      <w:rFonts w:hint="default"/>
                      <w:sz w:val="21"/>
                      <w:szCs w:val="21"/>
                    </w:rPr>
                  </w:pPr>
                  <w:r>
                    <w:rPr>
                      <w:rFonts w:hint="default"/>
                      <w:sz w:val="21"/>
                      <w:szCs w:val="21"/>
                      <w:lang w:eastAsia="zh-CN"/>
                    </w:rPr>
                    <w:t>危险废物贮存点</w:t>
                  </w:r>
                </w:p>
              </w:tc>
              <w:tc>
                <w:tcPr>
                  <w:tcW w:w="1391" w:type="dxa"/>
                  <w:vAlign w:val="center"/>
                </w:tcPr>
                <w:p>
                  <w:pPr>
                    <w:pStyle w:val="2"/>
                    <w:framePr w:hSpace="0" w:wrap="auto" w:vAnchor="margin" w:hAnchor="text" w:xAlign="left" w:yAlign="inline"/>
                    <w:spacing w:line="240" w:lineRule="auto"/>
                    <w:rPr>
                      <w:sz w:val="21"/>
                      <w:szCs w:val="21"/>
                    </w:rPr>
                  </w:pPr>
                  <w:r>
                    <w:rPr>
                      <w:rFonts w:hint="eastAsia"/>
                      <w:sz w:val="21"/>
                      <w:szCs w:val="21"/>
                    </w:rPr>
                    <w:t>危险废物（废机油）</w:t>
                  </w:r>
                </w:p>
              </w:tc>
              <w:tc>
                <w:tcPr>
                  <w:tcW w:w="3902" w:type="dxa"/>
                  <w:vAlign w:val="center"/>
                </w:tcPr>
                <w:p>
                  <w:pPr>
                    <w:pStyle w:val="2"/>
                    <w:framePr w:hSpace="0" w:wrap="auto" w:vAnchor="margin" w:hAnchor="text" w:xAlign="left" w:yAlign="inline"/>
                    <w:spacing w:line="240" w:lineRule="auto"/>
                    <w:rPr>
                      <w:sz w:val="21"/>
                      <w:szCs w:val="21"/>
                    </w:rPr>
                  </w:pPr>
                  <w:r>
                    <w:rPr>
                      <w:rFonts w:hint="default"/>
                      <w:sz w:val="21"/>
                      <w:szCs w:val="21"/>
                      <w:lang w:eastAsia="zh-CN"/>
                    </w:rPr>
                    <w:t>危险废物贮存点</w:t>
                  </w:r>
                  <w:r>
                    <w:rPr>
                      <w:rFonts w:hint="eastAsia"/>
                      <w:sz w:val="21"/>
                      <w:szCs w:val="21"/>
                    </w:rPr>
                    <w:t>发生火灾，污染大气，消防水影响水环境；静电等导致危废起火，发生火灾，污染大气，消防水影响水环境</w:t>
                  </w:r>
                </w:p>
              </w:tc>
            </w:tr>
          </w:tbl>
          <w:p>
            <w:pPr>
              <w:bidi w:val="0"/>
            </w:pPr>
            <w:r>
              <w:rPr>
                <w:rFonts w:hint="eastAsia"/>
                <w:lang w:val="en-US" w:eastAsia="zh-CN"/>
              </w:rPr>
              <w:t>项目产生的废机油暂存在危废间，定期委托有资质的单位清运处置，经妥善处置后，不会对环境造成影响。</w:t>
            </w:r>
          </w:p>
          <w:p>
            <w:pPr>
              <w:pStyle w:val="4"/>
              <w:framePr w:hSpace="0" w:wrap="auto" w:vAnchor="margin" w:hAnchor="text" w:xAlign="left" w:yAlign="inline"/>
            </w:pPr>
            <w:r>
              <w:t>4.6.4</w:t>
            </w:r>
            <w:r>
              <w:rPr>
                <w:rFonts w:hint="eastAsia"/>
              </w:rPr>
              <w:t>环境风险防范措施及应急要求</w:t>
            </w:r>
          </w:p>
          <w:p>
            <w:pPr>
              <w:ind w:firstLine="480"/>
            </w:pPr>
            <w:r>
              <w:rPr>
                <w:rFonts w:hint="eastAsia"/>
              </w:rPr>
              <w:t>针对企业可能产生的环境风险隐患，采取一系列方法措施。为进一步减少环境风险可能产生的环境影响，在采取预防措施基础上加强以下风险防范和管理措施：</w:t>
            </w:r>
          </w:p>
          <w:p>
            <w:pPr>
              <w:bidi w:val="0"/>
              <w:rPr>
                <w:rFonts w:hint="eastAsia"/>
              </w:rPr>
            </w:pPr>
            <w:r>
              <w:rPr>
                <w:rFonts w:hint="eastAsia"/>
                <w:lang w:val="en-US" w:eastAsia="zh-CN"/>
              </w:rPr>
              <w:t>一、风险防范与管理措施​</w:t>
            </w:r>
          </w:p>
          <w:p>
            <w:pPr>
              <w:bidi w:val="0"/>
              <w:rPr>
                <w:rFonts w:hint="eastAsia"/>
              </w:rPr>
            </w:pPr>
            <w:r>
              <w:rPr>
                <w:rFonts w:hint="eastAsia"/>
                <w:lang w:val="en-US" w:eastAsia="zh-CN"/>
              </w:rPr>
              <w:t>1.建立科学完善的生产操作规程和安全管理体系，明确各车间、工段的生产及安全管理责任，配备专职专业人员负责日常监督，严格控制关键工艺指标（如胶粘剂配比、设备运行参数等），确保生产过程稳定可控。</w:t>
            </w:r>
          </w:p>
          <w:p>
            <w:pPr>
              <w:bidi w:val="0"/>
              <w:rPr>
                <w:rFonts w:hint="eastAsia"/>
              </w:rPr>
            </w:pPr>
            <w:r>
              <w:rPr>
                <w:rFonts w:hint="eastAsia"/>
                <w:lang w:val="en-US" w:eastAsia="zh-CN"/>
              </w:rPr>
              <w:t>2.系统开展多维度安全教育，包括全员基础安全教育、特殊工种专项培训、日常定期安全教育、装置开工前专项培训及外来人员入场教育。重点培训内容涵盖：原材料（如砂管纸、胶粘剂）及废料的物理化学特性、毒性参数、防护措施及环境影响；应急处置流程及个人防护设备的使用方法。</w:t>
            </w:r>
          </w:p>
          <w:p>
            <w:pPr>
              <w:bidi w:val="0"/>
              <w:rPr>
                <w:rFonts w:hint="eastAsia"/>
              </w:rPr>
            </w:pPr>
            <w:r>
              <w:rPr>
                <w:rFonts w:hint="eastAsia"/>
                <w:lang w:val="en-US" w:eastAsia="zh-CN"/>
              </w:rPr>
              <w:t>3.生产车间、原料仓库、胶粘剂储存区等重点场所设专人值守，每日检查设备运行状态，定期对卷管机、切断装置、输送设备等进行维护保养，及时更换老化部件，防止因设备故障引发泄漏或机械火花。​</w:t>
            </w:r>
          </w:p>
          <w:p>
            <w:pPr>
              <w:bidi w:val="0"/>
              <w:rPr>
                <w:rFonts w:hint="eastAsia"/>
              </w:rPr>
            </w:pPr>
            <w:r>
              <w:rPr>
                <w:rFonts w:hint="eastAsia"/>
                <w:lang w:val="en-US" w:eastAsia="zh-CN"/>
              </w:rPr>
              <w:t>4.​原料装卸时严格执行 “轻搬轻放”原则，禁止撞击、抛掷，作业工具采用铜制等不产生火花的材质；作业区域远离热源、火源。​</w:t>
            </w:r>
          </w:p>
          <w:p>
            <w:pPr>
              <w:bidi w:val="0"/>
              <w:rPr>
                <w:rFonts w:hint="eastAsia"/>
              </w:rPr>
            </w:pPr>
            <w:r>
              <w:rPr>
                <w:rFonts w:hint="eastAsia"/>
                <w:lang w:val="en-US" w:eastAsia="zh-CN"/>
              </w:rPr>
              <w:t>5.保持厂区消防通道、车间安全出口24小时畅通，严禁堆放杂物；车间疏散门需采用向外开启的平开门，且处于常闭状态（非锁闭），确保紧急情况下可快速开启，并配备吸附棉、沙袋等泄漏控制物资，收集的泄漏物需交由有资质单位合规处置。​</w:t>
            </w:r>
          </w:p>
          <w:p>
            <w:pPr>
              <w:bidi w:val="0"/>
              <w:rPr>
                <w:rFonts w:hint="eastAsia"/>
              </w:rPr>
            </w:pPr>
            <w:r>
              <w:rPr>
                <w:rFonts w:hint="eastAsia"/>
                <w:lang w:val="en-US" w:eastAsia="zh-CN"/>
              </w:rPr>
              <w:t>二、火灾等风险事故应急措施​</w:t>
            </w:r>
          </w:p>
          <w:p>
            <w:pPr>
              <w:bidi w:val="0"/>
              <w:rPr>
                <w:rFonts w:hint="eastAsia"/>
              </w:rPr>
            </w:pPr>
            <w:r>
              <w:rPr>
                <w:rFonts w:hint="eastAsia"/>
              </w:rPr>
              <w:t>初期火灾：现场人员立即使用车间配备的干粉灭火器或消防栓扑救，同时拨打厂区内部火警电话，通知消防控制室启动应急响应。​</w:t>
            </w:r>
          </w:p>
          <w:p>
            <w:pPr>
              <w:bidi w:val="0"/>
              <w:rPr>
                <w:rFonts w:hint="eastAsia"/>
              </w:rPr>
            </w:pPr>
            <w:r>
              <w:rPr>
                <w:rFonts w:hint="eastAsia"/>
              </w:rPr>
              <w:t>火势扩大：立即组织人员沿疏散通道撤离至厂区应急集合点，由专职消防队使用消防水系统控制火势，同时切断事故区域电源、关闭相关阀门，防止火势蔓延至原料仓库或胶粘剂储存区；若涉及胶粘剂泄漏引发的火灾，需使用抗溶性泡沫灭火器扑救，严禁用水直接冲击泄漏物。​</w:t>
            </w:r>
          </w:p>
          <w:p>
            <w:pPr>
              <w:bidi w:val="0"/>
              <w:rPr>
                <w:rFonts w:hint="eastAsia"/>
              </w:rPr>
            </w:pPr>
            <w:r>
              <w:rPr>
                <w:rFonts w:hint="eastAsia"/>
                <w:lang w:val="en-US" w:eastAsia="zh-CN"/>
              </w:rPr>
              <w:t>火灾扑灭后，立即对事故现场及周边大气进行监测（重点监测颗粒物等特征污染物），若发现污染物超标，采取喷淋降尘等措施控制扩散；收集消防废水，经检测达标后回用或排放，防止污染周边水体。​</w:t>
            </w:r>
          </w:p>
          <w:p>
            <w:pPr>
              <w:bidi w:val="0"/>
              <w:rPr>
                <w:rFonts w:hint="eastAsia"/>
              </w:rPr>
            </w:pPr>
            <w:r>
              <w:rPr>
                <w:rFonts w:hint="eastAsia"/>
                <w:lang w:val="en-US" w:eastAsia="zh-CN"/>
              </w:rPr>
              <w:t>配备专职应急队伍，定期开展火灾、泄漏等风险事故应急演练，完善应急预案；储备充足的应急物资（如防护装备、灭火器材、泄漏处理工具等），并建立物资台账，确保随时可用。</w:t>
            </w:r>
          </w:p>
          <w:p>
            <w:pPr>
              <w:ind w:firstLine="0" w:firstLineChars="0"/>
              <w:rPr>
                <w:rFonts w:cs="Times New Roman"/>
                <w:color w:val="000000"/>
                <w:kern w:val="0"/>
                <w:lang w:bidi="ar"/>
              </w:rPr>
            </w:pPr>
            <w:r>
              <w:rPr>
                <w:rFonts w:hint="eastAsia"/>
                <w:b/>
                <w:bCs/>
              </w:rPr>
              <w:t>4.</w:t>
            </w:r>
            <w:r>
              <w:rPr>
                <w:b/>
                <w:bCs/>
              </w:rPr>
              <w:t>6</w:t>
            </w:r>
            <w:r>
              <w:rPr>
                <w:rFonts w:hint="eastAsia"/>
                <w:b/>
                <w:bCs/>
              </w:rPr>
              <w:t>.</w:t>
            </w:r>
            <w:r>
              <w:rPr>
                <w:b/>
                <w:bCs/>
              </w:rPr>
              <w:t>5</w:t>
            </w:r>
            <w:r>
              <w:rPr>
                <w:rFonts w:hint="eastAsia"/>
                <w:b/>
                <w:bCs/>
              </w:rPr>
              <w:t>环境风险分析结论及建议</w:t>
            </w:r>
          </w:p>
          <w:p>
            <w:pPr>
              <w:ind w:firstLine="480"/>
            </w:pPr>
            <w:r>
              <w:rPr>
                <w:rFonts w:hint="eastAsia"/>
              </w:rPr>
              <w:t>本项目具有一定的环境风险，但是发生风险事故的可能性较小，即使发生风险，也能控制在可接受的范围内，因此，本项目的环境风险影响较小。</w:t>
            </w:r>
          </w:p>
          <w:p>
            <w:pPr>
              <w:spacing w:line="240" w:lineRule="auto"/>
              <w:ind w:firstLine="211" w:firstLineChars="100"/>
              <w:jc w:val="center"/>
              <w:textAlignment w:val="auto"/>
              <w:rPr>
                <w:b/>
                <w:bCs/>
                <w:sz w:val="21"/>
                <w:szCs w:val="21"/>
              </w:rPr>
            </w:pPr>
            <w:r>
              <w:rPr>
                <w:rFonts w:hint="eastAsia"/>
                <w:b/>
                <w:bCs/>
                <w:sz w:val="21"/>
                <w:szCs w:val="21"/>
              </w:rPr>
              <w:t>表4-1</w:t>
            </w:r>
            <w:r>
              <w:rPr>
                <w:rFonts w:hint="eastAsia"/>
                <w:b/>
                <w:bCs/>
                <w:sz w:val="21"/>
                <w:szCs w:val="21"/>
                <w:lang w:val="en-US" w:eastAsia="zh-CN"/>
              </w:rPr>
              <w:t>3</w:t>
            </w:r>
            <w:r>
              <w:rPr>
                <w:b/>
                <w:bCs/>
                <w:sz w:val="21"/>
                <w:szCs w:val="21"/>
              </w:rPr>
              <w:t xml:space="preserve">  </w:t>
            </w:r>
            <w:r>
              <w:rPr>
                <w:rFonts w:hint="eastAsia"/>
                <w:b/>
                <w:bCs/>
                <w:sz w:val="21"/>
                <w:szCs w:val="21"/>
              </w:rPr>
              <w:t>建设项目环境风险简单分析内容表</w:t>
            </w:r>
          </w:p>
          <w:tbl>
            <w:tblPr>
              <w:tblStyle w:val="29"/>
              <w:tblW w:w="83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973"/>
              <w:gridCol w:w="2325"/>
              <w:gridCol w:w="963"/>
              <w:gridCol w:w="24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70"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建设项目名称</w:t>
                  </w:r>
                </w:p>
              </w:tc>
              <w:tc>
                <w:tcPr>
                  <w:tcW w:w="6674" w:type="dxa"/>
                  <w:gridSpan w:val="4"/>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新疆中泰亨惠医疗卫材股份有限公司年产1000吨纸筒项目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8" w:hRule="atLeast"/>
                <w:jc w:val="center"/>
              </w:trPr>
              <w:tc>
                <w:tcPr>
                  <w:tcW w:w="1670"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建设地点</w:t>
                  </w:r>
                </w:p>
              </w:tc>
              <w:tc>
                <w:tcPr>
                  <w:tcW w:w="6674" w:type="dxa"/>
                  <w:gridSpan w:val="4"/>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库尔勒经济技术开发区纵三路东侧横四路北侧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70"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地理坐标</w:t>
                  </w:r>
                </w:p>
              </w:tc>
              <w:tc>
                <w:tcPr>
                  <w:tcW w:w="973"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经度</w:t>
                  </w:r>
                </w:p>
              </w:tc>
              <w:tc>
                <w:tcPr>
                  <w:tcW w:w="2325"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86°</w:t>
                  </w:r>
                  <w:r>
                    <w:rPr>
                      <w:rFonts w:hint="eastAsia" w:cs="Times New Roman"/>
                      <w:sz w:val="21"/>
                      <w:szCs w:val="21"/>
                    </w:rPr>
                    <w:t>17</w:t>
                  </w:r>
                  <w:r>
                    <w:rPr>
                      <w:rFonts w:cs="Times New Roman"/>
                      <w:sz w:val="21"/>
                      <w:szCs w:val="21"/>
                    </w:rPr>
                    <w:t>′</w:t>
                  </w:r>
                  <w:r>
                    <w:rPr>
                      <w:rFonts w:hint="eastAsia" w:cs="Times New Roman"/>
                      <w:sz w:val="21"/>
                      <w:szCs w:val="21"/>
                    </w:rPr>
                    <w:t>44.536</w:t>
                  </w:r>
                  <w:r>
                    <w:rPr>
                      <w:rFonts w:cs="Times New Roman"/>
                      <w:sz w:val="21"/>
                      <w:szCs w:val="21"/>
                    </w:rPr>
                    <w:t>"</w:t>
                  </w:r>
                </w:p>
              </w:tc>
              <w:tc>
                <w:tcPr>
                  <w:tcW w:w="963"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纬度</w:t>
                  </w:r>
                </w:p>
              </w:tc>
              <w:tc>
                <w:tcPr>
                  <w:tcW w:w="2413"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41°3</w:t>
                  </w:r>
                  <w:r>
                    <w:rPr>
                      <w:rFonts w:hint="eastAsia" w:cs="Times New Roman"/>
                      <w:sz w:val="21"/>
                      <w:szCs w:val="21"/>
                    </w:rPr>
                    <w:t>2</w:t>
                  </w:r>
                  <w:r>
                    <w:rPr>
                      <w:rFonts w:cs="Times New Roman"/>
                      <w:sz w:val="21"/>
                      <w:szCs w:val="21"/>
                    </w:rPr>
                    <w:t>'</w:t>
                  </w:r>
                  <w:r>
                    <w:rPr>
                      <w:rFonts w:hint="eastAsia" w:cs="Times New Roman"/>
                      <w:sz w:val="21"/>
                      <w:szCs w:val="21"/>
                    </w:rPr>
                    <w:t>29.032</w:t>
                  </w: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70"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主要危险物质及分布</w:t>
                  </w:r>
                </w:p>
              </w:tc>
              <w:tc>
                <w:tcPr>
                  <w:tcW w:w="6674" w:type="dxa"/>
                  <w:gridSpan w:val="4"/>
                  <w:vAlign w:val="center"/>
                </w:tcPr>
                <w:p>
                  <w:pPr>
                    <w:spacing w:line="240" w:lineRule="auto"/>
                    <w:ind w:firstLine="0" w:firstLineChars="0"/>
                    <w:jc w:val="center"/>
                    <w:textAlignment w:val="auto"/>
                    <w:rPr>
                      <w:rFonts w:cs="Times New Roman"/>
                      <w:sz w:val="21"/>
                      <w:szCs w:val="21"/>
                    </w:rPr>
                  </w:pPr>
                  <w:r>
                    <w:rPr>
                      <w:rFonts w:cs="Times New Roman"/>
                      <w:sz w:val="21"/>
                      <w:szCs w:val="21"/>
                    </w:rPr>
                    <w:t>本项目主要危险物质为废矿物油储存在</w:t>
                  </w:r>
                  <w:r>
                    <w:rPr>
                      <w:rFonts w:hint="default" w:cs="Times New Roman"/>
                      <w:sz w:val="21"/>
                      <w:szCs w:val="21"/>
                      <w:lang w:eastAsia="zh-CN"/>
                    </w:rPr>
                    <w:t>危险废物贮存点</w:t>
                  </w:r>
                  <w:r>
                    <w:rPr>
                      <w:rFonts w:cs="Times New Roman"/>
                      <w:sz w:val="21"/>
                      <w:szCs w:val="21"/>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96" w:hRule="atLeast"/>
                <w:jc w:val="center"/>
              </w:trPr>
              <w:tc>
                <w:tcPr>
                  <w:tcW w:w="1670"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环境影响途径及危害后果（大气、地表水、地下水等）</w:t>
                  </w:r>
                </w:p>
              </w:tc>
              <w:tc>
                <w:tcPr>
                  <w:tcW w:w="6674" w:type="dxa"/>
                  <w:gridSpan w:val="4"/>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废机油</w:t>
                  </w:r>
                  <w:r>
                    <w:rPr>
                      <w:rFonts w:cs="Times New Roman"/>
                      <w:sz w:val="21"/>
                      <w:szCs w:val="21"/>
                    </w:rPr>
                    <w:t>泄露对周边土壤、地下水环境造成影响；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风险防范措施要求</w:t>
                  </w:r>
                </w:p>
              </w:tc>
              <w:tc>
                <w:tcPr>
                  <w:tcW w:w="6674" w:type="dxa"/>
                  <w:gridSpan w:val="4"/>
                  <w:vAlign w:val="center"/>
                </w:tcPr>
                <w:p>
                  <w:pPr>
                    <w:spacing w:line="240" w:lineRule="auto"/>
                    <w:ind w:firstLine="0" w:firstLineChars="0"/>
                    <w:jc w:val="left"/>
                    <w:textAlignment w:val="auto"/>
                    <w:rPr>
                      <w:rFonts w:cs="Times New Roman"/>
                      <w:sz w:val="21"/>
                      <w:szCs w:val="21"/>
                    </w:rPr>
                  </w:pPr>
                  <w:r>
                    <w:rPr>
                      <w:rFonts w:hint="eastAsia" w:cs="Times New Roman"/>
                      <w:sz w:val="21"/>
                      <w:szCs w:val="21"/>
                    </w:rPr>
                    <w:t>项目在生产过程中要一定注意通风，远离火花、明火、热源。厂区内应安装消防及火灾报警系统，并配套相应的消防设施。厂区总平面布置符合防范事故要求，有应急救援设施及救援通道。</w:t>
                  </w:r>
                  <w:r>
                    <w:rPr>
                      <w:rFonts w:hint="default" w:cs="Times New Roman"/>
                      <w:sz w:val="21"/>
                      <w:szCs w:val="21"/>
                      <w:lang w:eastAsia="zh-CN"/>
                    </w:rPr>
                    <w:t>危险废物贮存点</w:t>
                  </w:r>
                  <w:r>
                    <w:rPr>
                      <w:rFonts w:hint="eastAsia" w:cs="Times New Roman"/>
                      <w:sz w:val="21"/>
                      <w:szCs w:val="21"/>
                    </w:rPr>
                    <w:t>的废油类物质的储存容器要有足够的储存空间及盛装余量，储存场所进行重点防渗处理</w:t>
                  </w: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670" w:type="dxa"/>
                  <w:vAlign w:val="center"/>
                </w:tcPr>
                <w:p>
                  <w:pPr>
                    <w:spacing w:line="240" w:lineRule="auto"/>
                    <w:ind w:firstLine="0" w:firstLineChars="0"/>
                    <w:jc w:val="center"/>
                    <w:textAlignment w:val="auto"/>
                    <w:rPr>
                      <w:rFonts w:cs="Times New Roman"/>
                      <w:sz w:val="21"/>
                      <w:szCs w:val="21"/>
                    </w:rPr>
                  </w:pPr>
                  <w:r>
                    <w:rPr>
                      <w:rFonts w:cs="Times New Roman"/>
                      <w:sz w:val="21"/>
                      <w:szCs w:val="21"/>
                    </w:rPr>
                    <w:t>填表说明</w:t>
                  </w:r>
                </w:p>
              </w:tc>
              <w:tc>
                <w:tcPr>
                  <w:tcW w:w="6674" w:type="dxa"/>
                  <w:gridSpan w:val="4"/>
                  <w:vAlign w:val="center"/>
                </w:tcPr>
                <w:p>
                  <w:pPr>
                    <w:spacing w:line="240" w:lineRule="auto"/>
                    <w:ind w:firstLine="0" w:firstLineChars="0"/>
                    <w:jc w:val="center"/>
                    <w:textAlignment w:val="auto"/>
                    <w:rPr>
                      <w:rFonts w:cs="Times New Roman"/>
                      <w:sz w:val="21"/>
                      <w:szCs w:val="21"/>
                    </w:rPr>
                  </w:pPr>
                  <w:r>
                    <w:rPr>
                      <w:rFonts w:cs="Times New Roman"/>
                      <w:sz w:val="21"/>
                      <w:szCs w:val="21"/>
                    </w:rPr>
                    <w:t>/</w:t>
                  </w:r>
                </w:p>
              </w:tc>
            </w:tr>
          </w:tbl>
          <w:p>
            <w:pPr>
              <w:ind w:firstLine="0" w:firstLineChars="0"/>
              <w:rPr>
                <w:b/>
                <w:bCs/>
              </w:rPr>
            </w:pPr>
            <w:r>
              <w:rPr>
                <w:b/>
                <w:bCs/>
              </w:rPr>
              <w:t>4.7</w:t>
            </w:r>
            <w:r>
              <w:rPr>
                <w:rFonts w:hint="eastAsia"/>
                <w:b/>
                <w:bCs/>
              </w:rPr>
              <w:t>排污许可管理</w:t>
            </w:r>
          </w:p>
          <w:p>
            <w:pPr>
              <w:widowControl/>
              <w:adjustRightInd w:val="0"/>
              <w:snapToGrid w:val="0"/>
              <w:ind w:firstLine="480"/>
              <w:jc w:val="left"/>
              <w:rPr>
                <w:rFonts w:cs="Times New Roman"/>
                <w:color w:val="000000"/>
                <w:kern w:val="0"/>
                <w:lang w:bidi="ar"/>
              </w:rPr>
            </w:pPr>
            <w:r>
              <w:rPr>
                <w:rFonts w:hint="eastAsia" w:ascii="宋体" w:hAnsi="宋体" w:cs="宋体"/>
                <w:color w:val="000000"/>
                <w:kern w:val="0"/>
                <w:lang w:bidi="ar"/>
              </w:rPr>
              <w:t>根据《固定污染</w:t>
            </w:r>
            <w:r>
              <w:rPr>
                <w:rFonts w:hint="eastAsia" w:cs="Times New Roman"/>
                <w:color w:val="000000"/>
                <w:kern w:val="0"/>
                <w:lang w:bidi="ar"/>
              </w:rPr>
              <w:t>源排污许可分类管理名录》（2019年版），本项目为纸制品制造，需进行登记管理，详见下表。</w:t>
            </w:r>
          </w:p>
          <w:p>
            <w:pPr>
              <w:spacing w:line="240" w:lineRule="auto"/>
              <w:ind w:firstLine="211" w:firstLineChars="100"/>
              <w:jc w:val="center"/>
              <w:textAlignment w:val="auto"/>
              <w:rPr>
                <w:b/>
                <w:bCs/>
                <w:sz w:val="21"/>
                <w:szCs w:val="21"/>
              </w:rPr>
            </w:pPr>
            <w:r>
              <w:rPr>
                <w:rFonts w:hint="eastAsia"/>
                <w:b/>
                <w:bCs/>
                <w:sz w:val="21"/>
                <w:szCs w:val="21"/>
              </w:rPr>
              <w:t>表4-</w:t>
            </w:r>
            <w:r>
              <w:rPr>
                <w:rFonts w:hint="eastAsia"/>
                <w:b/>
                <w:bCs/>
                <w:sz w:val="21"/>
                <w:szCs w:val="21"/>
                <w:lang w:val="en-US" w:eastAsia="zh-CN"/>
              </w:rPr>
              <w:t>14</w:t>
            </w:r>
            <w:r>
              <w:rPr>
                <w:b/>
                <w:bCs/>
                <w:sz w:val="21"/>
                <w:szCs w:val="21"/>
              </w:rPr>
              <w:t xml:space="preserve">  </w:t>
            </w:r>
            <w:r>
              <w:rPr>
                <w:rFonts w:hint="eastAsia"/>
                <w:b/>
                <w:bCs/>
                <w:sz w:val="21"/>
                <w:szCs w:val="21"/>
              </w:rPr>
              <w:t>排污许可分类管理名录对应类别</w:t>
            </w:r>
          </w:p>
          <w:tbl>
            <w:tblPr>
              <w:tblStyle w:val="29"/>
              <w:tblW w:w="8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529"/>
              <w:gridCol w:w="1951"/>
              <w:gridCol w:w="2422"/>
              <w:gridCol w:w="16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9" w:hRule="atLeast"/>
                <w:jc w:val="center"/>
              </w:trPr>
              <w:tc>
                <w:tcPr>
                  <w:tcW w:w="833" w:type="dxa"/>
                  <w:vAlign w:val="center"/>
                </w:tcPr>
                <w:p>
                  <w:pPr>
                    <w:spacing w:line="240" w:lineRule="auto"/>
                    <w:ind w:firstLine="0" w:firstLineChars="0"/>
                    <w:jc w:val="center"/>
                    <w:textAlignment w:val="auto"/>
                    <w:rPr>
                      <w:rFonts w:cs="Times New Roman"/>
                      <w:b/>
                      <w:bCs/>
                      <w:sz w:val="21"/>
                      <w:szCs w:val="21"/>
                    </w:rPr>
                  </w:pPr>
                  <w:r>
                    <w:rPr>
                      <w:rFonts w:hint="eastAsia" w:cs="Times New Roman"/>
                      <w:b/>
                      <w:bCs/>
                      <w:sz w:val="21"/>
                      <w:szCs w:val="21"/>
                    </w:rPr>
                    <w:t>序号</w:t>
                  </w:r>
                </w:p>
              </w:tc>
              <w:tc>
                <w:tcPr>
                  <w:tcW w:w="1529" w:type="dxa"/>
                  <w:vAlign w:val="center"/>
                </w:tcPr>
                <w:p>
                  <w:pPr>
                    <w:spacing w:line="240" w:lineRule="auto"/>
                    <w:ind w:firstLine="0" w:firstLineChars="0"/>
                    <w:jc w:val="center"/>
                    <w:textAlignment w:val="auto"/>
                    <w:rPr>
                      <w:rFonts w:cs="Times New Roman"/>
                      <w:b/>
                      <w:bCs/>
                      <w:sz w:val="21"/>
                      <w:szCs w:val="21"/>
                    </w:rPr>
                  </w:pPr>
                  <w:r>
                    <w:rPr>
                      <w:rFonts w:hint="eastAsia" w:cs="Times New Roman"/>
                      <w:b/>
                      <w:bCs/>
                      <w:sz w:val="21"/>
                      <w:szCs w:val="21"/>
                    </w:rPr>
                    <w:t>行业类别</w:t>
                  </w:r>
                </w:p>
              </w:tc>
              <w:tc>
                <w:tcPr>
                  <w:tcW w:w="1951" w:type="dxa"/>
                  <w:vAlign w:val="center"/>
                </w:tcPr>
                <w:p>
                  <w:pPr>
                    <w:spacing w:line="240" w:lineRule="auto"/>
                    <w:ind w:firstLine="0" w:firstLineChars="0"/>
                    <w:jc w:val="center"/>
                    <w:textAlignment w:val="auto"/>
                    <w:rPr>
                      <w:rFonts w:cs="Times New Roman"/>
                      <w:b/>
                      <w:bCs/>
                      <w:sz w:val="21"/>
                      <w:szCs w:val="21"/>
                    </w:rPr>
                  </w:pPr>
                  <w:r>
                    <w:rPr>
                      <w:rFonts w:hint="eastAsia" w:cs="Times New Roman"/>
                      <w:b/>
                      <w:bCs/>
                      <w:sz w:val="21"/>
                      <w:szCs w:val="21"/>
                    </w:rPr>
                    <w:t>重点管理</w:t>
                  </w:r>
                </w:p>
              </w:tc>
              <w:tc>
                <w:tcPr>
                  <w:tcW w:w="2422" w:type="dxa"/>
                  <w:vAlign w:val="center"/>
                </w:tcPr>
                <w:p>
                  <w:pPr>
                    <w:spacing w:line="240" w:lineRule="auto"/>
                    <w:ind w:firstLine="0" w:firstLineChars="0"/>
                    <w:jc w:val="center"/>
                    <w:textAlignment w:val="auto"/>
                    <w:rPr>
                      <w:rFonts w:cs="Times New Roman"/>
                      <w:b/>
                      <w:bCs/>
                      <w:sz w:val="21"/>
                      <w:szCs w:val="21"/>
                    </w:rPr>
                  </w:pPr>
                  <w:r>
                    <w:rPr>
                      <w:rFonts w:hint="eastAsia" w:cs="Times New Roman"/>
                      <w:b/>
                      <w:bCs/>
                      <w:sz w:val="21"/>
                      <w:szCs w:val="21"/>
                    </w:rPr>
                    <w:t>简化管理</w:t>
                  </w:r>
                </w:p>
              </w:tc>
              <w:tc>
                <w:tcPr>
                  <w:tcW w:w="1611" w:type="dxa"/>
                  <w:vAlign w:val="center"/>
                </w:tcPr>
                <w:p>
                  <w:pPr>
                    <w:spacing w:line="240" w:lineRule="auto"/>
                    <w:ind w:firstLine="0" w:firstLineChars="0"/>
                    <w:jc w:val="center"/>
                    <w:textAlignment w:val="auto"/>
                    <w:rPr>
                      <w:rFonts w:cs="Times New Roman"/>
                      <w:b/>
                      <w:bCs/>
                      <w:sz w:val="21"/>
                      <w:szCs w:val="21"/>
                    </w:rPr>
                  </w:pPr>
                  <w:r>
                    <w:rPr>
                      <w:rFonts w:hint="eastAsia" w:cs="Times New Roman"/>
                      <w:b/>
                      <w:bCs/>
                      <w:sz w:val="21"/>
                      <w:szCs w:val="21"/>
                    </w:rPr>
                    <w:t>登记管理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346" w:type="dxa"/>
                  <w:gridSpan w:val="5"/>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十七、造纸和纸制品业22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33" w:type="dxa"/>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38</w:t>
                  </w:r>
                </w:p>
              </w:tc>
              <w:tc>
                <w:tcPr>
                  <w:tcW w:w="1529" w:type="dxa"/>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223纸制品制造</w:t>
                  </w:r>
                </w:p>
              </w:tc>
              <w:tc>
                <w:tcPr>
                  <w:tcW w:w="1951" w:type="dxa"/>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w:t>
                  </w:r>
                </w:p>
              </w:tc>
              <w:tc>
                <w:tcPr>
                  <w:tcW w:w="2422" w:type="dxa"/>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有工业废水或者废气排放的</w:t>
                  </w:r>
                </w:p>
              </w:tc>
              <w:tc>
                <w:tcPr>
                  <w:tcW w:w="1611" w:type="dxa"/>
                  <w:vAlign w:val="center"/>
                </w:tcPr>
                <w:p>
                  <w:pPr>
                    <w:spacing w:line="240" w:lineRule="auto"/>
                    <w:ind w:firstLine="0" w:firstLineChars="0"/>
                    <w:jc w:val="center"/>
                    <w:textAlignment w:val="auto"/>
                    <w:rPr>
                      <w:rFonts w:cs="Times New Roman"/>
                      <w:sz w:val="21"/>
                      <w:szCs w:val="21"/>
                    </w:rPr>
                  </w:pPr>
                  <w:r>
                    <w:rPr>
                      <w:rFonts w:hint="eastAsia" w:cs="Times New Roman"/>
                      <w:sz w:val="21"/>
                      <w:szCs w:val="21"/>
                    </w:rPr>
                    <w:t>其他*</w:t>
                  </w:r>
                </w:p>
              </w:tc>
            </w:tr>
          </w:tbl>
          <w:p>
            <w:pPr>
              <w:pStyle w:val="4"/>
              <w:framePr w:hSpace="0" w:wrap="auto" w:vAnchor="margin" w:hAnchor="text" w:xAlign="left" w:yAlign="inline"/>
            </w:pPr>
            <w:r>
              <w:rPr>
                <w:rFonts w:hint="eastAsia"/>
              </w:rPr>
              <w:t>4</w:t>
            </w:r>
            <w:r>
              <w:t>.8</w:t>
            </w:r>
            <w:r>
              <w:rPr>
                <w:rFonts w:hint="eastAsia"/>
              </w:rPr>
              <w:t>环保投资、措施</w:t>
            </w:r>
          </w:p>
          <w:p>
            <w:pPr>
              <w:ind w:firstLine="480"/>
            </w:pPr>
            <w:r>
              <w:rPr>
                <w:rFonts w:hint="eastAsia"/>
              </w:rPr>
              <w:t>本工程总投资约100万元，其中环保投资</w:t>
            </w:r>
            <w:r>
              <w:rPr>
                <w:rFonts w:hint="eastAsia"/>
                <w:lang w:val="en-US" w:eastAsia="zh-CN"/>
              </w:rPr>
              <w:t>10</w:t>
            </w:r>
            <w:r>
              <w:rPr>
                <w:rFonts w:hint="eastAsia"/>
              </w:rPr>
              <w:t>万元，占总投资的</w:t>
            </w:r>
            <w:r>
              <w:rPr>
                <w:rFonts w:hint="eastAsia"/>
                <w:lang w:val="en-US" w:eastAsia="zh-CN"/>
              </w:rPr>
              <w:t>10</w:t>
            </w:r>
            <w:r>
              <w:t>%</w:t>
            </w:r>
            <w:r>
              <w:rPr>
                <w:rFonts w:hint="eastAsia"/>
              </w:rPr>
              <w:t>。环保投资估算一览表见表</w:t>
            </w:r>
            <w:r>
              <w:t>4-</w:t>
            </w:r>
            <w:r>
              <w:rPr>
                <w:rFonts w:hint="eastAsia"/>
                <w:lang w:val="en-US" w:eastAsia="zh-CN"/>
              </w:rPr>
              <w:t>15</w:t>
            </w:r>
            <w:r>
              <w:rPr>
                <w:rFonts w:hint="eastAsia"/>
              </w:rPr>
              <w:t>。</w:t>
            </w:r>
          </w:p>
          <w:p>
            <w:pPr>
              <w:pStyle w:val="43"/>
            </w:pPr>
            <w:r>
              <w:rPr>
                <w:rFonts w:hint="eastAsia"/>
              </w:rPr>
              <w:t>表</w:t>
            </w:r>
            <w:r>
              <w:t>4-</w:t>
            </w:r>
            <w:r>
              <w:rPr>
                <w:rFonts w:hint="eastAsia"/>
                <w:lang w:val="en-US" w:eastAsia="zh-CN"/>
              </w:rPr>
              <w:t>15</w:t>
            </w:r>
            <w:r>
              <w:t xml:space="preserve">  </w:t>
            </w:r>
            <w:r>
              <w:rPr>
                <w:rFonts w:hint="eastAsia"/>
              </w:rPr>
              <w:t>环保投资估算一览表</w:t>
            </w:r>
          </w:p>
          <w:tbl>
            <w:tblPr>
              <w:tblStyle w:val="29"/>
              <w:tblW w:w="8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707"/>
              <w:gridCol w:w="1528"/>
              <w:gridCol w:w="4004"/>
              <w:gridCol w:w="1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adjustRightInd w:val="0"/>
                    <w:snapToGrid w:val="0"/>
                    <w:spacing w:line="240" w:lineRule="auto"/>
                    <w:ind w:firstLine="0" w:firstLineChars="0"/>
                    <w:jc w:val="center"/>
                    <w:rPr>
                      <w:rFonts w:cs="Times New Roman"/>
                      <w:b/>
                      <w:bCs/>
                      <w:sz w:val="21"/>
                      <w:szCs w:val="21"/>
                    </w:rPr>
                  </w:pPr>
                  <w:bookmarkStart w:id="12" w:name="_Hlk156406563"/>
                  <w:r>
                    <w:rPr>
                      <w:rFonts w:cs="Times New Roman"/>
                      <w:b/>
                      <w:bCs/>
                      <w:sz w:val="21"/>
                      <w:szCs w:val="21"/>
                    </w:rPr>
                    <w:t>序号</w:t>
                  </w:r>
                </w:p>
              </w:tc>
              <w:tc>
                <w:tcPr>
                  <w:tcW w:w="707" w:type="dxa"/>
                  <w:vAlign w:val="center"/>
                </w:tcPr>
                <w:p>
                  <w:pPr>
                    <w:adjustRightInd w:val="0"/>
                    <w:snapToGrid w:val="0"/>
                    <w:spacing w:line="240" w:lineRule="auto"/>
                    <w:ind w:firstLine="0" w:firstLineChars="0"/>
                    <w:jc w:val="center"/>
                    <w:rPr>
                      <w:rFonts w:cs="Times New Roman"/>
                      <w:b/>
                      <w:bCs/>
                      <w:sz w:val="21"/>
                      <w:szCs w:val="21"/>
                    </w:rPr>
                  </w:pPr>
                  <w:r>
                    <w:rPr>
                      <w:rFonts w:cs="Times New Roman"/>
                      <w:b/>
                      <w:bCs/>
                      <w:sz w:val="21"/>
                      <w:szCs w:val="21"/>
                    </w:rPr>
                    <w:t>污染类别</w:t>
                  </w:r>
                </w:p>
              </w:tc>
              <w:tc>
                <w:tcPr>
                  <w:tcW w:w="1528" w:type="dxa"/>
                  <w:vAlign w:val="center"/>
                </w:tcPr>
                <w:p>
                  <w:pPr>
                    <w:adjustRightInd w:val="0"/>
                    <w:snapToGrid w:val="0"/>
                    <w:spacing w:line="240" w:lineRule="auto"/>
                    <w:ind w:firstLine="0" w:firstLineChars="0"/>
                    <w:jc w:val="center"/>
                    <w:rPr>
                      <w:rFonts w:cs="Times New Roman"/>
                      <w:b/>
                      <w:bCs/>
                      <w:sz w:val="21"/>
                      <w:szCs w:val="21"/>
                    </w:rPr>
                  </w:pPr>
                  <w:r>
                    <w:rPr>
                      <w:rFonts w:cs="Times New Roman"/>
                      <w:b/>
                      <w:bCs/>
                      <w:sz w:val="21"/>
                      <w:szCs w:val="21"/>
                    </w:rPr>
                    <w:t>排污环节</w:t>
                  </w:r>
                </w:p>
              </w:tc>
              <w:tc>
                <w:tcPr>
                  <w:tcW w:w="4004" w:type="dxa"/>
                  <w:vAlign w:val="center"/>
                </w:tcPr>
                <w:p>
                  <w:pPr>
                    <w:adjustRightInd w:val="0"/>
                    <w:snapToGrid w:val="0"/>
                    <w:spacing w:line="240" w:lineRule="auto"/>
                    <w:ind w:firstLine="0" w:firstLineChars="0"/>
                    <w:jc w:val="center"/>
                    <w:rPr>
                      <w:rFonts w:cs="Times New Roman"/>
                      <w:b/>
                      <w:bCs/>
                      <w:sz w:val="21"/>
                      <w:szCs w:val="21"/>
                    </w:rPr>
                  </w:pPr>
                  <w:r>
                    <w:rPr>
                      <w:rFonts w:cs="Times New Roman"/>
                      <w:b/>
                      <w:bCs/>
                      <w:sz w:val="21"/>
                      <w:szCs w:val="21"/>
                    </w:rPr>
                    <w:t>治理措施</w:t>
                  </w:r>
                </w:p>
              </w:tc>
              <w:tc>
                <w:tcPr>
                  <w:tcW w:w="1400" w:type="dxa"/>
                  <w:vAlign w:val="center"/>
                </w:tcPr>
                <w:p>
                  <w:pPr>
                    <w:adjustRightInd w:val="0"/>
                    <w:snapToGrid w:val="0"/>
                    <w:spacing w:line="240" w:lineRule="auto"/>
                    <w:ind w:firstLine="0" w:firstLineChars="0"/>
                    <w:jc w:val="center"/>
                    <w:rPr>
                      <w:rFonts w:cs="Times New Roman"/>
                      <w:b/>
                      <w:bCs/>
                      <w:sz w:val="21"/>
                      <w:szCs w:val="21"/>
                    </w:rPr>
                  </w:pPr>
                  <w:r>
                    <w:rPr>
                      <w:rFonts w:cs="Times New Roman"/>
                      <w:b/>
                      <w:bCs/>
                      <w:sz w:val="21"/>
                      <w:szCs w:val="21"/>
                    </w:rPr>
                    <w:t>投资</w:t>
                  </w:r>
                </w:p>
                <w:p>
                  <w:pPr>
                    <w:adjustRightInd w:val="0"/>
                    <w:snapToGrid w:val="0"/>
                    <w:spacing w:line="240" w:lineRule="auto"/>
                    <w:ind w:firstLine="0" w:firstLineChars="0"/>
                    <w:jc w:val="center"/>
                    <w:rPr>
                      <w:rFonts w:cs="Times New Roman"/>
                      <w:b/>
                      <w:bCs/>
                      <w:sz w:val="21"/>
                      <w:szCs w:val="21"/>
                    </w:rPr>
                  </w:pPr>
                  <w:r>
                    <w:rPr>
                      <w:rFonts w:cs="Times New Roman"/>
                      <w:b/>
                      <w:bCs/>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adjustRightInd w:val="0"/>
                    <w:snapToGrid w:val="0"/>
                    <w:spacing w:line="240" w:lineRule="auto"/>
                    <w:ind w:firstLine="0" w:firstLineChars="0"/>
                    <w:jc w:val="center"/>
                    <w:rPr>
                      <w:rFonts w:cs="Times New Roman"/>
                      <w:sz w:val="21"/>
                      <w:szCs w:val="21"/>
                    </w:rPr>
                  </w:pPr>
                  <w:r>
                    <w:rPr>
                      <w:rFonts w:hint="eastAsia" w:cs="Times New Roman"/>
                      <w:sz w:val="21"/>
                      <w:szCs w:val="21"/>
                    </w:rPr>
                    <w:t>1</w:t>
                  </w:r>
                </w:p>
              </w:tc>
              <w:tc>
                <w:tcPr>
                  <w:tcW w:w="707" w:type="dxa"/>
                  <w:vAlign w:val="center"/>
                </w:tcPr>
                <w:p>
                  <w:pPr>
                    <w:adjustRightInd w:val="0"/>
                    <w:snapToGrid w:val="0"/>
                    <w:spacing w:line="240" w:lineRule="auto"/>
                    <w:ind w:firstLine="0" w:firstLineChars="0"/>
                    <w:jc w:val="center"/>
                    <w:rPr>
                      <w:rFonts w:cs="Times New Roman"/>
                      <w:sz w:val="21"/>
                      <w:szCs w:val="21"/>
                    </w:rPr>
                  </w:pPr>
                  <w:r>
                    <w:rPr>
                      <w:rFonts w:hint="eastAsia" w:cs="Times New Roman"/>
                      <w:sz w:val="21"/>
                      <w:szCs w:val="21"/>
                    </w:rPr>
                    <w:t>噪声</w:t>
                  </w:r>
                </w:p>
              </w:tc>
              <w:tc>
                <w:tcPr>
                  <w:tcW w:w="1528" w:type="dxa"/>
                  <w:vAlign w:val="center"/>
                </w:tcPr>
                <w:p>
                  <w:pPr>
                    <w:adjustRightInd w:val="0"/>
                    <w:snapToGrid w:val="0"/>
                    <w:spacing w:line="240" w:lineRule="auto"/>
                    <w:ind w:firstLine="0" w:firstLineChars="0"/>
                    <w:jc w:val="center"/>
                    <w:rPr>
                      <w:rFonts w:cs="Times New Roman"/>
                      <w:sz w:val="21"/>
                      <w:szCs w:val="21"/>
                    </w:rPr>
                  </w:pPr>
                  <w:r>
                    <w:rPr>
                      <w:rFonts w:hint="eastAsia" w:cs="Times New Roman"/>
                      <w:sz w:val="21"/>
                      <w:szCs w:val="21"/>
                    </w:rPr>
                    <w:t>机械设备</w:t>
                  </w:r>
                </w:p>
              </w:tc>
              <w:tc>
                <w:tcPr>
                  <w:tcW w:w="4004" w:type="dxa"/>
                  <w:vAlign w:val="center"/>
                </w:tcPr>
                <w:p>
                  <w:pPr>
                    <w:adjustRightInd w:val="0"/>
                    <w:snapToGrid w:val="0"/>
                    <w:spacing w:line="240" w:lineRule="auto"/>
                    <w:ind w:firstLine="0" w:firstLineChars="0"/>
                    <w:jc w:val="center"/>
                    <w:rPr>
                      <w:rFonts w:cs="Times New Roman"/>
                      <w:b/>
                      <w:bCs/>
                      <w:sz w:val="21"/>
                      <w:szCs w:val="21"/>
                    </w:rPr>
                  </w:pPr>
                  <w:r>
                    <w:rPr>
                      <w:sz w:val="21"/>
                      <w:szCs w:val="21"/>
                    </w:rPr>
                    <w:t>选用低噪声设备，并对高噪声设备进行基础隔声、减振措施</w:t>
                  </w:r>
                </w:p>
              </w:tc>
              <w:tc>
                <w:tcPr>
                  <w:tcW w:w="1400" w:type="dxa"/>
                  <w:vAlign w:val="center"/>
                </w:tcPr>
                <w:p>
                  <w:pPr>
                    <w:adjustRightInd w:val="0"/>
                    <w:snapToGrid w:val="0"/>
                    <w:spacing w:line="240" w:lineRule="auto"/>
                    <w:ind w:firstLine="0" w:firstLineChars="0"/>
                    <w:jc w:val="center"/>
                    <w:rPr>
                      <w:rFonts w:hint="default" w:eastAsia="宋体" w:cs="Times New Roman"/>
                      <w:sz w:val="21"/>
                      <w:szCs w:val="21"/>
                      <w:lang w:val="en-US" w:eastAsia="zh-CN"/>
                    </w:rPr>
                  </w:pPr>
                  <w:r>
                    <w:rPr>
                      <w:rFonts w:hint="eastAsia" w:cs="Times New Roman"/>
                      <w:sz w:val="21"/>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adjustRightInd w:val="0"/>
                    <w:snapToGrid w:val="0"/>
                    <w:spacing w:line="240" w:lineRule="auto"/>
                    <w:ind w:firstLine="0" w:firstLineChars="0"/>
                    <w:jc w:val="center"/>
                    <w:rPr>
                      <w:rFonts w:hint="eastAsia" w:eastAsia="宋体" w:cs="Times New Roman"/>
                      <w:sz w:val="21"/>
                      <w:szCs w:val="21"/>
                      <w:lang w:eastAsia="zh-CN"/>
                    </w:rPr>
                  </w:pPr>
                  <w:r>
                    <w:rPr>
                      <w:rFonts w:hint="eastAsia" w:cs="Times New Roman"/>
                      <w:sz w:val="21"/>
                      <w:szCs w:val="21"/>
                      <w:lang w:val="en-US" w:eastAsia="zh-CN"/>
                    </w:rPr>
                    <w:t>3</w:t>
                  </w:r>
                </w:p>
              </w:tc>
              <w:tc>
                <w:tcPr>
                  <w:tcW w:w="707" w:type="dxa"/>
                  <w:vAlign w:val="center"/>
                </w:tcPr>
                <w:p>
                  <w:pPr>
                    <w:adjustRightInd w:val="0"/>
                    <w:snapToGrid w:val="0"/>
                    <w:spacing w:line="240" w:lineRule="auto"/>
                    <w:ind w:firstLine="0" w:firstLineChars="0"/>
                    <w:jc w:val="center"/>
                    <w:rPr>
                      <w:rFonts w:cs="Times New Roman"/>
                      <w:sz w:val="21"/>
                      <w:szCs w:val="21"/>
                    </w:rPr>
                  </w:pPr>
                  <w:r>
                    <w:rPr>
                      <w:rFonts w:hint="eastAsia" w:cs="Times New Roman"/>
                      <w:sz w:val="21"/>
                      <w:szCs w:val="21"/>
                    </w:rPr>
                    <w:t>一般固体废物</w:t>
                  </w:r>
                </w:p>
              </w:tc>
              <w:tc>
                <w:tcPr>
                  <w:tcW w:w="1528" w:type="dxa"/>
                  <w:vAlign w:val="center"/>
                </w:tcPr>
                <w:p>
                  <w:pPr>
                    <w:adjustRightInd w:val="0"/>
                    <w:snapToGrid w:val="0"/>
                    <w:spacing w:line="240" w:lineRule="auto"/>
                    <w:ind w:firstLine="0" w:firstLineChars="0"/>
                    <w:jc w:val="center"/>
                    <w:rPr>
                      <w:rFonts w:cs="Times New Roman"/>
                      <w:sz w:val="21"/>
                      <w:szCs w:val="21"/>
                    </w:rPr>
                  </w:pPr>
                  <w:r>
                    <w:rPr>
                      <w:rFonts w:hint="eastAsia" w:cs="Times New Roman"/>
                      <w:sz w:val="21"/>
                      <w:szCs w:val="21"/>
                    </w:rPr>
                    <w:t>废纸、边角料</w:t>
                  </w:r>
                </w:p>
              </w:tc>
              <w:tc>
                <w:tcPr>
                  <w:tcW w:w="4004" w:type="dxa"/>
                  <w:vAlign w:val="center"/>
                </w:tcPr>
                <w:p>
                  <w:pPr>
                    <w:adjustRightInd w:val="0"/>
                    <w:snapToGrid w:val="0"/>
                    <w:spacing w:line="240" w:lineRule="auto"/>
                    <w:ind w:firstLine="0" w:firstLineChars="0"/>
                    <w:jc w:val="center"/>
                    <w:rPr>
                      <w:color w:val="000000"/>
                      <w:sz w:val="21"/>
                      <w:szCs w:val="21"/>
                    </w:rPr>
                  </w:pPr>
                  <w:r>
                    <w:rPr>
                      <w:rFonts w:hint="eastAsia"/>
                      <w:color w:val="000000"/>
                      <w:sz w:val="21"/>
                      <w:szCs w:val="21"/>
                    </w:rPr>
                    <w:t>设置一般固废暂存区</w:t>
                  </w:r>
                </w:p>
              </w:tc>
              <w:tc>
                <w:tcPr>
                  <w:tcW w:w="1400" w:type="dxa"/>
                  <w:vAlign w:val="center"/>
                </w:tcPr>
                <w:p>
                  <w:pPr>
                    <w:adjustRightInd w:val="0"/>
                    <w:snapToGrid w:val="0"/>
                    <w:spacing w:line="240" w:lineRule="auto"/>
                    <w:ind w:firstLine="0" w:firstLineChars="0"/>
                    <w:jc w:val="center"/>
                    <w:rPr>
                      <w:rFonts w:cs="Times New Roman"/>
                      <w:sz w:val="21"/>
                      <w:szCs w:val="21"/>
                    </w:rPr>
                  </w:pPr>
                  <w:r>
                    <w:rPr>
                      <w:rFonts w:hint="eastAsia"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6946" w:type="dxa"/>
                  <w:gridSpan w:val="4"/>
                  <w:vAlign w:val="center"/>
                </w:tcPr>
                <w:p>
                  <w:pPr>
                    <w:adjustRightInd w:val="0"/>
                    <w:snapToGrid w:val="0"/>
                    <w:spacing w:line="240" w:lineRule="auto"/>
                    <w:ind w:firstLine="0" w:firstLineChars="0"/>
                    <w:jc w:val="center"/>
                    <w:rPr>
                      <w:rFonts w:cs="Times New Roman"/>
                      <w:sz w:val="21"/>
                      <w:szCs w:val="21"/>
                    </w:rPr>
                  </w:pPr>
                  <w:r>
                    <w:rPr>
                      <w:rFonts w:cs="Times New Roman"/>
                      <w:sz w:val="21"/>
                      <w:szCs w:val="21"/>
                    </w:rPr>
                    <w:t>合计</w:t>
                  </w:r>
                </w:p>
              </w:tc>
              <w:tc>
                <w:tcPr>
                  <w:tcW w:w="1400" w:type="dxa"/>
                  <w:vAlign w:val="center"/>
                </w:tcPr>
                <w:p>
                  <w:pPr>
                    <w:adjustRightInd w:val="0"/>
                    <w:snapToGrid w:val="0"/>
                    <w:spacing w:line="240" w:lineRule="auto"/>
                    <w:ind w:firstLine="0" w:firstLineChars="0"/>
                    <w:jc w:val="center"/>
                    <w:rPr>
                      <w:rFonts w:hint="default" w:eastAsia="宋体" w:cs="Times New Roman"/>
                      <w:sz w:val="21"/>
                      <w:szCs w:val="21"/>
                      <w:lang w:val="en-US" w:eastAsia="zh-CN"/>
                    </w:rPr>
                  </w:pPr>
                  <w:r>
                    <w:rPr>
                      <w:rFonts w:hint="eastAsia" w:cs="Times New Roman"/>
                      <w:sz w:val="21"/>
                      <w:szCs w:val="21"/>
                      <w:lang w:val="en-US" w:eastAsia="zh-CN"/>
                    </w:rPr>
                    <w:t>10</w:t>
                  </w:r>
                </w:p>
              </w:tc>
            </w:tr>
            <w:bookmarkEnd w:id="12"/>
          </w:tbl>
          <w:p>
            <w:pPr>
              <w:pStyle w:val="4"/>
              <w:framePr w:hSpace="0" w:wrap="auto" w:vAnchor="margin" w:hAnchor="text" w:xAlign="left" w:yAlign="inline"/>
            </w:pPr>
            <w:r>
              <w:t>4.9</w:t>
            </w:r>
            <w:r>
              <w:rPr>
                <w:rFonts w:hint="eastAsia"/>
              </w:rPr>
              <w:t>项目环保竣工验收</w:t>
            </w:r>
          </w:p>
          <w:p>
            <w:pPr>
              <w:keepNext/>
              <w:keepLines/>
              <w:adjustRightInd w:val="0"/>
              <w:snapToGrid w:val="0"/>
              <w:ind w:firstLine="480"/>
              <w:outlineLvl w:val="1"/>
              <w:rPr>
                <w:rFonts w:hint="eastAsia" w:ascii="宋体" w:hAnsi="宋体" w:cs="宋体"/>
                <w:bCs/>
              </w:rPr>
            </w:pPr>
            <w:r>
              <w:rPr>
                <w:rFonts w:hint="eastAsia" w:ascii="宋体" w:hAnsi="宋体" w:cs="宋体"/>
                <w:bCs/>
              </w:rPr>
              <w:t>建设单位应按照《建设项目环境保护管理条例》中的有关要求，由建设单位成立验收组进行自主验收。项目三同时竣工验收一览表见表。</w:t>
            </w:r>
          </w:p>
          <w:p>
            <w:pPr>
              <w:spacing w:before="163" w:beforeLines="50" w:line="240" w:lineRule="auto"/>
              <w:ind w:firstLine="0" w:firstLineChars="0"/>
              <w:jc w:val="center"/>
              <w:rPr>
                <w:rFonts w:cs="Times New Roman"/>
                <w:b/>
                <w:sz w:val="21"/>
              </w:rPr>
            </w:pPr>
            <w:r>
              <w:rPr>
                <w:rFonts w:cs="Times New Roman"/>
                <w:b/>
                <w:sz w:val="21"/>
              </w:rPr>
              <w:t>表4-</w:t>
            </w:r>
            <w:r>
              <w:rPr>
                <w:rFonts w:hint="eastAsia" w:cs="Times New Roman"/>
                <w:b/>
                <w:sz w:val="21"/>
                <w:lang w:val="en-US" w:eastAsia="zh-CN"/>
              </w:rPr>
              <w:t>16</w:t>
            </w:r>
            <w:r>
              <w:rPr>
                <w:rFonts w:cs="Times New Roman"/>
                <w:b/>
                <w:sz w:val="21"/>
              </w:rPr>
              <w:t xml:space="preserve">  建设项目竣工环保验收内容一览表</w:t>
            </w:r>
          </w:p>
          <w:tbl>
            <w:tblPr>
              <w:tblStyle w:val="30"/>
              <w:tblW w:w="83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7"/>
              <w:gridCol w:w="1528"/>
              <w:gridCol w:w="2653"/>
              <w:gridCol w:w="3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05" w:type="dxa"/>
                  <w:gridSpan w:val="2"/>
                  <w:vAlign w:val="center"/>
                </w:tcPr>
                <w:p>
                  <w:pPr>
                    <w:spacing w:line="240" w:lineRule="auto"/>
                    <w:ind w:firstLine="0" w:firstLineChars="0"/>
                    <w:contextualSpacing/>
                    <w:jc w:val="center"/>
                    <w:rPr>
                      <w:rFonts w:cs="Times New Roman"/>
                      <w:sz w:val="21"/>
                      <w:szCs w:val="21"/>
                    </w:rPr>
                  </w:pPr>
                  <w:r>
                    <w:rPr>
                      <w:rFonts w:cs="Times New Roman"/>
                      <w:sz w:val="21"/>
                      <w:szCs w:val="21"/>
                    </w:rPr>
                    <w:t>项目</w:t>
                  </w:r>
                </w:p>
              </w:tc>
              <w:tc>
                <w:tcPr>
                  <w:tcW w:w="2653" w:type="dxa"/>
                  <w:vAlign w:val="center"/>
                </w:tcPr>
                <w:p>
                  <w:pPr>
                    <w:spacing w:line="240" w:lineRule="auto"/>
                    <w:ind w:firstLine="0" w:firstLineChars="0"/>
                    <w:contextualSpacing/>
                    <w:jc w:val="center"/>
                    <w:rPr>
                      <w:rFonts w:cs="Times New Roman"/>
                      <w:sz w:val="21"/>
                      <w:szCs w:val="21"/>
                    </w:rPr>
                  </w:pPr>
                  <w:r>
                    <w:rPr>
                      <w:rFonts w:cs="Times New Roman"/>
                      <w:sz w:val="21"/>
                      <w:szCs w:val="21"/>
                    </w:rPr>
                    <w:t>污染防治措施</w:t>
                  </w:r>
                </w:p>
              </w:tc>
              <w:tc>
                <w:tcPr>
                  <w:tcW w:w="3488" w:type="dxa"/>
                  <w:vAlign w:val="center"/>
                </w:tcPr>
                <w:p>
                  <w:pPr>
                    <w:spacing w:line="240" w:lineRule="auto"/>
                    <w:ind w:firstLine="0" w:firstLineChars="0"/>
                    <w:contextualSpacing/>
                    <w:jc w:val="center"/>
                    <w:rPr>
                      <w:rFonts w:cs="Times New Roman"/>
                      <w:sz w:val="21"/>
                      <w:szCs w:val="21"/>
                    </w:rPr>
                  </w:pPr>
                  <w:r>
                    <w:rPr>
                      <w:rFonts w:cs="Times New Roman"/>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677" w:type="dxa"/>
                  <w:vAlign w:val="center"/>
                </w:tcPr>
                <w:p>
                  <w:pPr>
                    <w:spacing w:line="240" w:lineRule="auto"/>
                    <w:ind w:firstLine="0" w:firstLineChars="0"/>
                    <w:contextualSpacing/>
                    <w:jc w:val="center"/>
                    <w:rPr>
                      <w:rFonts w:hint="eastAsia" w:eastAsia="宋体" w:cs="Times New Roman"/>
                      <w:sz w:val="21"/>
                      <w:szCs w:val="21"/>
                      <w:lang w:val="en-US" w:eastAsia="zh-CN"/>
                    </w:rPr>
                  </w:pPr>
                  <w:r>
                    <w:rPr>
                      <w:rFonts w:hint="eastAsia" w:cs="Times New Roman"/>
                      <w:sz w:val="21"/>
                      <w:szCs w:val="21"/>
                      <w:lang w:val="en-US" w:eastAsia="zh-CN"/>
                    </w:rPr>
                    <w:t>废气</w:t>
                  </w:r>
                </w:p>
              </w:tc>
              <w:tc>
                <w:tcPr>
                  <w:tcW w:w="1528" w:type="dxa"/>
                  <w:vAlign w:val="center"/>
                </w:tcPr>
                <w:p>
                  <w:pPr>
                    <w:spacing w:line="240" w:lineRule="auto"/>
                    <w:ind w:firstLine="0" w:firstLineChars="0"/>
                    <w:contextualSpacing/>
                    <w:jc w:val="center"/>
                    <w:rPr>
                      <w:rFonts w:hint="eastAsia" w:cs="Times New Roman"/>
                      <w:sz w:val="21"/>
                      <w:szCs w:val="21"/>
                      <w:lang w:val="en-US" w:eastAsia="zh-CN"/>
                    </w:rPr>
                  </w:pPr>
                  <w:r>
                    <w:rPr>
                      <w:rFonts w:hint="eastAsia" w:cs="Times New Roman"/>
                      <w:sz w:val="21"/>
                      <w:szCs w:val="21"/>
                    </w:rPr>
                    <w:t>颗粒物</w:t>
                  </w:r>
                </w:p>
              </w:tc>
              <w:tc>
                <w:tcPr>
                  <w:tcW w:w="2653" w:type="dxa"/>
                  <w:vAlign w:val="center"/>
                </w:tcPr>
                <w:p>
                  <w:pPr>
                    <w:spacing w:line="240" w:lineRule="auto"/>
                    <w:ind w:firstLine="0" w:firstLineChars="0"/>
                    <w:contextualSpacing/>
                    <w:jc w:val="center"/>
                    <w:rPr>
                      <w:rFonts w:hint="default" w:eastAsia="宋体" w:cs="Times New Roman"/>
                      <w:sz w:val="21"/>
                      <w:szCs w:val="21"/>
                      <w:lang w:val="en-US" w:eastAsia="zh-CN"/>
                    </w:rPr>
                  </w:pPr>
                  <w:r>
                    <w:rPr>
                      <w:rFonts w:hint="eastAsia" w:cs="Times New Roman"/>
                      <w:sz w:val="21"/>
                      <w:szCs w:val="21"/>
                      <w:lang w:val="en-US" w:eastAsia="zh-CN"/>
                    </w:rPr>
                    <w:t>加强车间通风</w:t>
                  </w:r>
                </w:p>
              </w:tc>
              <w:tc>
                <w:tcPr>
                  <w:tcW w:w="3488" w:type="dxa"/>
                  <w:vAlign w:val="center"/>
                </w:tcPr>
                <w:p>
                  <w:pPr>
                    <w:spacing w:line="240" w:lineRule="auto"/>
                    <w:ind w:firstLine="0" w:firstLineChars="0"/>
                    <w:contextualSpacing/>
                    <w:jc w:val="center"/>
                    <w:rPr>
                      <w:rFonts w:hint="eastAsia" w:cs="Times New Roman"/>
                      <w:sz w:val="21"/>
                      <w:szCs w:val="21"/>
                      <w:lang w:val="en-US" w:eastAsia="zh-CN"/>
                    </w:rPr>
                  </w:pPr>
                  <w:r>
                    <w:rPr>
                      <w:rFonts w:hint="eastAsia" w:cs="Times New Roman"/>
                      <w:sz w:val="21"/>
                      <w:szCs w:val="21"/>
                      <w:lang w:val="en-US" w:eastAsia="zh-CN"/>
                    </w:rPr>
                    <w:t>《大气污染物综合排放标准》（GB16297-1996）中无组织排放监控浓度限值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vAlign w:val="center"/>
                </w:tcPr>
                <w:p>
                  <w:pPr>
                    <w:spacing w:line="240" w:lineRule="auto"/>
                    <w:ind w:firstLine="0" w:firstLineChars="0"/>
                    <w:contextualSpacing/>
                    <w:jc w:val="center"/>
                    <w:rPr>
                      <w:rFonts w:cs="Times New Roman"/>
                      <w:sz w:val="21"/>
                      <w:szCs w:val="21"/>
                    </w:rPr>
                  </w:pPr>
                  <w:r>
                    <w:rPr>
                      <w:rFonts w:cs="Times New Roman"/>
                      <w:sz w:val="21"/>
                      <w:szCs w:val="21"/>
                    </w:rPr>
                    <w:t>噪声</w:t>
                  </w:r>
                </w:p>
              </w:tc>
              <w:tc>
                <w:tcPr>
                  <w:tcW w:w="1528" w:type="dxa"/>
                  <w:vAlign w:val="center"/>
                </w:tcPr>
                <w:p>
                  <w:pPr>
                    <w:spacing w:line="240" w:lineRule="auto"/>
                    <w:ind w:firstLine="0" w:firstLineChars="0"/>
                    <w:contextualSpacing/>
                    <w:jc w:val="center"/>
                    <w:rPr>
                      <w:rFonts w:cs="Times New Roman"/>
                      <w:sz w:val="21"/>
                      <w:szCs w:val="21"/>
                    </w:rPr>
                  </w:pPr>
                  <w:r>
                    <w:rPr>
                      <w:rFonts w:cs="Times New Roman"/>
                      <w:sz w:val="21"/>
                      <w:szCs w:val="21"/>
                    </w:rPr>
                    <w:t>设备噪声</w:t>
                  </w:r>
                </w:p>
              </w:tc>
              <w:tc>
                <w:tcPr>
                  <w:tcW w:w="2653" w:type="dxa"/>
                  <w:vAlign w:val="center"/>
                </w:tcPr>
                <w:p>
                  <w:pPr>
                    <w:spacing w:line="240" w:lineRule="auto"/>
                    <w:ind w:firstLine="0" w:firstLineChars="0"/>
                    <w:contextualSpacing/>
                    <w:jc w:val="center"/>
                    <w:rPr>
                      <w:rFonts w:cs="Times New Roman"/>
                      <w:sz w:val="21"/>
                      <w:szCs w:val="21"/>
                    </w:rPr>
                  </w:pPr>
                  <w:r>
                    <w:rPr>
                      <w:rFonts w:cs="Times New Roman"/>
                      <w:sz w:val="21"/>
                      <w:szCs w:val="21"/>
                    </w:rPr>
                    <w:t>选用低噪声设备，并对高噪声设备进行基础隔声、减振措施</w:t>
                  </w:r>
                </w:p>
              </w:tc>
              <w:tc>
                <w:tcPr>
                  <w:tcW w:w="3488" w:type="dxa"/>
                  <w:vAlign w:val="center"/>
                </w:tcPr>
                <w:p>
                  <w:pPr>
                    <w:spacing w:line="240" w:lineRule="auto"/>
                    <w:ind w:firstLine="0" w:firstLineChars="0"/>
                    <w:contextualSpacing/>
                    <w:jc w:val="center"/>
                    <w:rPr>
                      <w:rFonts w:cs="Times New Roman"/>
                      <w:sz w:val="21"/>
                      <w:szCs w:val="21"/>
                    </w:rPr>
                  </w:pPr>
                  <w:r>
                    <w:rPr>
                      <w:rFonts w:cs="Times New Roman"/>
                      <w:sz w:val="21"/>
                      <w:szCs w:val="21"/>
                    </w:rPr>
                    <w:t>厂界噪声满足《工业企业厂界环境噪声控制标准》（GB12348-2008）</w:t>
                  </w:r>
                  <w:r>
                    <w:rPr>
                      <w:rFonts w:hint="eastAsia" w:cs="Times New Roman"/>
                      <w:sz w:val="21"/>
                      <w:szCs w:val="21"/>
                    </w:rPr>
                    <w:t>3</w:t>
                  </w:r>
                  <w:r>
                    <w:rPr>
                      <w:rFonts w:cs="Times New Roman"/>
                      <w:sz w:val="21"/>
                      <w:szCs w:val="21"/>
                    </w:rPr>
                    <w:t>类要求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vMerge w:val="restart"/>
                  <w:vAlign w:val="center"/>
                </w:tcPr>
                <w:p>
                  <w:pPr>
                    <w:spacing w:line="240" w:lineRule="auto"/>
                    <w:ind w:firstLine="0" w:firstLineChars="0"/>
                    <w:contextualSpacing/>
                    <w:jc w:val="center"/>
                    <w:rPr>
                      <w:rFonts w:cs="Times New Roman"/>
                      <w:sz w:val="21"/>
                      <w:szCs w:val="21"/>
                    </w:rPr>
                  </w:pPr>
                  <w:r>
                    <w:rPr>
                      <w:rFonts w:cs="Times New Roman"/>
                      <w:sz w:val="21"/>
                      <w:szCs w:val="21"/>
                    </w:rPr>
                    <w:t>固废</w:t>
                  </w:r>
                </w:p>
              </w:tc>
              <w:tc>
                <w:tcPr>
                  <w:tcW w:w="1528" w:type="dxa"/>
                  <w:vAlign w:val="center"/>
                </w:tcPr>
                <w:p>
                  <w:pPr>
                    <w:spacing w:line="240" w:lineRule="auto"/>
                    <w:ind w:firstLine="0" w:firstLineChars="0"/>
                    <w:contextualSpacing/>
                    <w:jc w:val="center"/>
                    <w:rPr>
                      <w:rFonts w:cs="Times New Roman"/>
                      <w:sz w:val="21"/>
                      <w:szCs w:val="21"/>
                    </w:rPr>
                  </w:pPr>
                  <w:r>
                    <w:rPr>
                      <w:rFonts w:cs="Times New Roman"/>
                      <w:sz w:val="21"/>
                      <w:szCs w:val="21"/>
                    </w:rPr>
                    <w:t>一般工业固废</w:t>
                  </w:r>
                </w:p>
              </w:tc>
              <w:tc>
                <w:tcPr>
                  <w:tcW w:w="2653" w:type="dxa"/>
                  <w:vAlign w:val="center"/>
                </w:tcPr>
                <w:p>
                  <w:pPr>
                    <w:spacing w:line="240" w:lineRule="auto"/>
                    <w:ind w:firstLine="0" w:firstLineChars="0"/>
                    <w:contextualSpacing/>
                    <w:jc w:val="center"/>
                    <w:rPr>
                      <w:rFonts w:cs="Times New Roman"/>
                      <w:sz w:val="21"/>
                      <w:szCs w:val="21"/>
                    </w:rPr>
                  </w:pPr>
                  <w:r>
                    <w:rPr>
                      <w:rFonts w:hint="eastAsia" w:cs="Times New Roman"/>
                      <w:sz w:val="21"/>
                      <w:szCs w:val="21"/>
                    </w:rPr>
                    <w:t>废纸、边角料</w:t>
                  </w:r>
                  <w:r>
                    <w:rPr>
                      <w:rFonts w:cs="Times New Roman"/>
                      <w:sz w:val="21"/>
                      <w:szCs w:val="21"/>
                    </w:rPr>
                    <w:t>集中收集，定期外售；</w:t>
                  </w:r>
                </w:p>
              </w:tc>
              <w:tc>
                <w:tcPr>
                  <w:tcW w:w="3488" w:type="dxa"/>
                  <w:vAlign w:val="center"/>
                </w:tcPr>
                <w:p>
                  <w:pPr>
                    <w:spacing w:line="240" w:lineRule="auto"/>
                    <w:ind w:firstLine="0" w:firstLineChars="0"/>
                    <w:contextualSpacing/>
                    <w:jc w:val="center"/>
                    <w:rPr>
                      <w:rFonts w:cs="Times New Roman"/>
                      <w:sz w:val="21"/>
                      <w:szCs w:val="21"/>
                    </w:rPr>
                  </w:pPr>
                  <w:r>
                    <w:rPr>
                      <w:rFonts w:cs="Times New Roman"/>
                      <w:sz w:val="21"/>
                      <w:szCs w:val="21"/>
                    </w:rPr>
                    <w:t>满足《一般工业固体废物贮存和填埋污染控制标准》（GB18599-2020）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vMerge w:val="continue"/>
                  <w:vAlign w:val="center"/>
                </w:tcPr>
                <w:p>
                  <w:pPr>
                    <w:spacing w:line="240" w:lineRule="auto"/>
                    <w:ind w:firstLine="0" w:firstLineChars="0"/>
                    <w:contextualSpacing/>
                    <w:jc w:val="center"/>
                    <w:rPr>
                      <w:rFonts w:cs="Times New Roman"/>
                      <w:sz w:val="21"/>
                      <w:szCs w:val="21"/>
                    </w:rPr>
                  </w:pPr>
                </w:p>
              </w:tc>
              <w:tc>
                <w:tcPr>
                  <w:tcW w:w="1528" w:type="dxa"/>
                  <w:vAlign w:val="center"/>
                </w:tcPr>
                <w:p>
                  <w:pPr>
                    <w:spacing w:line="240" w:lineRule="auto"/>
                    <w:ind w:firstLine="0" w:firstLineChars="0"/>
                    <w:contextualSpacing/>
                    <w:jc w:val="center"/>
                    <w:rPr>
                      <w:rFonts w:cs="Times New Roman"/>
                      <w:sz w:val="21"/>
                      <w:szCs w:val="21"/>
                    </w:rPr>
                  </w:pPr>
                  <w:r>
                    <w:rPr>
                      <w:rFonts w:hint="eastAsia" w:cs="Times New Roman"/>
                      <w:sz w:val="21"/>
                      <w:szCs w:val="21"/>
                    </w:rPr>
                    <w:t>危险废物</w:t>
                  </w:r>
                </w:p>
              </w:tc>
              <w:tc>
                <w:tcPr>
                  <w:tcW w:w="2653" w:type="dxa"/>
                  <w:vAlign w:val="center"/>
                </w:tcPr>
                <w:p>
                  <w:pPr>
                    <w:spacing w:line="240" w:lineRule="auto"/>
                    <w:ind w:firstLine="0" w:firstLineChars="0"/>
                    <w:contextualSpacing/>
                    <w:jc w:val="center"/>
                    <w:rPr>
                      <w:rFonts w:cs="Times New Roman"/>
                      <w:sz w:val="21"/>
                      <w:szCs w:val="21"/>
                    </w:rPr>
                  </w:pPr>
                  <w:r>
                    <w:rPr>
                      <w:rFonts w:cs="Times New Roman"/>
                      <w:color w:val="000000"/>
                      <w:sz w:val="21"/>
                      <w:szCs w:val="21"/>
                    </w:rPr>
                    <w:t>危险废物集中收集后，暂存于</w:t>
                  </w:r>
                  <w:r>
                    <w:rPr>
                      <w:rFonts w:hint="eastAsia" w:cs="Times New Roman"/>
                      <w:color w:val="000000"/>
                      <w:sz w:val="21"/>
                      <w:szCs w:val="21"/>
                    </w:rPr>
                    <w:t>新疆中泰亨惠医疗卫材股份有限公司</w:t>
                  </w:r>
                  <w:r>
                    <w:rPr>
                      <w:rFonts w:hint="default" w:cs="Times New Roman"/>
                      <w:color w:val="000000"/>
                      <w:sz w:val="21"/>
                      <w:szCs w:val="21"/>
                      <w:lang w:eastAsia="zh-CN"/>
                    </w:rPr>
                    <w:t>危险废物贮存点</w:t>
                  </w:r>
                  <w:r>
                    <w:rPr>
                      <w:rFonts w:cs="Times New Roman"/>
                      <w:color w:val="000000"/>
                      <w:sz w:val="21"/>
                      <w:szCs w:val="21"/>
                    </w:rPr>
                    <w:t>，定期交由有危险废物处理资质的单位回收处理</w:t>
                  </w:r>
                </w:p>
              </w:tc>
              <w:tc>
                <w:tcPr>
                  <w:tcW w:w="3488" w:type="dxa"/>
                  <w:vAlign w:val="center"/>
                </w:tcPr>
                <w:p>
                  <w:pPr>
                    <w:spacing w:line="240" w:lineRule="auto"/>
                    <w:ind w:firstLine="0" w:firstLineChars="0"/>
                    <w:contextualSpacing/>
                    <w:jc w:val="center"/>
                    <w:rPr>
                      <w:rFonts w:cs="Times New Roman"/>
                      <w:sz w:val="21"/>
                      <w:szCs w:val="21"/>
                    </w:rPr>
                  </w:pPr>
                  <w:r>
                    <w:rPr>
                      <w:rFonts w:cs="Times New Roman"/>
                      <w:kern w:val="0"/>
                      <w:sz w:val="21"/>
                      <w:szCs w:val="21"/>
                    </w:rPr>
                    <w:t>《危险废物贮存污染控制标准》（GB18597-2023）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vAlign w:val="center"/>
                </w:tcPr>
                <w:p>
                  <w:pPr>
                    <w:spacing w:line="240" w:lineRule="auto"/>
                    <w:ind w:firstLine="0" w:firstLineChars="0"/>
                    <w:contextualSpacing/>
                    <w:jc w:val="center"/>
                    <w:rPr>
                      <w:rFonts w:hint="eastAsia" w:eastAsia="宋体" w:cs="Times New Roman"/>
                      <w:sz w:val="21"/>
                      <w:szCs w:val="21"/>
                      <w:lang w:val="en-US" w:eastAsia="zh-CN"/>
                    </w:rPr>
                  </w:pPr>
                  <w:r>
                    <w:rPr>
                      <w:rFonts w:hint="eastAsia" w:cs="Times New Roman"/>
                      <w:sz w:val="21"/>
                      <w:szCs w:val="21"/>
                      <w:lang w:val="en-US" w:eastAsia="zh-CN"/>
                    </w:rPr>
                    <w:t>其他</w:t>
                  </w:r>
                </w:p>
              </w:tc>
              <w:tc>
                <w:tcPr>
                  <w:tcW w:w="1528" w:type="dxa"/>
                  <w:vAlign w:val="center"/>
                </w:tcPr>
                <w:p>
                  <w:pPr>
                    <w:spacing w:line="240" w:lineRule="auto"/>
                    <w:ind w:firstLine="0" w:firstLineChars="0"/>
                    <w:contextualSpacing/>
                    <w:jc w:val="center"/>
                    <w:rPr>
                      <w:rFonts w:hint="eastAsia" w:eastAsia="宋体" w:cs="Times New Roman"/>
                      <w:sz w:val="21"/>
                      <w:szCs w:val="21"/>
                      <w:lang w:eastAsia="zh-CN"/>
                    </w:rPr>
                  </w:pPr>
                  <w:r>
                    <w:rPr>
                      <w:rFonts w:hint="eastAsia" w:cs="Times New Roman"/>
                      <w:sz w:val="21"/>
                      <w:szCs w:val="21"/>
                      <w:lang w:val="en-US" w:eastAsia="zh-CN"/>
                    </w:rPr>
                    <w:t>原辅材料</w:t>
                  </w:r>
                </w:p>
              </w:tc>
              <w:tc>
                <w:tcPr>
                  <w:tcW w:w="2653" w:type="dxa"/>
                  <w:vAlign w:val="center"/>
                </w:tcPr>
                <w:p>
                  <w:pPr>
                    <w:spacing w:line="240" w:lineRule="auto"/>
                    <w:ind w:firstLine="0" w:firstLineChars="0"/>
                    <w:contextualSpacing/>
                    <w:jc w:val="center"/>
                    <w:rPr>
                      <w:rFonts w:cs="Times New Roman"/>
                      <w:color w:val="000000"/>
                      <w:sz w:val="21"/>
                      <w:szCs w:val="21"/>
                    </w:rPr>
                  </w:pPr>
                  <w:r>
                    <w:rPr>
                      <w:rFonts w:cs="Times New Roman"/>
                      <w:color w:val="000000"/>
                      <w:sz w:val="21"/>
                      <w:szCs w:val="21"/>
                    </w:rPr>
                    <w:t>建设单位需提交胶粘剂采购合同、供应商资质、每批次成分检测报告</w:t>
                  </w:r>
                </w:p>
              </w:tc>
              <w:tc>
                <w:tcPr>
                  <w:tcW w:w="3488" w:type="dxa"/>
                  <w:vAlign w:val="center"/>
                </w:tcPr>
                <w:p>
                  <w:pPr>
                    <w:spacing w:line="240" w:lineRule="auto"/>
                    <w:ind w:firstLine="0" w:firstLineChars="0"/>
                    <w:contextualSpacing/>
                    <w:jc w:val="center"/>
                    <w:rPr>
                      <w:rFonts w:cs="Times New Roman"/>
                      <w:kern w:val="0"/>
                      <w:sz w:val="21"/>
                      <w:szCs w:val="21"/>
                    </w:rPr>
                  </w:pPr>
                  <w:r>
                    <w:rPr>
                      <w:rFonts w:cs="Times New Roman"/>
                      <w:kern w:val="0"/>
                      <w:sz w:val="21"/>
                      <w:szCs w:val="21"/>
                    </w:rPr>
                    <w:t>资料完整且检测达标，符合《环境标志产品技术要求 胶粘剂》</w:t>
                  </w:r>
                </w:p>
              </w:tc>
            </w:tr>
          </w:tbl>
          <w:p>
            <w:pPr>
              <w:pStyle w:val="36"/>
              <w:ind w:firstLine="0" w:firstLineChars="0"/>
            </w:pPr>
          </w:p>
        </w:tc>
      </w:tr>
    </w:tbl>
    <w:p>
      <w:pPr>
        <w:ind w:firstLine="480"/>
        <w:rPr>
          <w:snapToGrid w:val="0"/>
        </w:rPr>
      </w:pPr>
      <w:bookmarkStart w:id="13" w:name="_Hlk54167917"/>
      <w:r>
        <w:rPr>
          <w:rFonts w:hint="eastAsia"/>
          <w:snapToGrid w:val="0"/>
        </w:rPr>
        <w:br w:type="page"/>
      </w:r>
    </w:p>
    <w:p>
      <w:pPr>
        <w:pStyle w:val="3"/>
        <w:rPr>
          <w:snapToGrid w:val="0"/>
        </w:rPr>
      </w:pPr>
      <w:r>
        <w:rPr>
          <w:rFonts w:hint="eastAsia"/>
          <w:snapToGrid w:val="0"/>
        </w:rPr>
        <w:t>五、环境保护措施监督检查清单</w:t>
      </w:r>
      <w:bookmarkEnd w:id="13"/>
    </w:p>
    <w:tbl>
      <w:tblPr>
        <w:tblStyle w:val="29"/>
        <w:tblW w:w="88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6"/>
        <w:gridCol w:w="1756"/>
        <w:gridCol w:w="1756"/>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op w:val="single" w:color="auto" w:sz="8" w:space="0"/>
              <w:left w:val="single" w:color="auto" w:sz="8" w:space="0"/>
              <w:bottom w:val="single" w:color="auto" w:sz="4" w:space="0"/>
              <w:tl2br w:val="single" w:color="auto" w:sz="4" w:space="0"/>
            </w:tcBorders>
            <w:vAlign w:val="center"/>
          </w:tcPr>
          <w:p>
            <w:pPr>
              <w:adjustRightInd w:val="0"/>
              <w:snapToGrid w:val="0"/>
              <w:spacing w:line="240" w:lineRule="auto"/>
              <w:ind w:firstLine="840" w:firstLineChars="0"/>
              <w:jc w:val="center"/>
              <w:textAlignment w:val="auto"/>
              <w:rPr>
                <w:rFonts w:cs="Times New Roman"/>
                <w:sz w:val="21"/>
                <w:szCs w:val="21"/>
              </w:rPr>
            </w:pPr>
            <w:r>
              <w:rPr>
                <w:rFonts w:cs="Times New Roman"/>
                <w:sz w:val="21"/>
                <w:szCs w:val="21"/>
              </w:rPr>
              <w:t>内容</w:t>
            </w:r>
          </w:p>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要素</w:t>
            </w:r>
          </w:p>
        </w:tc>
        <w:tc>
          <w:tcPr>
            <w:tcW w:w="1756" w:type="dxa"/>
            <w:tcBorders>
              <w:top w:val="single" w:color="auto" w:sz="8"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排放口(编号、</w:t>
            </w:r>
          </w:p>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名称)/污染源</w:t>
            </w:r>
          </w:p>
        </w:tc>
        <w:tc>
          <w:tcPr>
            <w:tcW w:w="1756" w:type="dxa"/>
            <w:tcBorders>
              <w:top w:val="single" w:color="auto" w:sz="8"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污染物项目</w:t>
            </w:r>
          </w:p>
        </w:tc>
        <w:tc>
          <w:tcPr>
            <w:tcW w:w="1756" w:type="dxa"/>
            <w:tcBorders>
              <w:top w:val="single" w:color="auto" w:sz="8"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环境保护措施</w:t>
            </w:r>
          </w:p>
        </w:tc>
        <w:tc>
          <w:tcPr>
            <w:tcW w:w="1757" w:type="dxa"/>
            <w:tcBorders>
              <w:top w:val="single" w:color="auto" w:sz="8" w:space="0"/>
              <w:bottom w:val="single" w:color="auto" w:sz="4" w:space="0"/>
              <w:right w:val="single" w:color="auto" w:sz="8"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tcBorders>
              <w:top w:val="single" w:color="auto" w:sz="4" w:space="0"/>
              <w:left w:val="single" w:color="auto" w:sz="8"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大气环境</w:t>
            </w:r>
          </w:p>
        </w:tc>
        <w:tc>
          <w:tcPr>
            <w:tcW w:w="1756" w:type="dxa"/>
            <w:tcBorders>
              <w:top w:val="single" w:color="auto" w:sz="4"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hint="eastAsia" w:cs="Times New Roman"/>
                <w:sz w:val="21"/>
                <w:szCs w:val="21"/>
                <w:lang w:val="en-US" w:eastAsia="zh-CN"/>
              </w:rPr>
              <w:t>厂界无组织</w:t>
            </w:r>
          </w:p>
        </w:tc>
        <w:tc>
          <w:tcPr>
            <w:tcW w:w="1756" w:type="dxa"/>
            <w:tcBorders>
              <w:top w:val="single" w:color="auto" w:sz="4" w:space="0"/>
              <w:bottom w:val="single" w:color="auto" w:sz="4" w:space="0"/>
            </w:tcBorders>
            <w:vAlign w:val="center"/>
          </w:tcPr>
          <w:p>
            <w:pPr>
              <w:adjustRightInd w:val="0"/>
              <w:snapToGrid w:val="0"/>
              <w:spacing w:line="240" w:lineRule="auto"/>
              <w:ind w:firstLine="0" w:firstLineChars="0"/>
              <w:jc w:val="center"/>
              <w:textAlignment w:val="auto"/>
              <w:rPr>
                <w:rFonts w:hint="default" w:eastAsia="宋体" w:cs="Times New Roman"/>
                <w:sz w:val="21"/>
                <w:szCs w:val="21"/>
                <w:lang w:val="en-US" w:eastAsia="zh-CN"/>
              </w:rPr>
            </w:pPr>
            <w:r>
              <w:rPr>
                <w:rFonts w:hint="eastAsia" w:cs="Times New Roman"/>
                <w:sz w:val="21"/>
                <w:szCs w:val="21"/>
                <w:lang w:val="en-US" w:eastAsia="zh-CN"/>
              </w:rPr>
              <w:t>颗粒物</w:t>
            </w:r>
          </w:p>
        </w:tc>
        <w:tc>
          <w:tcPr>
            <w:tcW w:w="1756" w:type="dxa"/>
            <w:tcBorders>
              <w:top w:val="single" w:color="auto" w:sz="4"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hint="eastAsia" w:cs="Times New Roman"/>
                <w:sz w:val="21"/>
                <w:szCs w:val="21"/>
                <w:lang w:val="en-US" w:eastAsia="zh-CN"/>
              </w:rPr>
              <w:t>加强通风</w:t>
            </w:r>
          </w:p>
        </w:tc>
        <w:tc>
          <w:tcPr>
            <w:tcW w:w="1757" w:type="dxa"/>
            <w:tcBorders>
              <w:top w:val="single" w:color="auto" w:sz="4" w:space="0"/>
              <w:right w:val="single" w:color="auto" w:sz="8" w:space="0"/>
            </w:tcBorders>
            <w:vAlign w:val="center"/>
          </w:tcPr>
          <w:p>
            <w:pPr>
              <w:adjustRightInd w:val="0"/>
              <w:snapToGrid w:val="0"/>
              <w:spacing w:line="240" w:lineRule="auto"/>
              <w:ind w:firstLine="0" w:firstLineChars="0"/>
              <w:textAlignment w:val="auto"/>
              <w:rPr>
                <w:rFonts w:cs="Times New Roman"/>
                <w:sz w:val="21"/>
              </w:rPr>
            </w:pPr>
            <w:r>
              <w:rPr>
                <w:rFonts w:hint="eastAsia" w:cs="Times New Roman"/>
                <w:sz w:val="21"/>
              </w:rPr>
              <w:t>《大气污染物综合排放标准》（GB16297-1996）中无组织排放监控浓度限值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778" w:type="dxa"/>
            <w:tcBorders>
              <w:top w:val="single" w:color="auto" w:sz="4" w:space="0"/>
              <w:left w:val="single" w:color="auto" w:sz="8"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声环境</w:t>
            </w:r>
          </w:p>
        </w:tc>
        <w:tc>
          <w:tcPr>
            <w:tcW w:w="1756" w:type="dxa"/>
            <w:tcBorders>
              <w:top w:val="single" w:color="auto" w:sz="4"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生产设备</w:t>
            </w:r>
          </w:p>
        </w:tc>
        <w:tc>
          <w:tcPr>
            <w:tcW w:w="1756" w:type="dxa"/>
            <w:tcBorders>
              <w:top w:val="single" w:color="auto" w:sz="4"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hint="eastAsia" w:cs="Times New Roman"/>
                <w:sz w:val="21"/>
                <w:szCs w:val="21"/>
              </w:rPr>
              <w:t>等效连续A声级</w:t>
            </w:r>
          </w:p>
        </w:tc>
        <w:tc>
          <w:tcPr>
            <w:tcW w:w="1756" w:type="dxa"/>
            <w:tcBorders>
              <w:top w:val="single" w:color="auto" w:sz="4"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sz w:val="21"/>
                <w:szCs w:val="21"/>
              </w:rPr>
              <w:t>选用低噪声设备，并对高噪声设备进行基础隔声、减振措施</w:t>
            </w:r>
          </w:p>
        </w:tc>
        <w:tc>
          <w:tcPr>
            <w:tcW w:w="1757" w:type="dxa"/>
            <w:tcBorders>
              <w:top w:val="single" w:color="auto" w:sz="4" w:space="0"/>
              <w:bottom w:val="single" w:color="auto" w:sz="4" w:space="0"/>
              <w:right w:val="single" w:color="auto" w:sz="8" w:space="0"/>
            </w:tcBorders>
            <w:vAlign w:val="center"/>
          </w:tcPr>
          <w:p>
            <w:pPr>
              <w:adjustRightInd w:val="0"/>
              <w:snapToGrid w:val="0"/>
              <w:spacing w:line="240" w:lineRule="auto"/>
              <w:ind w:firstLine="0" w:firstLineChars="0"/>
              <w:textAlignment w:val="auto"/>
              <w:rPr>
                <w:rFonts w:cs="Times New Roman"/>
                <w:sz w:val="21"/>
                <w:szCs w:val="21"/>
              </w:rPr>
            </w:pPr>
            <w:r>
              <w:rPr>
                <w:rFonts w:cs="Times New Roman"/>
                <w:sz w:val="21"/>
                <w:szCs w:val="21"/>
              </w:rPr>
              <w:t>《工业企业厂界环境噪声排放标准》（GB12348-2008）中</w:t>
            </w:r>
            <w:r>
              <w:rPr>
                <w:rFonts w:hint="eastAsia" w:cs="Times New Roman"/>
                <w:sz w:val="21"/>
                <w:szCs w:val="21"/>
              </w:rPr>
              <w:t>3</w:t>
            </w:r>
            <w:r>
              <w:rPr>
                <w:rFonts w:cs="Times New Roman"/>
                <w:sz w:val="21"/>
                <w:szCs w:val="21"/>
              </w:rPr>
              <w:t>类声环境功能区标准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78" w:type="dxa"/>
            <w:vMerge w:val="restart"/>
            <w:tcBorders>
              <w:top w:val="single" w:color="auto" w:sz="4" w:space="0"/>
              <w:left w:val="single" w:color="auto" w:sz="8"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固体废物</w:t>
            </w:r>
          </w:p>
        </w:tc>
        <w:tc>
          <w:tcPr>
            <w:tcW w:w="5268" w:type="dxa"/>
            <w:gridSpan w:val="3"/>
            <w:tcBorders>
              <w:top w:val="single" w:color="auto" w:sz="4"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hint="eastAsia" w:cs="Times New Roman"/>
                <w:sz w:val="21"/>
                <w:szCs w:val="21"/>
              </w:rPr>
              <w:t>废纸、边角料</w:t>
            </w:r>
            <w:r>
              <w:rPr>
                <w:rFonts w:cs="Times New Roman"/>
                <w:sz w:val="21"/>
                <w:szCs w:val="21"/>
              </w:rPr>
              <w:t>集中收集，定期外售；</w:t>
            </w:r>
          </w:p>
        </w:tc>
        <w:tc>
          <w:tcPr>
            <w:tcW w:w="1757" w:type="dxa"/>
            <w:tcBorders>
              <w:top w:val="single" w:color="auto" w:sz="4" w:space="0"/>
              <w:right w:val="single" w:color="auto" w:sz="8" w:space="0"/>
            </w:tcBorders>
            <w:vAlign w:val="center"/>
          </w:tcPr>
          <w:p>
            <w:pPr>
              <w:adjustRightInd w:val="0"/>
              <w:snapToGrid w:val="0"/>
              <w:spacing w:line="240" w:lineRule="auto"/>
              <w:ind w:firstLine="0" w:firstLineChars="0"/>
              <w:textAlignment w:val="auto"/>
              <w:rPr>
                <w:rFonts w:cs="Times New Roman"/>
                <w:sz w:val="21"/>
                <w:szCs w:val="21"/>
              </w:rPr>
            </w:pPr>
            <w:r>
              <w:rPr>
                <w:rFonts w:cs="Times New Roman"/>
                <w:sz w:val="21"/>
                <w:szCs w:val="21"/>
              </w:rPr>
              <w:t>《一般工业固体废物贮存和填埋污染控制标准》(GB18599-2020)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78" w:type="dxa"/>
            <w:vMerge w:val="continue"/>
            <w:tcBorders>
              <w:left w:val="single" w:color="auto" w:sz="8"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p>
        </w:tc>
        <w:tc>
          <w:tcPr>
            <w:tcW w:w="5268" w:type="dxa"/>
            <w:gridSpan w:val="3"/>
            <w:tcBorders>
              <w:top w:val="single" w:color="auto" w:sz="4"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hint="eastAsia" w:cs="Times New Roman"/>
                <w:sz w:val="21"/>
                <w:szCs w:val="21"/>
              </w:rPr>
              <w:t>危险废物临时储存在</w:t>
            </w:r>
            <w:r>
              <w:rPr>
                <w:rFonts w:hint="eastAsia" w:cs="Times New Roman"/>
                <w:color w:val="000000"/>
                <w:sz w:val="21"/>
                <w:szCs w:val="21"/>
              </w:rPr>
              <w:t>新疆中泰亨惠医疗卫材股份有限公司</w:t>
            </w:r>
            <w:r>
              <w:rPr>
                <w:rFonts w:hint="default" w:cs="Times New Roman"/>
                <w:color w:val="000000"/>
                <w:sz w:val="21"/>
                <w:szCs w:val="21"/>
                <w:lang w:eastAsia="zh-CN"/>
              </w:rPr>
              <w:t>危险废物贮存点</w:t>
            </w:r>
            <w:r>
              <w:rPr>
                <w:rFonts w:hint="eastAsia" w:cs="Times New Roman"/>
                <w:sz w:val="21"/>
                <w:szCs w:val="21"/>
              </w:rPr>
              <w:t>内，委托有资质单位定期回收</w:t>
            </w:r>
          </w:p>
        </w:tc>
        <w:tc>
          <w:tcPr>
            <w:tcW w:w="1757" w:type="dxa"/>
            <w:tcBorders>
              <w:top w:val="single" w:color="auto" w:sz="4" w:space="0"/>
              <w:right w:val="single" w:color="auto" w:sz="8" w:space="0"/>
            </w:tcBorders>
            <w:vAlign w:val="center"/>
          </w:tcPr>
          <w:p>
            <w:pPr>
              <w:adjustRightInd w:val="0"/>
              <w:snapToGrid w:val="0"/>
              <w:spacing w:line="240" w:lineRule="auto"/>
              <w:ind w:firstLine="0" w:firstLineChars="0"/>
              <w:textAlignment w:val="auto"/>
              <w:rPr>
                <w:rFonts w:cs="Times New Roman"/>
                <w:sz w:val="21"/>
                <w:szCs w:val="21"/>
              </w:rPr>
            </w:pPr>
            <w:r>
              <w:rPr>
                <w:rFonts w:cs="Times New Roman"/>
                <w:kern w:val="0"/>
                <w:sz w:val="21"/>
                <w:szCs w:val="21"/>
              </w:rPr>
              <w:t>《危险废物贮存污染控制标准》（GB18597-20</w:t>
            </w:r>
            <w:r>
              <w:rPr>
                <w:rFonts w:hint="eastAsia" w:cs="Times New Roman"/>
                <w:kern w:val="0"/>
                <w:sz w:val="21"/>
                <w:szCs w:val="21"/>
              </w:rPr>
              <w:t>23</w:t>
            </w:r>
            <w:r>
              <w:rPr>
                <w:rFonts w:cs="Times New Roman"/>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778" w:type="dxa"/>
            <w:tcBorders>
              <w:top w:val="single" w:color="auto" w:sz="4" w:space="0"/>
              <w:left w:val="single" w:color="auto" w:sz="8"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土壤及地下水</w:t>
            </w:r>
          </w:p>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污染防治措施</w:t>
            </w:r>
          </w:p>
        </w:tc>
        <w:tc>
          <w:tcPr>
            <w:tcW w:w="7025" w:type="dxa"/>
            <w:gridSpan w:val="4"/>
            <w:tcBorders>
              <w:top w:val="single" w:color="auto" w:sz="4" w:space="0"/>
              <w:bottom w:val="single" w:color="auto" w:sz="4" w:space="0"/>
              <w:right w:val="single" w:color="auto" w:sz="8"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hint="eastAsia" w:cs="Times New Roman"/>
                <w:sz w:val="21"/>
                <w:szCs w:val="21"/>
              </w:rPr>
              <w:t>采取地面防渗等措施，可以有效保证污染物不会流失进入土壤、地下水环</w:t>
            </w:r>
          </w:p>
          <w:p>
            <w:pPr>
              <w:adjustRightInd w:val="0"/>
              <w:snapToGrid w:val="0"/>
              <w:spacing w:line="240" w:lineRule="auto"/>
              <w:ind w:firstLine="0" w:firstLineChars="0"/>
              <w:jc w:val="center"/>
              <w:textAlignment w:val="auto"/>
              <w:rPr>
                <w:rFonts w:cs="Times New Roman"/>
                <w:sz w:val="21"/>
                <w:szCs w:val="21"/>
              </w:rPr>
            </w:pPr>
            <w:r>
              <w:rPr>
                <w:rFonts w:hint="eastAsia" w:cs="Times New Roman"/>
                <w:sz w:val="21"/>
                <w:szCs w:val="21"/>
              </w:rPr>
              <w:t>境，防止污染物污染土壤、地下水。项目污水站基底做防渗处理，区域的</w:t>
            </w:r>
          </w:p>
          <w:p>
            <w:pPr>
              <w:adjustRightInd w:val="0"/>
              <w:snapToGrid w:val="0"/>
              <w:spacing w:line="240" w:lineRule="auto"/>
              <w:ind w:firstLine="0" w:firstLineChars="0"/>
              <w:jc w:val="center"/>
              <w:textAlignment w:val="auto"/>
              <w:rPr>
                <w:rFonts w:cs="Times New Roman"/>
                <w:sz w:val="21"/>
                <w:szCs w:val="21"/>
              </w:rPr>
            </w:pPr>
            <w:r>
              <w:rPr>
                <w:rFonts w:hint="eastAsia" w:cs="Times New Roman"/>
                <w:sz w:val="21"/>
                <w:szCs w:val="21"/>
              </w:rPr>
              <w:t>地面采用相应的防渗措施，以达到各防渗区的防渗技术要求。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78" w:type="dxa"/>
            <w:tcBorders>
              <w:top w:val="single" w:color="auto" w:sz="4" w:space="0"/>
              <w:left w:val="single" w:color="auto" w:sz="8" w:space="0"/>
              <w:bottom w:val="single" w:color="auto" w:sz="4" w:space="0"/>
            </w:tcBorders>
            <w:vAlign w:val="center"/>
          </w:tcPr>
          <w:p>
            <w:pPr>
              <w:adjustRightInd w:val="0"/>
              <w:snapToGrid w:val="0"/>
              <w:spacing w:line="240" w:lineRule="auto"/>
              <w:ind w:firstLine="0" w:firstLineChars="0"/>
              <w:jc w:val="center"/>
              <w:textAlignment w:val="auto"/>
              <w:rPr>
                <w:rFonts w:cs="Times New Roman"/>
                <w:sz w:val="21"/>
                <w:szCs w:val="21"/>
              </w:rPr>
            </w:pPr>
            <w:r>
              <w:rPr>
                <w:rFonts w:cs="Times New Roman"/>
                <w:sz w:val="21"/>
                <w:szCs w:val="21"/>
              </w:rPr>
              <w:t>生态保护措施</w:t>
            </w:r>
          </w:p>
        </w:tc>
        <w:tc>
          <w:tcPr>
            <w:tcW w:w="7025" w:type="dxa"/>
            <w:gridSpan w:val="4"/>
            <w:tcBorders>
              <w:top w:val="single" w:color="auto" w:sz="4" w:space="0"/>
              <w:bottom w:val="single" w:color="auto" w:sz="4" w:space="0"/>
              <w:right w:val="single" w:color="auto" w:sz="8" w:space="0"/>
            </w:tcBorders>
            <w:vAlign w:val="center"/>
          </w:tcPr>
          <w:p>
            <w:pPr>
              <w:spacing w:line="240" w:lineRule="auto"/>
              <w:ind w:firstLine="0" w:firstLineChars="0"/>
              <w:jc w:val="center"/>
              <w:textAlignment w:val="auto"/>
              <w:rPr>
                <w:rFonts w:cs="Times New Roman"/>
                <w:sz w:val="21"/>
                <w:szCs w:val="21"/>
              </w:rPr>
            </w:pPr>
            <w:r>
              <w:rPr>
                <w:rFonts w:cs="Times New Roman"/>
                <w:sz w:val="21"/>
                <w:szCs w:val="21"/>
              </w:rPr>
              <w:t>厂区绿化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778" w:type="dxa"/>
            <w:tcBorders>
              <w:top w:val="single" w:color="auto" w:sz="4" w:space="0"/>
              <w:left w:val="single" w:color="auto" w:sz="8" w:space="0"/>
              <w:bottom w:val="single" w:color="auto" w:sz="4" w:space="0"/>
            </w:tcBorders>
            <w:vAlign w:val="center"/>
          </w:tcPr>
          <w:p>
            <w:pPr>
              <w:adjustRightInd w:val="0"/>
              <w:snapToGrid w:val="0"/>
              <w:spacing w:line="240" w:lineRule="auto"/>
              <w:ind w:firstLine="0" w:firstLineChars="0"/>
              <w:jc w:val="center"/>
              <w:textAlignment w:val="auto"/>
              <w:rPr>
                <w:rFonts w:cs="Times New Roman"/>
                <w:spacing w:val="-8"/>
                <w:sz w:val="21"/>
                <w:szCs w:val="21"/>
              </w:rPr>
            </w:pPr>
            <w:r>
              <w:rPr>
                <w:rFonts w:cs="Times New Roman"/>
                <w:spacing w:val="-8"/>
                <w:sz w:val="21"/>
                <w:szCs w:val="21"/>
              </w:rPr>
              <w:t>环境风险</w:t>
            </w:r>
          </w:p>
          <w:p>
            <w:pPr>
              <w:adjustRightInd w:val="0"/>
              <w:snapToGrid w:val="0"/>
              <w:spacing w:line="240" w:lineRule="auto"/>
              <w:ind w:firstLine="0" w:firstLineChars="0"/>
              <w:jc w:val="center"/>
              <w:textAlignment w:val="auto"/>
              <w:rPr>
                <w:rFonts w:cs="Times New Roman"/>
                <w:spacing w:val="-8"/>
                <w:sz w:val="21"/>
                <w:szCs w:val="21"/>
              </w:rPr>
            </w:pPr>
            <w:r>
              <w:rPr>
                <w:rFonts w:cs="Times New Roman"/>
                <w:spacing w:val="-8"/>
                <w:sz w:val="21"/>
                <w:szCs w:val="21"/>
              </w:rPr>
              <w:t>防范措施</w:t>
            </w:r>
          </w:p>
        </w:tc>
        <w:tc>
          <w:tcPr>
            <w:tcW w:w="7025" w:type="dxa"/>
            <w:gridSpan w:val="4"/>
            <w:tcBorders>
              <w:top w:val="single" w:color="auto" w:sz="4" w:space="0"/>
              <w:bottom w:val="single" w:color="auto" w:sz="4" w:space="0"/>
              <w:right w:val="single" w:color="auto" w:sz="8" w:space="0"/>
            </w:tcBorders>
            <w:vAlign w:val="center"/>
          </w:tcPr>
          <w:p>
            <w:pPr>
              <w:spacing w:line="240" w:lineRule="auto"/>
              <w:ind w:firstLine="0" w:firstLineChars="0"/>
              <w:jc w:val="left"/>
              <w:textAlignment w:val="auto"/>
              <w:rPr>
                <w:rFonts w:cs="Times New Roman"/>
                <w:sz w:val="21"/>
                <w:szCs w:val="21"/>
              </w:rPr>
            </w:pPr>
            <w:r>
              <w:rPr>
                <w:rFonts w:cs="Times New Roman"/>
                <w:sz w:val="21"/>
                <w:szCs w:val="21"/>
              </w:rPr>
              <w:t>严格执行安全生产各项制度；</w:t>
            </w:r>
          </w:p>
          <w:p>
            <w:pPr>
              <w:spacing w:line="240" w:lineRule="auto"/>
              <w:ind w:firstLine="0" w:firstLineChars="0"/>
              <w:jc w:val="left"/>
              <w:textAlignment w:val="auto"/>
              <w:rPr>
                <w:rFonts w:cs="Times New Roman"/>
                <w:sz w:val="21"/>
                <w:szCs w:val="21"/>
              </w:rPr>
            </w:pPr>
            <w:r>
              <w:rPr>
                <w:rFonts w:cs="Times New Roman"/>
                <w:sz w:val="21"/>
                <w:szCs w:val="21"/>
              </w:rPr>
              <w:t>定期维护生产设备，防止设备故障造成安全隐患；</w:t>
            </w:r>
          </w:p>
          <w:p>
            <w:pPr>
              <w:spacing w:line="240" w:lineRule="auto"/>
              <w:ind w:firstLine="0" w:firstLineChars="0"/>
              <w:jc w:val="left"/>
              <w:textAlignment w:val="auto"/>
              <w:rPr>
                <w:rFonts w:cs="Times New Roman"/>
                <w:sz w:val="21"/>
                <w:szCs w:val="21"/>
              </w:rPr>
            </w:pPr>
            <w:r>
              <w:rPr>
                <w:rFonts w:cs="Times New Roman"/>
                <w:sz w:val="21"/>
                <w:szCs w:val="21"/>
              </w:rPr>
              <w:t>设置专人对除尘器进行负责；</w:t>
            </w:r>
          </w:p>
          <w:p>
            <w:pPr>
              <w:adjustRightInd w:val="0"/>
              <w:snapToGrid w:val="0"/>
              <w:spacing w:line="240" w:lineRule="auto"/>
              <w:ind w:firstLine="0" w:firstLineChars="0"/>
              <w:jc w:val="left"/>
              <w:textAlignment w:val="auto"/>
              <w:rPr>
                <w:rFonts w:cs="Times New Roman"/>
                <w:sz w:val="21"/>
                <w:szCs w:val="21"/>
              </w:rPr>
            </w:pPr>
            <w:r>
              <w:rPr>
                <w:rFonts w:cs="Times New Roman"/>
                <w:sz w:val="21"/>
                <w:szCs w:val="21"/>
              </w:rPr>
              <w:t>日常进行检查，确保不发生故障。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78" w:type="dxa"/>
            <w:tcBorders>
              <w:top w:val="single" w:color="auto" w:sz="4" w:space="0"/>
              <w:left w:val="single" w:color="auto" w:sz="8" w:space="0"/>
              <w:bottom w:val="single" w:color="auto" w:sz="8" w:space="0"/>
            </w:tcBorders>
            <w:vAlign w:val="center"/>
          </w:tcPr>
          <w:p>
            <w:pPr>
              <w:adjustRightInd w:val="0"/>
              <w:snapToGrid w:val="0"/>
              <w:spacing w:line="240" w:lineRule="auto"/>
              <w:ind w:firstLine="0" w:firstLineChars="0"/>
              <w:jc w:val="center"/>
              <w:textAlignment w:val="auto"/>
              <w:rPr>
                <w:rFonts w:cs="Times New Roman"/>
                <w:spacing w:val="-8"/>
                <w:sz w:val="21"/>
                <w:szCs w:val="21"/>
              </w:rPr>
            </w:pPr>
            <w:r>
              <w:rPr>
                <w:rFonts w:cs="Times New Roman"/>
                <w:spacing w:val="-8"/>
                <w:sz w:val="21"/>
                <w:szCs w:val="21"/>
              </w:rPr>
              <w:t>其他环境</w:t>
            </w:r>
          </w:p>
          <w:p>
            <w:pPr>
              <w:adjustRightInd w:val="0"/>
              <w:snapToGrid w:val="0"/>
              <w:spacing w:line="240" w:lineRule="auto"/>
              <w:ind w:firstLine="0" w:firstLineChars="0"/>
              <w:jc w:val="center"/>
              <w:textAlignment w:val="auto"/>
              <w:rPr>
                <w:rFonts w:cs="Times New Roman"/>
                <w:spacing w:val="-8"/>
                <w:sz w:val="21"/>
                <w:szCs w:val="21"/>
              </w:rPr>
            </w:pPr>
            <w:r>
              <w:rPr>
                <w:rFonts w:cs="Times New Roman"/>
                <w:spacing w:val="-8"/>
                <w:sz w:val="21"/>
                <w:szCs w:val="21"/>
              </w:rPr>
              <w:t>管理要求</w:t>
            </w:r>
          </w:p>
        </w:tc>
        <w:tc>
          <w:tcPr>
            <w:tcW w:w="7025" w:type="dxa"/>
            <w:gridSpan w:val="4"/>
            <w:tcBorders>
              <w:top w:val="single" w:color="auto" w:sz="4" w:space="0"/>
              <w:bottom w:val="single" w:color="auto" w:sz="8" w:space="0"/>
              <w:right w:val="single" w:color="auto" w:sz="8" w:space="0"/>
            </w:tcBorders>
            <w:vAlign w:val="center"/>
          </w:tcPr>
          <w:p>
            <w:pPr>
              <w:adjustRightInd w:val="0"/>
              <w:snapToGrid w:val="0"/>
              <w:spacing w:line="240" w:lineRule="auto"/>
              <w:ind w:firstLine="0" w:firstLineChars="0"/>
              <w:textAlignment w:val="auto"/>
              <w:rPr>
                <w:rFonts w:cs="Times New Roman"/>
                <w:sz w:val="21"/>
                <w:szCs w:val="21"/>
              </w:rPr>
            </w:pPr>
            <w:r>
              <w:rPr>
                <w:rFonts w:cs="Times New Roman"/>
                <w:sz w:val="21"/>
                <w:szCs w:val="21"/>
              </w:rPr>
              <w:t>一、</w:t>
            </w:r>
            <w:r>
              <w:rPr>
                <w:rFonts w:hint="eastAsia" w:cs="Times New Roman"/>
                <w:sz w:val="21"/>
                <w:szCs w:val="21"/>
              </w:rPr>
              <w:t>环境管理机构和职责</w:t>
            </w:r>
          </w:p>
          <w:p>
            <w:pPr>
              <w:adjustRightInd w:val="0"/>
              <w:snapToGrid w:val="0"/>
              <w:spacing w:line="240" w:lineRule="auto"/>
              <w:ind w:firstLine="420"/>
              <w:textAlignment w:val="auto"/>
              <w:rPr>
                <w:rFonts w:cs="Times New Roman"/>
                <w:sz w:val="21"/>
                <w:szCs w:val="21"/>
              </w:rPr>
            </w:pPr>
            <w:r>
              <w:rPr>
                <w:rFonts w:cs="Times New Roman"/>
                <w:sz w:val="21"/>
                <w:szCs w:val="21"/>
              </w:rPr>
              <w:t>根据国家有关环境保护法规的要求和本项目生产的实际需要，建议该企业配备专职环保管理人员。环保管理人员应由熟悉企业排污状况、具备一定清洁生产知识、责任心强和组织协调能力强的人员担任，以利于监督管理，负责全厂的环境保护管理工作，发现问题能及时解决并向上级环保主管部门报告</w:t>
            </w:r>
            <w:r>
              <w:rPr>
                <w:rFonts w:hint="eastAsia" w:cs="Times New Roman"/>
                <w:sz w:val="21"/>
                <w:szCs w:val="21"/>
              </w:rPr>
              <w:t>。</w:t>
            </w:r>
          </w:p>
          <w:p>
            <w:pPr>
              <w:adjustRightInd w:val="0"/>
              <w:snapToGrid w:val="0"/>
              <w:spacing w:line="240" w:lineRule="auto"/>
              <w:ind w:firstLine="0" w:firstLineChars="0"/>
              <w:textAlignment w:val="auto"/>
              <w:rPr>
                <w:rFonts w:cs="Times New Roman"/>
                <w:sz w:val="21"/>
                <w:szCs w:val="21"/>
              </w:rPr>
            </w:pPr>
            <w:r>
              <w:rPr>
                <w:rFonts w:hint="eastAsia" w:cs="Times New Roman"/>
                <w:sz w:val="21"/>
                <w:szCs w:val="21"/>
              </w:rPr>
              <w:t>二、环境管理内容</w:t>
            </w:r>
          </w:p>
          <w:p>
            <w:pPr>
              <w:adjustRightInd w:val="0"/>
              <w:snapToGrid w:val="0"/>
              <w:spacing w:line="240" w:lineRule="auto"/>
              <w:ind w:firstLine="420"/>
              <w:jc w:val="left"/>
              <w:textAlignment w:val="auto"/>
              <w:rPr>
                <w:rFonts w:cs="Times New Roman"/>
                <w:sz w:val="21"/>
                <w:szCs w:val="21"/>
              </w:rPr>
            </w:pPr>
            <w:r>
              <w:rPr>
                <w:rFonts w:cs="Times New Roman"/>
                <w:sz w:val="21"/>
                <w:szCs w:val="21"/>
              </w:rPr>
              <w:t>（1）</w:t>
            </w:r>
            <w:r>
              <w:rPr>
                <w:rFonts w:hint="eastAsia" w:cs="Times New Roman"/>
                <w:sz w:val="21"/>
                <w:szCs w:val="21"/>
              </w:rPr>
              <w:t>设置</w:t>
            </w:r>
            <w:r>
              <w:rPr>
                <w:rFonts w:cs="Times New Roman"/>
                <w:sz w:val="21"/>
                <w:szCs w:val="21"/>
              </w:rPr>
              <w:t>环境保护职责管理条例</w:t>
            </w:r>
            <w:r>
              <w:rPr>
                <w:rFonts w:hint="eastAsia" w:cs="Times New Roman"/>
                <w:sz w:val="21"/>
                <w:szCs w:val="21"/>
              </w:rPr>
              <w:t>、</w:t>
            </w:r>
            <w:r>
              <w:rPr>
                <w:rFonts w:cs="Times New Roman"/>
                <w:sz w:val="21"/>
                <w:szCs w:val="21"/>
              </w:rPr>
              <w:t>废气排放管理制度</w:t>
            </w:r>
            <w:r>
              <w:rPr>
                <w:rFonts w:hint="eastAsia" w:cs="Times New Roman"/>
                <w:sz w:val="21"/>
                <w:szCs w:val="21"/>
              </w:rPr>
              <w:t>、</w:t>
            </w:r>
            <w:r>
              <w:rPr>
                <w:rFonts w:cs="Times New Roman"/>
                <w:sz w:val="21"/>
                <w:szCs w:val="21"/>
              </w:rPr>
              <w:t>固废的管理与处置制度</w:t>
            </w:r>
            <w:r>
              <w:rPr>
                <w:rFonts w:hint="eastAsia" w:cs="Times New Roman"/>
                <w:sz w:val="21"/>
                <w:szCs w:val="21"/>
              </w:rPr>
              <w:t>等环境管理制度；</w:t>
            </w:r>
          </w:p>
          <w:p>
            <w:pPr>
              <w:adjustRightInd w:val="0"/>
              <w:snapToGrid w:val="0"/>
              <w:spacing w:line="240" w:lineRule="auto"/>
              <w:ind w:firstLine="420"/>
              <w:textAlignment w:val="auto"/>
              <w:rPr>
                <w:rFonts w:cs="Times New Roman"/>
                <w:sz w:val="21"/>
                <w:szCs w:val="21"/>
              </w:rPr>
            </w:pPr>
            <w:r>
              <w:rPr>
                <w:rFonts w:cs="Times New Roman"/>
                <w:sz w:val="21"/>
                <w:szCs w:val="21"/>
              </w:rPr>
              <w:t>（2）</w:t>
            </w:r>
            <w:r>
              <w:rPr>
                <w:rFonts w:hint="eastAsia" w:cs="Times New Roman"/>
                <w:sz w:val="21"/>
                <w:szCs w:val="21"/>
              </w:rPr>
              <w:t>督促和协助企业建立健全环境管理体系和管理人员；</w:t>
            </w:r>
          </w:p>
          <w:p>
            <w:pPr>
              <w:adjustRightInd w:val="0"/>
              <w:snapToGrid w:val="0"/>
              <w:spacing w:line="240" w:lineRule="auto"/>
              <w:ind w:firstLine="420"/>
              <w:textAlignment w:val="auto"/>
              <w:rPr>
                <w:rFonts w:cs="Times New Roman"/>
                <w:sz w:val="21"/>
                <w:szCs w:val="21"/>
              </w:rPr>
            </w:pPr>
            <w:r>
              <w:rPr>
                <w:rFonts w:cs="Times New Roman"/>
                <w:sz w:val="21"/>
                <w:szCs w:val="21"/>
              </w:rPr>
              <w:t>（3）</w:t>
            </w:r>
            <w:r>
              <w:rPr>
                <w:rFonts w:hint="eastAsia" w:cs="Times New Roman"/>
                <w:sz w:val="21"/>
                <w:szCs w:val="21"/>
              </w:rPr>
              <w:t>宣传国家、自治区、自治州有关环境保护方面的法律、法规和政策；</w:t>
            </w:r>
          </w:p>
          <w:p>
            <w:pPr>
              <w:adjustRightInd w:val="0"/>
              <w:snapToGrid w:val="0"/>
              <w:spacing w:line="240" w:lineRule="auto"/>
              <w:ind w:firstLine="420"/>
              <w:textAlignment w:val="auto"/>
              <w:rPr>
                <w:rFonts w:cs="Times New Roman"/>
                <w:sz w:val="21"/>
                <w:szCs w:val="21"/>
              </w:rPr>
            </w:pPr>
            <w:r>
              <w:rPr>
                <w:rFonts w:hint="eastAsia" w:cs="Times New Roman"/>
                <w:sz w:val="21"/>
                <w:szCs w:val="21"/>
              </w:rPr>
              <w:t>（4）实施“三同时”验收和污染物达标排放的监督管理；</w:t>
            </w:r>
          </w:p>
          <w:p>
            <w:pPr>
              <w:adjustRightInd w:val="0"/>
              <w:snapToGrid w:val="0"/>
              <w:spacing w:line="240" w:lineRule="auto"/>
              <w:ind w:firstLine="420"/>
              <w:textAlignment w:val="auto"/>
              <w:rPr>
                <w:rFonts w:cs="Times New Roman"/>
                <w:sz w:val="21"/>
                <w:szCs w:val="21"/>
              </w:rPr>
            </w:pPr>
            <w:r>
              <w:rPr>
                <w:rFonts w:hint="eastAsia" w:cs="Times New Roman"/>
                <w:sz w:val="21"/>
                <w:szCs w:val="21"/>
              </w:rPr>
              <w:t>（5）检查环保设施的运行状况和是否达标排放。</w:t>
            </w:r>
          </w:p>
          <w:p>
            <w:pPr>
              <w:adjustRightInd w:val="0"/>
              <w:snapToGrid w:val="0"/>
              <w:spacing w:line="240" w:lineRule="auto"/>
              <w:ind w:firstLine="0" w:firstLineChars="0"/>
              <w:textAlignment w:val="auto"/>
              <w:rPr>
                <w:rFonts w:cs="Times New Roman"/>
                <w:sz w:val="21"/>
                <w:szCs w:val="21"/>
              </w:rPr>
            </w:pPr>
            <w:r>
              <w:rPr>
                <w:rFonts w:hint="eastAsia" w:cs="Times New Roman"/>
                <w:sz w:val="21"/>
                <w:szCs w:val="21"/>
              </w:rPr>
              <w:t>三</w:t>
            </w:r>
            <w:r>
              <w:rPr>
                <w:rFonts w:cs="Times New Roman"/>
                <w:sz w:val="21"/>
                <w:szCs w:val="21"/>
              </w:rPr>
              <w:t>、</w:t>
            </w:r>
            <w:r>
              <w:rPr>
                <w:rFonts w:hint="eastAsia" w:cs="Times New Roman"/>
                <w:sz w:val="21"/>
                <w:szCs w:val="21"/>
              </w:rPr>
              <w:t>排污口规范化</w:t>
            </w:r>
          </w:p>
          <w:p>
            <w:pPr>
              <w:adjustRightInd w:val="0"/>
              <w:snapToGrid w:val="0"/>
              <w:spacing w:line="240" w:lineRule="auto"/>
              <w:ind w:firstLine="420"/>
              <w:jc w:val="center"/>
              <w:textAlignment w:val="auto"/>
              <w:rPr>
                <w:rFonts w:cs="Times New Roman"/>
                <w:sz w:val="21"/>
                <w:szCs w:val="21"/>
              </w:rPr>
            </w:pPr>
            <w:r>
              <w:rPr>
                <w:rFonts w:hint="eastAsia" w:cs="Times New Roman"/>
                <w:sz w:val="21"/>
                <w:szCs w:val="21"/>
              </w:rPr>
              <w:t>根据国家标准《环境保护图形标志——排放口（源）》和国家环保总局《排污口规范化整治要求（试行）》的技术要求，本项目所有排放口，包括水、气、声、固体废物，必须按照“便于计量监测、便于日常现场监督检查”的原则和规范化要求，设置与之相适应的环境保护图形标志牌</w:t>
            </w:r>
            <w:r>
              <w:rPr>
                <w:rFonts w:cs="Times New Roman"/>
                <w:sz w:val="21"/>
                <w:szCs w:val="21"/>
              </w:rPr>
              <w:t>。</w:t>
            </w:r>
          </w:p>
          <w:p>
            <w:pPr>
              <w:adjustRightInd w:val="0"/>
              <w:snapToGrid w:val="0"/>
              <w:spacing w:line="240" w:lineRule="auto"/>
              <w:ind w:firstLine="0" w:firstLineChars="0"/>
              <w:textAlignment w:val="auto"/>
              <w:rPr>
                <w:rFonts w:cs="Times New Roman"/>
                <w:sz w:val="21"/>
                <w:szCs w:val="21"/>
              </w:rPr>
            </w:pPr>
            <w:r>
              <w:rPr>
                <w:rFonts w:hint="eastAsia" w:cs="Times New Roman"/>
                <w:sz w:val="21"/>
                <w:szCs w:val="21"/>
              </w:rPr>
              <w:t>四</w:t>
            </w:r>
            <w:r>
              <w:rPr>
                <w:rFonts w:cs="Times New Roman"/>
                <w:sz w:val="21"/>
                <w:szCs w:val="21"/>
              </w:rPr>
              <w:t>、</w:t>
            </w:r>
            <w:r>
              <w:rPr>
                <w:rFonts w:hint="eastAsia" w:cs="Times New Roman"/>
                <w:sz w:val="21"/>
                <w:szCs w:val="21"/>
              </w:rPr>
              <w:t>办理突发环境事件应急预案备案。</w:t>
            </w:r>
          </w:p>
          <w:p>
            <w:pPr>
              <w:adjustRightInd w:val="0"/>
              <w:snapToGrid w:val="0"/>
              <w:spacing w:line="240" w:lineRule="auto"/>
              <w:ind w:firstLine="420"/>
              <w:textAlignment w:val="auto"/>
              <w:rPr>
                <w:rFonts w:cs="Times New Roman"/>
                <w:sz w:val="21"/>
                <w:szCs w:val="21"/>
              </w:rPr>
            </w:pPr>
            <w:r>
              <w:rPr>
                <w:rFonts w:hint="eastAsia" w:cs="Times New Roman"/>
                <w:sz w:val="21"/>
                <w:szCs w:val="21"/>
              </w:rPr>
              <w:t>根据《固定污染源排污许可分类管理名录》，本项目属于名录内“十</w:t>
            </w:r>
            <w:r>
              <w:rPr>
                <w:rFonts w:hint="eastAsia" w:cs="Times New Roman"/>
                <w:sz w:val="21"/>
                <w:szCs w:val="21"/>
                <w:lang w:val="en-US" w:eastAsia="zh-CN"/>
              </w:rPr>
              <w:t>七</w:t>
            </w:r>
            <w:r>
              <w:rPr>
                <w:rFonts w:hint="eastAsia" w:cs="Times New Roman"/>
                <w:sz w:val="21"/>
                <w:szCs w:val="21"/>
              </w:rPr>
              <w:t>、</w:t>
            </w:r>
            <w:r>
              <w:rPr>
                <w:rFonts w:hint="eastAsia" w:cs="Times New Roman"/>
                <w:sz w:val="21"/>
                <w:szCs w:val="21"/>
                <w:lang w:val="en-US" w:eastAsia="zh-CN"/>
              </w:rPr>
              <w:t>造纸和纸制品业22</w:t>
            </w:r>
            <w:r>
              <w:rPr>
                <w:rFonts w:hint="eastAsia" w:cs="Times New Roman"/>
                <w:sz w:val="21"/>
                <w:szCs w:val="21"/>
              </w:rPr>
              <w:t>、</w:t>
            </w:r>
            <w:r>
              <w:rPr>
                <w:rFonts w:hint="eastAsia" w:cs="Times New Roman"/>
                <w:sz w:val="21"/>
                <w:szCs w:val="21"/>
                <w:lang w:val="en-US" w:eastAsia="zh-CN"/>
              </w:rPr>
              <w:t>38 纸制品制造223</w:t>
            </w:r>
            <w:r>
              <w:rPr>
                <w:rFonts w:hint="eastAsia" w:cs="Times New Roman"/>
                <w:sz w:val="21"/>
                <w:szCs w:val="21"/>
              </w:rPr>
              <w:t>”，实行排污许可</w:t>
            </w:r>
            <w:r>
              <w:rPr>
                <w:rFonts w:hint="eastAsia" w:cs="Times New Roman"/>
                <w:sz w:val="21"/>
                <w:szCs w:val="21"/>
                <w:lang w:val="en-US" w:eastAsia="zh-CN"/>
              </w:rPr>
              <w:t>登记</w:t>
            </w:r>
            <w:r>
              <w:rPr>
                <w:rFonts w:hint="eastAsia" w:cs="Times New Roman"/>
                <w:sz w:val="21"/>
                <w:szCs w:val="21"/>
              </w:rPr>
              <w:t>管理，并要求投产前办理排污许可申报。根据《巴音郭楞蒙古自治州生态环境分区管控方案》（巴政办发[2021]32号）要求，本项目采取相应风险防范措施，按要求编制突发环境事件应急预案，防止发生环境污染事故。</w:t>
            </w:r>
          </w:p>
          <w:p>
            <w:pPr>
              <w:pStyle w:val="2"/>
              <w:jc w:val="both"/>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p>
            <w:pPr>
              <w:pStyle w:val="28"/>
              <w:ind w:firstLine="0" w:firstLineChars="0"/>
            </w:pPr>
          </w:p>
        </w:tc>
      </w:tr>
    </w:tbl>
    <w:p>
      <w:pPr>
        <w:ind w:firstLine="480"/>
        <w:rPr>
          <w:snapToGrid w:val="0"/>
        </w:rPr>
      </w:pPr>
      <w:r>
        <w:rPr>
          <w:rFonts w:hint="eastAsia"/>
          <w:snapToGrid w:val="0"/>
        </w:rPr>
        <w:br w:type="page"/>
      </w:r>
    </w:p>
    <w:p>
      <w:pPr>
        <w:pStyle w:val="3"/>
        <w:rPr>
          <w:snapToGrid w:val="0"/>
        </w:rPr>
      </w:pPr>
      <w:r>
        <w:rPr>
          <w:rFonts w:hint="eastAsia"/>
          <w:snapToGrid w:val="0"/>
        </w:rPr>
        <w:t>六、结论</w:t>
      </w:r>
    </w:p>
    <w:tbl>
      <w:tblPr>
        <w:tblStyle w:val="30"/>
        <w:tblW w:w="906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060" w:type="dxa"/>
          </w:tcPr>
          <w:p>
            <w:pPr>
              <w:ind w:firstLine="480"/>
            </w:pPr>
            <w:r>
              <w:t>综合分析结果表明，拟建项目建设符合产业政策及相关规划；项目建设过程中应认真落实环境保护</w:t>
            </w:r>
            <w:r>
              <w:rPr>
                <w:rFonts w:hint="eastAsia"/>
              </w:rPr>
              <w:t>“</w:t>
            </w:r>
            <w:r>
              <w:t>三同时</w:t>
            </w:r>
            <w:r>
              <w:rPr>
                <w:rFonts w:hint="eastAsia"/>
              </w:rPr>
              <w:t>”</w:t>
            </w:r>
            <w:r>
              <w:t>，严格落实设计和环评报告提出的污染防治措施和环境保护措施；并加强环保设施的运行维护和管理，保证各种环保设施的正常运行和污染物长期稳定达标排放。综上所述，从环保角度分析，该项目的建设是可行的。</w:t>
            </w:r>
          </w:p>
          <w:p>
            <w:pPr>
              <w:ind w:firstLine="48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tc>
      </w:tr>
    </w:tbl>
    <w:p>
      <w:pPr>
        <w:ind w:firstLine="0" w:firstLineChars="0"/>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26" w:charSpace="0"/>
        </w:sectPr>
      </w:pPr>
    </w:p>
    <w:p>
      <w:pPr>
        <w:pStyle w:val="24"/>
        <w:adjustRightInd w:val="0"/>
        <w:snapToGrid w:val="0"/>
        <w:spacing w:before="0" w:beforeAutospacing="0" w:after="0" w:afterAutospacing="0" w:line="648" w:lineRule="auto"/>
        <w:outlineLvl w:val="0"/>
        <w:rPr>
          <w:rFonts w:hint="eastAsia" w:ascii="方正小标宋_GBK" w:hAnsi="黑体" w:eastAsia="方正小标宋_GBK" w:cs="Times New Roman"/>
          <w:snapToGrid w:val="0"/>
          <w:sz w:val="38"/>
          <w:szCs w:val="38"/>
        </w:rPr>
      </w:pPr>
      <w:r>
        <w:rPr>
          <w:rFonts w:hint="eastAsia" w:ascii="黑体" w:hAnsi="黑体" w:eastAsia="黑体"/>
          <w:snapToGrid w:val="0"/>
          <w:sz w:val="32"/>
          <w:szCs w:val="32"/>
        </w:rPr>
        <w:t>附表</w:t>
      </w:r>
    </w:p>
    <w:p>
      <w:pPr>
        <w:pStyle w:val="24"/>
        <w:adjustRightInd w:val="0"/>
        <w:snapToGrid w:val="0"/>
        <w:spacing w:before="0" w:beforeAutospacing="0" w:after="0" w:afterAutospacing="0" w:line="360" w:lineRule="auto"/>
        <w:jc w:val="center"/>
        <w:outlineLvl w:val="0"/>
        <w:rPr>
          <w:rFonts w:hint="eastAsia" w:ascii="方正小标宋_GBK" w:hAnsi="黑体" w:eastAsia="方正小标宋_GBK" w:cs="Times New Roman"/>
          <w:snapToGrid w:val="0"/>
          <w:sz w:val="38"/>
          <w:szCs w:val="38"/>
        </w:rPr>
      </w:pPr>
      <w:r>
        <w:rPr>
          <w:rFonts w:hint="eastAsia" w:ascii="方正小标宋_GBK" w:hAnsi="黑体" w:eastAsia="方正小标宋_GBK" w:cs="Times New Roman"/>
          <w:snapToGrid w:val="0"/>
          <w:sz w:val="38"/>
          <w:szCs w:val="38"/>
        </w:rPr>
        <w:t>建设项目污染物排放量汇总表</w:t>
      </w:r>
    </w:p>
    <w:tbl>
      <w:tblPr>
        <w:tblStyle w:val="29"/>
        <w:tblW w:w="1405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550"/>
        <w:gridCol w:w="1629"/>
        <w:gridCol w:w="1303"/>
        <w:gridCol w:w="1736"/>
        <w:gridCol w:w="1589"/>
        <w:gridCol w:w="1798"/>
        <w:gridCol w:w="1488"/>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17" w:type="dxa"/>
            <w:tcBorders>
              <w:tl2br w:val="single" w:color="auto" w:sz="4" w:space="0"/>
            </w:tcBorders>
            <w:tcMar>
              <w:left w:w="28" w:type="dxa"/>
              <w:right w:w="28" w:type="dxa"/>
            </w:tcMar>
            <w:vAlign w:val="center"/>
          </w:tcPr>
          <w:p>
            <w:pPr>
              <w:adjustRightInd w:val="0"/>
              <w:snapToGrid w:val="0"/>
              <w:spacing w:line="240" w:lineRule="auto"/>
              <w:ind w:right="198" w:firstLine="396"/>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项目</w:t>
            </w:r>
          </w:p>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分类</w:t>
            </w:r>
          </w:p>
        </w:tc>
        <w:tc>
          <w:tcPr>
            <w:tcW w:w="1550" w:type="dxa"/>
            <w:tcMar>
              <w:left w:w="28" w:type="dxa"/>
              <w:right w:w="28" w:type="dxa"/>
            </w:tcMar>
            <w:vAlign w:val="center"/>
          </w:tcPr>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污染物名称</w:t>
            </w:r>
          </w:p>
        </w:tc>
        <w:tc>
          <w:tcPr>
            <w:tcW w:w="1629" w:type="dxa"/>
            <w:tcMar>
              <w:left w:w="28" w:type="dxa"/>
              <w:right w:w="28" w:type="dxa"/>
            </w:tcMar>
            <w:vAlign w:val="center"/>
          </w:tcPr>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现有工程</w:t>
            </w:r>
          </w:p>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排放量（固体废物产生量）</w:t>
            </w:r>
          </w:p>
        </w:tc>
        <w:tc>
          <w:tcPr>
            <w:tcW w:w="1303" w:type="dxa"/>
            <w:tcMar>
              <w:left w:w="28" w:type="dxa"/>
              <w:right w:w="28" w:type="dxa"/>
            </w:tcMar>
            <w:vAlign w:val="center"/>
          </w:tcPr>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现有工程</w:t>
            </w:r>
          </w:p>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许可排放量</w:t>
            </w:r>
          </w:p>
          <w:p>
            <w:pPr>
              <w:adjustRightInd w:val="0"/>
              <w:snapToGrid w:val="0"/>
              <w:spacing w:line="259" w:lineRule="auto"/>
              <w:ind w:firstLine="42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fldChar w:fldCharType="begin"/>
            </w:r>
            <w:r>
              <w:rPr>
                <w:rFonts w:cs="Times New Roman"/>
                <w:snapToGrid w:val="0"/>
                <w:color w:val="000000" w:themeColor="text1"/>
                <w:spacing w:val="-6"/>
                <w:kern w:val="21"/>
                <w:sz w:val="21"/>
                <w:szCs w:val="21"/>
                <w14:textFill>
                  <w14:solidFill>
                    <w14:schemeClr w14:val="tx1"/>
                  </w14:solidFill>
                </w14:textFill>
              </w:rPr>
              <w:instrText xml:space="preserve"> = 2 \* GB3 \* MERGEFORMAT </w:instrText>
            </w:r>
            <w:r>
              <w:rPr>
                <w:rFonts w:cs="Times New Roman"/>
                <w:snapToGrid w:val="0"/>
                <w:color w:val="000000" w:themeColor="text1"/>
                <w:spacing w:val="-6"/>
                <w:kern w:val="21"/>
                <w:sz w:val="21"/>
                <w:szCs w:val="21"/>
                <w14:textFill>
                  <w14:solidFill>
                    <w14:schemeClr w14:val="tx1"/>
                  </w14:solidFill>
                </w14:textFill>
              </w:rPr>
              <w:fldChar w:fldCharType="separate"/>
            </w:r>
            <w:r>
              <w:rPr>
                <w:rFonts w:hint="eastAsia" w:ascii="宋体" w:hAnsi="宋体" w:cs="宋体"/>
                <w:snapToGrid w:val="0"/>
                <w:color w:val="000000" w:themeColor="text1"/>
                <w:spacing w:val="-6"/>
                <w:kern w:val="21"/>
                <w:sz w:val="21"/>
                <w:szCs w:val="21"/>
                <w14:textFill>
                  <w14:solidFill>
                    <w14:schemeClr w14:val="tx1"/>
                  </w14:solidFill>
                </w14:textFill>
              </w:rPr>
              <w:t>②</w:t>
            </w:r>
            <w:r>
              <w:rPr>
                <w:rFonts w:cs="Times New Roman"/>
                <w:snapToGrid w:val="0"/>
                <w:color w:val="000000" w:themeColor="text1"/>
                <w:spacing w:val="-6"/>
                <w:kern w:val="21"/>
                <w:sz w:val="21"/>
                <w:szCs w:val="21"/>
                <w14:textFill>
                  <w14:solidFill>
                    <w14:schemeClr w14:val="tx1"/>
                  </w14:solidFill>
                </w14:textFill>
              </w:rPr>
              <w:fldChar w:fldCharType="end"/>
            </w:r>
          </w:p>
        </w:tc>
        <w:tc>
          <w:tcPr>
            <w:tcW w:w="1736" w:type="dxa"/>
            <w:tcMar>
              <w:left w:w="28" w:type="dxa"/>
              <w:right w:w="28" w:type="dxa"/>
            </w:tcMar>
            <w:vAlign w:val="center"/>
          </w:tcPr>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在建工程</w:t>
            </w:r>
          </w:p>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排放量（固体废物产生量）</w:t>
            </w:r>
            <w:r>
              <w:rPr>
                <w:rFonts w:cs="Times New Roman"/>
                <w:snapToGrid w:val="0"/>
                <w:color w:val="000000" w:themeColor="text1"/>
                <w:spacing w:val="-6"/>
                <w:kern w:val="21"/>
                <w:sz w:val="21"/>
                <w:szCs w:val="21"/>
                <w14:textFill>
                  <w14:solidFill>
                    <w14:schemeClr w14:val="tx1"/>
                  </w14:solidFill>
                </w14:textFill>
              </w:rPr>
              <w:fldChar w:fldCharType="begin"/>
            </w:r>
            <w:r>
              <w:rPr>
                <w:rFonts w:cs="Times New Roman"/>
                <w:snapToGrid w:val="0"/>
                <w:color w:val="000000" w:themeColor="text1"/>
                <w:spacing w:val="-6"/>
                <w:kern w:val="21"/>
                <w:sz w:val="21"/>
                <w:szCs w:val="21"/>
                <w14:textFill>
                  <w14:solidFill>
                    <w14:schemeClr w14:val="tx1"/>
                  </w14:solidFill>
                </w14:textFill>
              </w:rPr>
              <w:instrText xml:space="preserve"> = 3 \* GB3 \* MERGEFORMAT </w:instrText>
            </w:r>
            <w:r>
              <w:rPr>
                <w:rFonts w:cs="Times New Roman"/>
                <w:snapToGrid w:val="0"/>
                <w:color w:val="000000" w:themeColor="text1"/>
                <w:spacing w:val="-6"/>
                <w:kern w:val="21"/>
                <w:sz w:val="21"/>
                <w:szCs w:val="21"/>
                <w14:textFill>
                  <w14:solidFill>
                    <w14:schemeClr w14:val="tx1"/>
                  </w14:solidFill>
                </w14:textFill>
              </w:rPr>
              <w:fldChar w:fldCharType="separate"/>
            </w:r>
            <w:r>
              <w:rPr>
                <w:rFonts w:hint="eastAsia" w:ascii="宋体" w:hAnsi="宋体" w:cs="宋体"/>
                <w:color w:val="000000" w:themeColor="text1"/>
                <w:sz w:val="21"/>
                <w:szCs w:val="21"/>
                <w14:textFill>
                  <w14:solidFill>
                    <w14:schemeClr w14:val="tx1"/>
                  </w14:solidFill>
                </w14:textFill>
              </w:rPr>
              <w:t>③</w:t>
            </w:r>
            <w:r>
              <w:rPr>
                <w:rFonts w:cs="Times New Roman"/>
                <w:snapToGrid w:val="0"/>
                <w:color w:val="000000" w:themeColor="text1"/>
                <w:spacing w:val="-6"/>
                <w:kern w:val="21"/>
                <w:sz w:val="21"/>
                <w:szCs w:val="21"/>
                <w14:textFill>
                  <w14:solidFill>
                    <w14:schemeClr w14:val="tx1"/>
                  </w14:solidFill>
                </w14:textFill>
              </w:rPr>
              <w:fldChar w:fldCharType="end"/>
            </w:r>
          </w:p>
        </w:tc>
        <w:tc>
          <w:tcPr>
            <w:tcW w:w="1589" w:type="dxa"/>
            <w:tcMar>
              <w:left w:w="28" w:type="dxa"/>
              <w:right w:w="28" w:type="dxa"/>
            </w:tcMar>
            <w:vAlign w:val="center"/>
          </w:tcPr>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本项目</w:t>
            </w:r>
          </w:p>
          <w:p>
            <w:pPr>
              <w:adjustRightInd w:val="0"/>
              <w:snapToGrid w:val="0"/>
              <w:spacing w:line="240" w:lineRule="auto"/>
              <w:ind w:firstLine="0" w:firstLineChars="0"/>
              <w:jc w:val="center"/>
              <w:rPr>
                <w:rFonts w:cs="Times New Roman"/>
                <w:snapToGrid w:val="0"/>
                <w:color w:val="000000" w:themeColor="text1"/>
                <w:spacing w:val="-6"/>
                <w:kern w:val="21"/>
                <w:sz w:val="21"/>
                <w:szCs w:val="21"/>
                <w14:textFill>
                  <w14:solidFill>
                    <w14:schemeClr w14:val="tx1"/>
                  </w14:solidFill>
                </w14:textFill>
              </w:rPr>
            </w:pPr>
            <w:r>
              <w:rPr>
                <w:rFonts w:cs="Times New Roman"/>
                <w:snapToGrid w:val="0"/>
                <w:color w:val="000000" w:themeColor="text1"/>
                <w:spacing w:val="-6"/>
                <w:kern w:val="21"/>
                <w:sz w:val="21"/>
                <w:szCs w:val="21"/>
                <w14:textFill>
                  <w14:solidFill>
                    <w14:schemeClr w14:val="tx1"/>
                  </w14:solidFill>
                </w14:textFill>
              </w:rPr>
              <w:t>排放量（固体废物产生量）</w:t>
            </w:r>
            <w:r>
              <w:rPr>
                <w:rFonts w:cs="Times New Roman"/>
                <w:snapToGrid w:val="0"/>
                <w:color w:val="000000" w:themeColor="text1"/>
                <w:spacing w:val="-6"/>
                <w:kern w:val="21"/>
                <w:sz w:val="21"/>
                <w:szCs w:val="21"/>
                <w14:textFill>
                  <w14:solidFill>
                    <w14:schemeClr w14:val="tx1"/>
                  </w14:solidFill>
                </w14:textFill>
              </w:rPr>
              <w:fldChar w:fldCharType="begin"/>
            </w:r>
            <w:r>
              <w:rPr>
                <w:rFonts w:cs="Times New Roman"/>
                <w:snapToGrid w:val="0"/>
                <w:color w:val="000000" w:themeColor="text1"/>
                <w:spacing w:val="-6"/>
                <w:kern w:val="21"/>
                <w:sz w:val="21"/>
                <w:szCs w:val="21"/>
                <w14:textFill>
                  <w14:solidFill>
                    <w14:schemeClr w14:val="tx1"/>
                  </w14:solidFill>
                </w14:textFill>
              </w:rPr>
              <w:instrText xml:space="preserve"> = 4 \* GB3 \* MERGEFORMAT </w:instrText>
            </w:r>
            <w:r>
              <w:rPr>
                <w:rFonts w:cs="Times New Roman"/>
                <w:snapToGrid w:val="0"/>
                <w:color w:val="000000" w:themeColor="text1"/>
                <w:spacing w:val="-6"/>
                <w:kern w:val="21"/>
                <w:sz w:val="21"/>
                <w:szCs w:val="21"/>
                <w14:textFill>
                  <w14:solidFill>
                    <w14:schemeClr w14:val="tx1"/>
                  </w14:solidFill>
                </w14:textFill>
              </w:rPr>
              <w:fldChar w:fldCharType="separate"/>
            </w:r>
            <w:r>
              <w:rPr>
                <w:rFonts w:hint="eastAsia" w:ascii="宋体" w:hAnsi="宋体" w:cs="宋体"/>
                <w:color w:val="000000" w:themeColor="text1"/>
                <w:sz w:val="21"/>
                <w:szCs w:val="21"/>
                <w14:textFill>
                  <w14:solidFill>
                    <w14:schemeClr w14:val="tx1"/>
                  </w14:solidFill>
                </w14:textFill>
              </w:rPr>
              <w:t>④</w:t>
            </w:r>
            <w:r>
              <w:rPr>
                <w:rFonts w:cs="Times New Roman"/>
                <w:snapToGrid w:val="0"/>
                <w:color w:val="000000" w:themeColor="text1"/>
                <w:spacing w:val="-6"/>
                <w:kern w:val="21"/>
                <w:sz w:val="21"/>
                <w:szCs w:val="21"/>
                <w14:textFill>
                  <w14:solidFill>
                    <w14:schemeClr w14:val="tx1"/>
                  </w14:solidFill>
                </w14:textFill>
              </w:rPr>
              <w:fldChar w:fldCharType="end"/>
            </w:r>
          </w:p>
        </w:tc>
        <w:tc>
          <w:tcPr>
            <w:tcW w:w="1798" w:type="dxa"/>
            <w:tcMar>
              <w:left w:w="28" w:type="dxa"/>
              <w:right w:w="28" w:type="dxa"/>
            </w:tcMar>
            <w:vAlign w:val="center"/>
          </w:tcPr>
          <w:p>
            <w:pPr>
              <w:adjustRightInd w:val="0"/>
              <w:snapToGrid w:val="0"/>
              <w:spacing w:line="240" w:lineRule="auto"/>
              <w:ind w:firstLine="0" w:firstLineChars="0"/>
              <w:jc w:val="center"/>
              <w:rPr>
                <w:rFonts w:cs="Times New Roman"/>
                <w:snapToGrid w:val="0"/>
                <w:color w:val="000000" w:themeColor="text1"/>
                <w:spacing w:val="-16"/>
                <w:kern w:val="21"/>
                <w:sz w:val="21"/>
                <w:szCs w:val="21"/>
                <w14:textFill>
                  <w14:solidFill>
                    <w14:schemeClr w14:val="tx1"/>
                  </w14:solidFill>
                </w14:textFill>
              </w:rPr>
            </w:pPr>
            <w:r>
              <w:rPr>
                <w:rFonts w:cs="Times New Roman"/>
                <w:snapToGrid w:val="0"/>
                <w:color w:val="000000" w:themeColor="text1"/>
                <w:spacing w:val="-16"/>
                <w:kern w:val="21"/>
                <w:sz w:val="21"/>
                <w:szCs w:val="21"/>
                <w14:textFill>
                  <w14:solidFill>
                    <w14:schemeClr w14:val="tx1"/>
                  </w14:solidFill>
                </w14:textFill>
              </w:rPr>
              <w:t>以新带老削减量</w:t>
            </w:r>
          </w:p>
          <w:p>
            <w:pPr>
              <w:adjustRightInd w:val="0"/>
              <w:snapToGrid w:val="0"/>
              <w:spacing w:line="240" w:lineRule="auto"/>
              <w:ind w:firstLine="0" w:firstLineChars="0"/>
              <w:jc w:val="center"/>
              <w:rPr>
                <w:rFonts w:cs="Times New Roman"/>
                <w:snapToGrid w:val="0"/>
                <w:color w:val="000000" w:themeColor="text1"/>
                <w:spacing w:val="-16"/>
                <w:kern w:val="21"/>
                <w:sz w:val="21"/>
                <w:szCs w:val="21"/>
                <w14:textFill>
                  <w14:solidFill>
                    <w14:schemeClr w14:val="tx1"/>
                  </w14:solidFill>
                </w14:textFill>
              </w:rPr>
            </w:pPr>
            <w:r>
              <w:rPr>
                <w:rFonts w:cs="Times New Roman"/>
                <w:snapToGrid w:val="0"/>
                <w:color w:val="000000" w:themeColor="text1"/>
                <w:spacing w:val="-16"/>
                <w:kern w:val="21"/>
                <w:sz w:val="21"/>
                <w:szCs w:val="21"/>
                <w14:textFill>
                  <w14:solidFill>
                    <w14:schemeClr w14:val="tx1"/>
                  </w14:solidFill>
                </w14:textFill>
              </w:rPr>
              <w:t>（新建项目不填）</w:t>
            </w:r>
            <w:r>
              <w:rPr>
                <w:rFonts w:cs="Times New Roman"/>
                <w:snapToGrid w:val="0"/>
                <w:color w:val="000000" w:themeColor="text1"/>
                <w:spacing w:val="-16"/>
                <w:kern w:val="21"/>
                <w:sz w:val="21"/>
                <w:szCs w:val="21"/>
                <w14:textFill>
                  <w14:solidFill>
                    <w14:schemeClr w14:val="tx1"/>
                  </w14:solidFill>
                </w14:textFill>
              </w:rPr>
              <w:fldChar w:fldCharType="begin"/>
            </w:r>
            <w:r>
              <w:rPr>
                <w:rFonts w:cs="Times New Roman"/>
                <w:snapToGrid w:val="0"/>
                <w:color w:val="000000" w:themeColor="text1"/>
                <w:spacing w:val="-16"/>
                <w:kern w:val="21"/>
                <w:sz w:val="21"/>
                <w:szCs w:val="21"/>
                <w14:textFill>
                  <w14:solidFill>
                    <w14:schemeClr w14:val="tx1"/>
                  </w14:solidFill>
                </w14:textFill>
              </w:rPr>
              <w:instrText xml:space="preserve"> = 5 \* GB3 \* MERGEFORMAT </w:instrText>
            </w:r>
            <w:r>
              <w:rPr>
                <w:rFonts w:cs="Times New Roman"/>
                <w:snapToGrid w:val="0"/>
                <w:color w:val="000000" w:themeColor="text1"/>
                <w:spacing w:val="-16"/>
                <w:kern w:val="21"/>
                <w:sz w:val="21"/>
                <w:szCs w:val="21"/>
                <w14:textFill>
                  <w14:solidFill>
                    <w14:schemeClr w14:val="tx1"/>
                  </w14:solidFill>
                </w14:textFill>
              </w:rPr>
              <w:fldChar w:fldCharType="separate"/>
            </w:r>
            <w:r>
              <w:rPr>
                <w:rFonts w:hint="eastAsia" w:ascii="宋体" w:hAnsi="宋体" w:cs="宋体"/>
                <w:color w:val="000000" w:themeColor="text1"/>
                <w:sz w:val="21"/>
                <w:szCs w:val="21"/>
                <w14:textFill>
                  <w14:solidFill>
                    <w14:schemeClr w14:val="tx1"/>
                  </w14:solidFill>
                </w14:textFill>
              </w:rPr>
              <w:t>⑤</w:t>
            </w:r>
            <w:r>
              <w:rPr>
                <w:rFonts w:cs="Times New Roman"/>
                <w:snapToGrid w:val="0"/>
                <w:color w:val="000000" w:themeColor="text1"/>
                <w:spacing w:val="-16"/>
                <w:kern w:val="21"/>
                <w:sz w:val="21"/>
                <w:szCs w:val="21"/>
                <w14:textFill>
                  <w14:solidFill>
                    <w14:schemeClr w14:val="tx1"/>
                  </w14:solidFill>
                </w14:textFill>
              </w:rPr>
              <w:fldChar w:fldCharType="end"/>
            </w:r>
          </w:p>
        </w:tc>
        <w:tc>
          <w:tcPr>
            <w:tcW w:w="1488" w:type="dxa"/>
            <w:tcMar>
              <w:left w:w="28" w:type="dxa"/>
              <w:right w:w="28" w:type="dxa"/>
            </w:tcMar>
            <w:vAlign w:val="center"/>
          </w:tcPr>
          <w:p>
            <w:pPr>
              <w:adjustRightInd w:val="0"/>
              <w:snapToGrid w:val="0"/>
              <w:spacing w:line="240" w:lineRule="auto"/>
              <w:ind w:firstLine="0" w:firstLineChars="0"/>
              <w:jc w:val="center"/>
              <w:rPr>
                <w:rFonts w:cs="Times New Roman"/>
                <w:snapToGrid w:val="0"/>
                <w:color w:val="000000" w:themeColor="text1"/>
                <w:spacing w:val="-16"/>
                <w:kern w:val="21"/>
                <w:sz w:val="21"/>
                <w:szCs w:val="21"/>
                <w14:textFill>
                  <w14:solidFill>
                    <w14:schemeClr w14:val="tx1"/>
                  </w14:solidFill>
                </w14:textFill>
              </w:rPr>
            </w:pPr>
            <w:r>
              <w:rPr>
                <w:rFonts w:cs="Times New Roman"/>
                <w:snapToGrid w:val="0"/>
                <w:color w:val="000000" w:themeColor="text1"/>
                <w:spacing w:val="-16"/>
                <w:kern w:val="21"/>
                <w:sz w:val="21"/>
                <w:szCs w:val="21"/>
                <w14:textFill>
                  <w14:solidFill>
                    <w14:schemeClr w14:val="tx1"/>
                  </w14:solidFill>
                </w14:textFill>
              </w:rPr>
              <w:t>本项目建成后</w:t>
            </w:r>
          </w:p>
          <w:p>
            <w:pPr>
              <w:adjustRightInd w:val="0"/>
              <w:snapToGrid w:val="0"/>
              <w:spacing w:line="240" w:lineRule="auto"/>
              <w:ind w:firstLine="0" w:firstLineChars="0"/>
              <w:jc w:val="center"/>
              <w:rPr>
                <w:rFonts w:cs="Times New Roman"/>
                <w:snapToGrid w:val="0"/>
                <w:color w:val="000000" w:themeColor="text1"/>
                <w:spacing w:val="-16"/>
                <w:kern w:val="21"/>
                <w:sz w:val="21"/>
                <w:szCs w:val="21"/>
                <w14:textFill>
                  <w14:solidFill>
                    <w14:schemeClr w14:val="tx1"/>
                  </w14:solidFill>
                </w14:textFill>
              </w:rPr>
            </w:pPr>
            <w:r>
              <w:rPr>
                <w:rFonts w:cs="Times New Roman"/>
                <w:snapToGrid w:val="0"/>
                <w:color w:val="000000" w:themeColor="text1"/>
                <w:spacing w:val="-16"/>
                <w:kern w:val="21"/>
                <w:sz w:val="21"/>
                <w:szCs w:val="21"/>
                <w14:textFill>
                  <w14:solidFill>
                    <w14:schemeClr w14:val="tx1"/>
                  </w14:solidFill>
                </w14:textFill>
              </w:rPr>
              <w:t>全厂排放量（固体废物产生量）</w:t>
            </w:r>
            <w:r>
              <w:rPr>
                <w:rFonts w:cs="Times New Roman"/>
                <w:snapToGrid w:val="0"/>
                <w:color w:val="000000" w:themeColor="text1"/>
                <w:spacing w:val="-16"/>
                <w:kern w:val="21"/>
                <w:sz w:val="21"/>
                <w:szCs w:val="21"/>
                <w14:textFill>
                  <w14:solidFill>
                    <w14:schemeClr w14:val="tx1"/>
                  </w14:solidFill>
                </w14:textFill>
              </w:rPr>
              <w:fldChar w:fldCharType="begin"/>
            </w:r>
            <w:r>
              <w:rPr>
                <w:rFonts w:cs="Times New Roman"/>
                <w:snapToGrid w:val="0"/>
                <w:color w:val="000000" w:themeColor="text1"/>
                <w:spacing w:val="-16"/>
                <w:kern w:val="21"/>
                <w:sz w:val="21"/>
                <w:szCs w:val="21"/>
                <w14:textFill>
                  <w14:solidFill>
                    <w14:schemeClr w14:val="tx1"/>
                  </w14:solidFill>
                </w14:textFill>
              </w:rPr>
              <w:instrText xml:space="preserve"> = 6 \* GB3 \* MERGEFORMAT </w:instrText>
            </w:r>
            <w:r>
              <w:rPr>
                <w:rFonts w:cs="Times New Roman"/>
                <w:snapToGrid w:val="0"/>
                <w:color w:val="000000" w:themeColor="text1"/>
                <w:spacing w:val="-16"/>
                <w:kern w:val="21"/>
                <w:sz w:val="21"/>
                <w:szCs w:val="21"/>
                <w14:textFill>
                  <w14:solidFill>
                    <w14:schemeClr w14:val="tx1"/>
                  </w14:solidFill>
                </w14:textFill>
              </w:rPr>
              <w:fldChar w:fldCharType="separate"/>
            </w:r>
            <w:r>
              <w:rPr>
                <w:rFonts w:hint="eastAsia" w:ascii="宋体" w:hAnsi="宋体" w:cs="宋体"/>
                <w:color w:val="000000" w:themeColor="text1"/>
                <w:sz w:val="21"/>
                <w:szCs w:val="21"/>
                <w14:textFill>
                  <w14:solidFill>
                    <w14:schemeClr w14:val="tx1"/>
                  </w14:solidFill>
                </w14:textFill>
              </w:rPr>
              <w:t>⑥</w:t>
            </w:r>
            <w:r>
              <w:rPr>
                <w:rFonts w:cs="Times New Roman"/>
                <w:snapToGrid w:val="0"/>
                <w:color w:val="000000" w:themeColor="text1"/>
                <w:spacing w:val="-16"/>
                <w:kern w:val="21"/>
                <w:sz w:val="21"/>
                <w:szCs w:val="21"/>
                <w14:textFill>
                  <w14:solidFill>
                    <w14:schemeClr w14:val="tx1"/>
                  </w14:solidFill>
                </w14:textFill>
              </w:rPr>
              <w:fldChar w:fldCharType="end"/>
            </w:r>
          </w:p>
        </w:tc>
        <w:tc>
          <w:tcPr>
            <w:tcW w:w="1348" w:type="dxa"/>
            <w:tcMar>
              <w:left w:w="28" w:type="dxa"/>
              <w:right w:w="28" w:type="dxa"/>
            </w:tcMar>
            <w:vAlign w:val="center"/>
          </w:tcPr>
          <w:p>
            <w:pPr>
              <w:adjustRightInd w:val="0"/>
              <w:snapToGrid w:val="0"/>
              <w:spacing w:line="240" w:lineRule="auto"/>
              <w:ind w:firstLine="0" w:firstLineChars="0"/>
              <w:jc w:val="center"/>
              <w:rPr>
                <w:rFonts w:cs="Times New Roman"/>
                <w:snapToGrid w:val="0"/>
                <w:color w:val="000000" w:themeColor="text1"/>
                <w:spacing w:val="-16"/>
                <w:kern w:val="21"/>
                <w:sz w:val="21"/>
                <w:szCs w:val="21"/>
                <w14:textFill>
                  <w14:solidFill>
                    <w14:schemeClr w14:val="tx1"/>
                  </w14:solidFill>
                </w14:textFill>
              </w:rPr>
            </w:pPr>
            <w:r>
              <w:rPr>
                <w:rFonts w:cs="Times New Roman"/>
                <w:snapToGrid w:val="0"/>
                <w:color w:val="000000" w:themeColor="text1"/>
                <w:spacing w:val="-16"/>
                <w:kern w:val="21"/>
                <w:sz w:val="21"/>
                <w:szCs w:val="21"/>
                <w14:textFill>
                  <w14:solidFill>
                    <w14:schemeClr w14:val="tx1"/>
                  </w14:solidFill>
                </w14:textFill>
              </w:rPr>
              <w:t>变化量</w:t>
            </w:r>
          </w:p>
          <w:p>
            <w:pPr>
              <w:adjustRightInd w:val="0"/>
              <w:snapToGrid w:val="0"/>
              <w:spacing w:line="240" w:lineRule="auto"/>
              <w:ind w:firstLine="0" w:firstLineChars="0"/>
              <w:jc w:val="center"/>
              <w:rPr>
                <w:rFonts w:cs="Times New Roman"/>
                <w:snapToGrid w:val="0"/>
                <w:color w:val="000000" w:themeColor="text1"/>
                <w:spacing w:val="-16"/>
                <w:kern w:val="21"/>
                <w:sz w:val="21"/>
                <w:szCs w:val="21"/>
                <w14:textFill>
                  <w14:solidFill>
                    <w14:schemeClr w14:val="tx1"/>
                  </w14:solidFill>
                </w14:textFill>
              </w:rPr>
            </w:pPr>
            <w:r>
              <w:rPr>
                <w:rFonts w:cs="Times New Roman"/>
                <w:snapToGrid w:val="0"/>
                <w:color w:val="000000" w:themeColor="text1"/>
                <w:spacing w:val="-16"/>
                <w:kern w:val="21"/>
                <w:sz w:val="21"/>
                <w:szCs w:val="21"/>
                <w14:textFill>
                  <w14:solidFill>
                    <w14:schemeClr w14:val="tx1"/>
                  </w14:solidFill>
                </w14:textFill>
              </w:rPr>
              <w:fldChar w:fldCharType="begin"/>
            </w:r>
            <w:r>
              <w:rPr>
                <w:rFonts w:cs="Times New Roman"/>
                <w:snapToGrid w:val="0"/>
                <w:color w:val="000000" w:themeColor="text1"/>
                <w:spacing w:val="-16"/>
                <w:kern w:val="21"/>
                <w:sz w:val="21"/>
                <w:szCs w:val="21"/>
                <w14:textFill>
                  <w14:solidFill>
                    <w14:schemeClr w14:val="tx1"/>
                  </w14:solidFill>
                </w14:textFill>
              </w:rPr>
              <w:instrText xml:space="preserve"> = 7 \* GB3 \* MERGEFORMAT </w:instrText>
            </w:r>
            <w:r>
              <w:rPr>
                <w:rFonts w:cs="Times New Roman"/>
                <w:snapToGrid w:val="0"/>
                <w:color w:val="000000" w:themeColor="text1"/>
                <w:spacing w:val="-16"/>
                <w:kern w:val="21"/>
                <w:sz w:val="21"/>
                <w:szCs w:val="21"/>
                <w14:textFill>
                  <w14:solidFill>
                    <w14:schemeClr w14:val="tx1"/>
                  </w14:solidFill>
                </w14:textFill>
              </w:rPr>
              <w:fldChar w:fldCharType="separate"/>
            </w:r>
            <w:r>
              <w:rPr>
                <w:rFonts w:hint="eastAsia" w:cs="Times New Roman"/>
                <w:snapToGrid w:val="0"/>
                <w:color w:val="000000" w:themeColor="text1"/>
                <w:spacing w:val="-16"/>
                <w:kern w:val="21"/>
                <w:sz w:val="21"/>
                <w:szCs w:val="21"/>
                <w14:textFill>
                  <w14:solidFill>
                    <w14:schemeClr w14:val="tx1"/>
                  </w14:solidFill>
                </w14:textFill>
              </w:rPr>
              <w:t>⑦</w:t>
            </w:r>
            <w:r>
              <w:rPr>
                <w:rFonts w:cs="Times New Roman"/>
                <w:snapToGrid w:val="0"/>
                <w:color w:val="000000" w:themeColor="text1"/>
                <w:spacing w:val="-16"/>
                <w:kern w:val="2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17"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废气</w:t>
            </w:r>
          </w:p>
        </w:tc>
        <w:tc>
          <w:tcPr>
            <w:tcW w:w="1550"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颗粒物</w:t>
            </w:r>
          </w:p>
        </w:tc>
        <w:tc>
          <w:tcPr>
            <w:tcW w:w="1629" w:type="dxa"/>
            <w:vAlign w:val="center"/>
          </w:tcPr>
          <w:p>
            <w:pPr>
              <w:adjustRightInd w:val="0"/>
              <w:snapToGrid w:val="0"/>
              <w:spacing w:line="240" w:lineRule="auto"/>
              <w:ind w:firstLine="0" w:firstLineChars="0"/>
              <w:jc w:val="center"/>
              <w:rPr>
                <w:rFonts w:hint="default"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303"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736"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589"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少量</w:t>
            </w:r>
          </w:p>
        </w:tc>
        <w:tc>
          <w:tcPr>
            <w:tcW w:w="1798"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w:t>
            </w:r>
          </w:p>
        </w:tc>
        <w:tc>
          <w:tcPr>
            <w:tcW w:w="1488"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少量</w:t>
            </w:r>
          </w:p>
        </w:tc>
        <w:tc>
          <w:tcPr>
            <w:tcW w:w="1348"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17"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废水</w:t>
            </w:r>
          </w:p>
        </w:tc>
        <w:tc>
          <w:tcPr>
            <w:tcW w:w="1550" w:type="dxa"/>
            <w:vAlign w:val="center"/>
          </w:tcPr>
          <w:p>
            <w:pPr>
              <w:adjustRightInd w:val="0"/>
              <w:snapToGrid w:val="0"/>
              <w:spacing w:line="240" w:lineRule="auto"/>
              <w:ind w:firstLine="0" w:firstLineChars="0"/>
              <w:jc w:val="center"/>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1629"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303"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736"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589"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w:t>
            </w:r>
          </w:p>
        </w:tc>
        <w:tc>
          <w:tcPr>
            <w:tcW w:w="1798"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w:t>
            </w:r>
          </w:p>
        </w:tc>
        <w:tc>
          <w:tcPr>
            <w:tcW w:w="1488"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w:t>
            </w:r>
          </w:p>
        </w:tc>
        <w:tc>
          <w:tcPr>
            <w:tcW w:w="1348"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17" w:type="dxa"/>
            <w:vAlign w:val="center"/>
          </w:tcPr>
          <w:p>
            <w:pPr>
              <w:adjustRightInd w:val="0"/>
              <w:snapToGrid w:val="0"/>
              <w:spacing w:line="240" w:lineRule="auto"/>
              <w:ind w:firstLine="0" w:firstLineChars="0"/>
              <w:jc w:val="center"/>
              <w:rPr>
                <w:rFonts w:cs="Times New Roman"/>
                <w:snapToGrid w:val="0"/>
                <w:color w:val="000000" w:themeColor="text1"/>
                <w:kern w:val="21"/>
                <w:sz w:val="21"/>
                <w:szCs w:val="21"/>
                <w14:textFill>
                  <w14:solidFill>
                    <w14:schemeClr w14:val="tx1"/>
                  </w14:solidFill>
                </w14:textFill>
              </w:rPr>
            </w:pPr>
            <w:r>
              <w:rPr>
                <w:rFonts w:cs="Times New Roman"/>
                <w:snapToGrid w:val="0"/>
                <w:color w:val="000000" w:themeColor="text1"/>
                <w:kern w:val="21"/>
                <w:sz w:val="21"/>
                <w:szCs w:val="21"/>
                <w14:textFill>
                  <w14:solidFill>
                    <w14:schemeClr w14:val="tx1"/>
                  </w14:solidFill>
                </w14:textFill>
              </w:rPr>
              <w:t>固体废物</w:t>
            </w:r>
          </w:p>
        </w:tc>
        <w:tc>
          <w:tcPr>
            <w:tcW w:w="1550" w:type="dxa"/>
            <w:vAlign w:val="center"/>
          </w:tcPr>
          <w:p>
            <w:pPr>
              <w:adjustRightInd w:val="0"/>
              <w:snapToGrid w:val="0"/>
              <w:spacing w:line="240" w:lineRule="auto"/>
              <w:ind w:firstLine="0" w:firstLineChars="0"/>
              <w:jc w:val="center"/>
              <w:rPr>
                <w:rFonts w:hint="eastAsia" w:cs="Times New Roman"/>
                <w:color w:val="000000"/>
                <w:sz w:val="21"/>
                <w:szCs w:val="21"/>
              </w:rPr>
            </w:pPr>
            <w:r>
              <w:rPr>
                <w:rFonts w:hint="eastAsia" w:cs="Times New Roman"/>
                <w:color w:val="000000"/>
                <w:sz w:val="21"/>
                <w:szCs w:val="21"/>
              </w:rPr>
              <w:t>废纸、边角料</w:t>
            </w:r>
          </w:p>
        </w:tc>
        <w:tc>
          <w:tcPr>
            <w:tcW w:w="1629"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303"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736" w:type="dxa"/>
            <w:vAlign w:val="center"/>
          </w:tcPr>
          <w:p>
            <w:pPr>
              <w:adjustRightInd w:val="0"/>
              <w:snapToGrid w:val="0"/>
              <w:spacing w:line="240" w:lineRule="auto"/>
              <w:ind w:firstLine="0" w:firstLineChars="0"/>
              <w:jc w:val="center"/>
              <w:rPr>
                <w:rFonts w:hint="eastAsia"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589" w:type="dxa"/>
            <w:vAlign w:val="center"/>
          </w:tcPr>
          <w:p>
            <w:pPr>
              <w:adjustRightInd w:val="0"/>
              <w:snapToGrid w:val="0"/>
              <w:spacing w:line="240" w:lineRule="auto"/>
              <w:ind w:firstLine="0" w:firstLineChars="0"/>
              <w:jc w:val="center"/>
              <w:rPr>
                <w:rFonts w:hint="eastAsia" w:cs="Times New Roman"/>
                <w:snapToGrid w:val="0"/>
                <w:color w:val="000000" w:themeColor="text1"/>
                <w:kern w:val="21"/>
                <w:sz w:val="21"/>
                <w:szCs w:val="21"/>
                <w14:textFill>
                  <w14:solidFill>
                    <w14:schemeClr w14:val="tx1"/>
                  </w14:solidFill>
                </w14:textFill>
              </w:rPr>
            </w:pPr>
            <w:r>
              <w:rPr>
                <w:rFonts w:hint="eastAsia"/>
                <w:sz w:val="21"/>
                <w:szCs w:val="21"/>
                <w:vertAlign w:val="baseline"/>
                <w:lang w:val="en-US" w:eastAsia="zh-CN"/>
              </w:rPr>
              <w:t>33.6</w:t>
            </w:r>
            <w:r>
              <w:rPr>
                <w:rFonts w:hint="eastAsia" w:cs="Times New Roman"/>
                <w:color w:val="000000" w:themeColor="text1"/>
                <w:kern w:val="0"/>
                <w:sz w:val="21"/>
                <w:szCs w:val="21"/>
                <w14:textFill>
                  <w14:solidFill>
                    <w14:schemeClr w14:val="tx1"/>
                  </w14:solidFill>
                </w14:textFill>
              </w:rPr>
              <w:t>t</w:t>
            </w:r>
            <w:r>
              <w:rPr>
                <w:rFonts w:cs="Times New Roman"/>
                <w:color w:val="000000" w:themeColor="text1"/>
                <w:kern w:val="0"/>
                <w:sz w:val="21"/>
                <w:szCs w:val="21"/>
                <w14:textFill>
                  <w14:solidFill>
                    <w14:schemeClr w14:val="tx1"/>
                  </w14:solidFill>
                </w14:textFill>
              </w:rPr>
              <w:t>/a</w:t>
            </w:r>
          </w:p>
        </w:tc>
        <w:tc>
          <w:tcPr>
            <w:tcW w:w="1798" w:type="dxa"/>
            <w:vAlign w:val="center"/>
          </w:tcPr>
          <w:p>
            <w:pPr>
              <w:adjustRightInd w:val="0"/>
              <w:snapToGrid w:val="0"/>
              <w:spacing w:line="240" w:lineRule="auto"/>
              <w:ind w:firstLine="0" w:firstLineChars="0"/>
              <w:jc w:val="center"/>
              <w:rPr>
                <w:rFonts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14:textFill>
                  <w14:solidFill>
                    <w14:schemeClr w14:val="tx1"/>
                  </w14:solidFill>
                </w14:textFill>
              </w:rPr>
              <w:t>/</w:t>
            </w:r>
          </w:p>
        </w:tc>
        <w:tc>
          <w:tcPr>
            <w:tcW w:w="1488" w:type="dxa"/>
            <w:vAlign w:val="center"/>
          </w:tcPr>
          <w:p>
            <w:pPr>
              <w:adjustRightInd w:val="0"/>
              <w:snapToGrid w:val="0"/>
              <w:spacing w:line="240" w:lineRule="auto"/>
              <w:ind w:firstLine="0" w:firstLineChars="0"/>
              <w:jc w:val="center"/>
              <w:rPr>
                <w:rFonts w:hint="eastAsia" w:cs="Times New Roman"/>
                <w:snapToGrid w:val="0"/>
                <w:color w:val="000000" w:themeColor="text1"/>
                <w:kern w:val="21"/>
                <w:sz w:val="21"/>
                <w:szCs w:val="21"/>
                <w14:textFill>
                  <w14:solidFill>
                    <w14:schemeClr w14:val="tx1"/>
                  </w14:solidFill>
                </w14:textFill>
              </w:rPr>
            </w:pPr>
            <w:r>
              <w:rPr>
                <w:rFonts w:hint="eastAsia"/>
                <w:sz w:val="21"/>
                <w:szCs w:val="21"/>
                <w:vertAlign w:val="baseline"/>
                <w:lang w:val="en-US" w:eastAsia="zh-CN"/>
              </w:rPr>
              <w:t>33.6</w:t>
            </w:r>
            <w:r>
              <w:rPr>
                <w:rFonts w:hint="eastAsia" w:cs="Times New Roman"/>
                <w:color w:val="000000" w:themeColor="text1"/>
                <w:kern w:val="0"/>
                <w:sz w:val="21"/>
                <w:szCs w:val="21"/>
                <w14:textFill>
                  <w14:solidFill>
                    <w14:schemeClr w14:val="tx1"/>
                  </w14:solidFill>
                </w14:textFill>
              </w:rPr>
              <w:t>t</w:t>
            </w:r>
            <w:r>
              <w:rPr>
                <w:rFonts w:cs="Times New Roman"/>
                <w:color w:val="000000" w:themeColor="text1"/>
                <w:kern w:val="0"/>
                <w:sz w:val="21"/>
                <w:szCs w:val="21"/>
                <w14:textFill>
                  <w14:solidFill>
                    <w14:schemeClr w14:val="tx1"/>
                  </w14:solidFill>
                </w14:textFill>
              </w:rPr>
              <w:t>/a</w:t>
            </w:r>
          </w:p>
        </w:tc>
        <w:tc>
          <w:tcPr>
            <w:tcW w:w="1348" w:type="dxa"/>
            <w:vAlign w:val="center"/>
          </w:tcPr>
          <w:p>
            <w:pPr>
              <w:adjustRightInd w:val="0"/>
              <w:snapToGrid w:val="0"/>
              <w:spacing w:line="240" w:lineRule="auto"/>
              <w:ind w:firstLine="0" w:firstLineChars="0"/>
              <w:jc w:val="center"/>
              <w:rPr>
                <w:rFonts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17"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危险废物</w:t>
            </w:r>
          </w:p>
        </w:tc>
        <w:tc>
          <w:tcPr>
            <w:tcW w:w="1550" w:type="dxa"/>
            <w:vAlign w:val="center"/>
          </w:tcPr>
          <w:p>
            <w:pPr>
              <w:adjustRightInd w:val="0"/>
              <w:snapToGrid w:val="0"/>
              <w:spacing w:line="240" w:lineRule="auto"/>
              <w:ind w:firstLine="0" w:firstLineChars="0"/>
              <w:jc w:val="center"/>
              <w:rPr>
                <w:rFonts w:hint="eastAsia" w:eastAsia="宋体" w:cs="Times New Roman"/>
                <w:color w:val="000000"/>
                <w:sz w:val="21"/>
                <w:szCs w:val="21"/>
                <w:lang w:val="en-US" w:eastAsia="zh-CN"/>
              </w:rPr>
            </w:pPr>
            <w:r>
              <w:rPr>
                <w:rFonts w:hint="eastAsia" w:cs="Times New Roman"/>
                <w:color w:val="000000"/>
                <w:sz w:val="21"/>
                <w:szCs w:val="21"/>
                <w:lang w:val="en-US" w:eastAsia="zh-CN"/>
              </w:rPr>
              <w:t>废矿物油</w:t>
            </w:r>
          </w:p>
        </w:tc>
        <w:tc>
          <w:tcPr>
            <w:tcW w:w="1629" w:type="dxa"/>
            <w:vAlign w:val="center"/>
          </w:tcPr>
          <w:p>
            <w:pPr>
              <w:adjustRightInd w:val="0"/>
              <w:snapToGrid w:val="0"/>
              <w:spacing w:line="240" w:lineRule="auto"/>
              <w:ind w:firstLine="0" w:firstLineChars="0"/>
              <w:jc w:val="center"/>
              <w:rPr>
                <w:rFonts w:hint="default"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303" w:type="dxa"/>
            <w:vAlign w:val="center"/>
          </w:tcPr>
          <w:p>
            <w:pPr>
              <w:adjustRightInd w:val="0"/>
              <w:snapToGrid w:val="0"/>
              <w:spacing w:line="240" w:lineRule="auto"/>
              <w:ind w:firstLine="0" w:firstLineChars="0"/>
              <w:jc w:val="center"/>
              <w:rPr>
                <w:rFonts w:hint="default"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736" w:type="dxa"/>
            <w:vAlign w:val="center"/>
          </w:tcPr>
          <w:p>
            <w:pPr>
              <w:adjustRightInd w:val="0"/>
              <w:snapToGrid w:val="0"/>
              <w:spacing w:line="240" w:lineRule="auto"/>
              <w:ind w:firstLine="0" w:firstLineChars="0"/>
              <w:jc w:val="center"/>
              <w:rPr>
                <w:rFonts w:hint="default"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c>
          <w:tcPr>
            <w:tcW w:w="1589" w:type="dxa"/>
            <w:vAlign w:val="center"/>
          </w:tcPr>
          <w:p>
            <w:pPr>
              <w:adjustRightInd w:val="0"/>
              <w:snapToGrid w:val="0"/>
              <w:spacing w:line="240" w:lineRule="auto"/>
              <w:ind w:firstLine="0" w:firstLineChars="0"/>
              <w:jc w:val="center"/>
              <w:rPr>
                <w:rFonts w:hint="default"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0.1</w:t>
            </w:r>
            <w:r>
              <w:rPr>
                <w:rFonts w:hint="eastAsia" w:cs="Times New Roman"/>
                <w:color w:val="000000" w:themeColor="text1"/>
                <w:kern w:val="0"/>
                <w:sz w:val="21"/>
                <w:szCs w:val="21"/>
                <w14:textFill>
                  <w14:solidFill>
                    <w14:schemeClr w14:val="tx1"/>
                  </w14:solidFill>
                </w14:textFill>
              </w:rPr>
              <w:t>t</w:t>
            </w:r>
            <w:r>
              <w:rPr>
                <w:rFonts w:cs="Times New Roman"/>
                <w:color w:val="000000" w:themeColor="text1"/>
                <w:kern w:val="0"/>
                <w:sz w:val="21"/>
                <w:szCs w:val="21"/>
                <w14:textFill>
                  <w14:solidFill>
                    <w14:schemeClr w14:val="tx1"/>
                  </w14:solidFill>
                </w14:textFill>
              </w:rPr>
              <w:t>/a</w:t>
            </w:r>
          </w:p>
        </w:tc>
        <w:tc>
          <w:tcPr>
            <w:tcW w:w="1798" w:type="dxa"/>
            <w:vAlign w:val="center"/>
          </w:tcPr>
          <w:p>
            <w:pPr>
              <w:adjustRightInd w:val="0"/>
              <w:snapToGrid w:val="0"/>
              <w:spacing w:line="240" w:lineRule="auto"/>
              <w:ind w:firstLine="0" w:firstLineChars="0"/>
              <w:jc w:val="center"/>
              <w:rPr>
                <w:rFonts w:cs="Times New Roman"/>
                <w:snapToGrid w:val="0"/>
                <w:color w:val="000000" w:themeColor="text1"/>
                <w:kern w:val="21"/>
                <w:sz w:val="21"/>
                <w:szCs w:val="21"/>
                <w14:textFill>
                  <w14:solidFill>
                    <w14:schemeClr w14:val="tx1"/>
                  </w14:solidFill>
                </w14:textFill>
              </w:rPr>
            </w:pPr>
          </w:p>
        </w:tc>
        <w:tc>
          <w:tcPr>
            <w:tcW w:w="1488" w:type="dxa"/>
            <w:vAlign w:val="center"/>
          </w:tcPr>
          <w:p>
            <w:pPr>
              <w:adjustRightInd w:val="0"/>
              <w:snapToGrid w:val="0"/>
              <w:spacing w:line="240" w:lineRule="auto"/>
              <w:ind w:firstLine="0" w:firstLineChars="0"/>
              <w:jc w:val="center"/>
              <w:rPr>
                <w:rFonts w:hint="eastAsia" w:cs="Times New Roman"/>
                <w:snapToGrid w:val="0"/>
                <w:color w:val="000000" w:themeColor="text1"/>
                <w:kern w:val="21"/>
                <w:sz w:val="21"/>
                <w:szCs w:val="21"/>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0.1</w:t>
            </w:r>
            <w:r>
              <w:rPr>
                <w:rFonts w:hint="eastAsia" w:cs="Times New Roman"/>
                <w:color w:val="000000" w:themeColor="text1"/>
                <w:kern w:val="0"/>
                <w:sz w:val="21"/>
                <w:szCs w:val="21"/>
                <w14:textFill>
                  <w14:solidFill>
                    <w14:schemeClr w14:val="tx1"/>
                  </w14:solidFill>
                </w14:textFill>
              </w:rPr>
              <w:t>t</w:t>
            </w:r>
            <w:r>
              <w:rPr>
                <w:rFonts w:cs="Times New Roman"/>
                <w:color w:val="000000" w:themeColor="text1"/>
                <w:kern w:val="0"/>
                <w:sz w:val="21"/>
                <w:szCs w:val="21"/>
                <w14:textFill>
                  <w14:solidFill>
                    <w14:schemeClr w14:val="tx1"/>
                  </w14:solidFill>
                </w14:textFill>
              </w:rPr>
              <w:t>/a</w:t>
            </w:r>
          </w:p>
        </w:tc>
        <w:tc>
          <w:tcPr>
            <w:tcW w:w="1348" w:type="dxa"/>
            <w:vAlign w:val="center"/>
          </w:tcPr>
          <w:p>
            <w:pPr>
              <w:adjustRightInd w:val="0"/>
              <w:snapToGrid w:val="0"/>
              <w:spacing w:line="240" w:lineRule="auto"/>
              <w:ind w:firstLine="0" w:firstLineChars="0"/>
              <w:jc w:val="center"/>
              <w:rPr>
                <w:rFonts w:hint="eastAsia" w:eastAsia="宋体" w:cs="Times New Roman"/>
                <w:snapToGrid w:val="0"/>
                <w:color w:val="000000" w:themeColor="text1"/>
                <w:kern w:val="21"/>
                <w:sz w:val="21"/>
                <w:szCs w:val="21"/>
                <w:lang w:val="en-US" w:eastAsia="zh-CN"/>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w:t>
            </w:r>
          </w:p>
        </w:tc>
      </w:tr>
    </w:tbl>
    <w:p>
      <w:pPr>
        <w:adjustRightInd w:val="0"/>
        <w:snapToGrid w:val="0"/>
        <w:spacing w:line="259" w:lineRule="auto"/>
        <w:ind w:firstLine="420"/>
        <w:jc w:val="left"/>
        <w:rPr>
          <w:rFonts w:ascii="宋体" w:eastAsia="黑体" w:cs="Times New Roman"/>
          <w:kern w:val="0"/>
          <w:sz w:val="21"/>
          <w:szCs w:val="20"/>
        </w:rPr>
      </w:pPr>
      <w:r>
        <w:rPr>
          <w:rFonts w:ascii="宋体" w:hAnsi="宋体" w:cs="Times New Roman"/>
          <w:snapToGrid w:val="0"/>
          <w:color w:val="000000"/>
          <w:kern w:val="21"/>
          <w:sz w:val="21"/>
          <w:szCs w:val="21"/>
        </w:rPr>
        <w:t>注：</w:t>
      </w:r>
      <w:r>
        <w:rPr>
          <w:rFonts w:ascii="宋体" w:hAnsi="宋体" w:cs="Times New Roman"/>
          <w:snapToGrid w:val="0"/>
          <w:color w:val="000000"/>
          <w:spacing w:val="-16"/>
          <w:kern w:val="21"/>
          <w:sz w:val="21"/>
          <w:szCs w:val="21"/>
        </w:rPr>
        <w:fldChar w:fldCharType="begin"/>
      </w:r>
      <w:r>
        <w:rPr>
          <w:rFonts w:ascii="宋体" w:hAnsi="宋体" w:cs="Times New Roman"/>
          <w:snapToGrid w:val="0"/>
          <w:color w:val="000000"/>
          <w:spacing w:val="-16"/>
          <w:kern w:val="21"/>
          <w:sz w:val="21"/>
          <w:szCs w:val="21"/>
        </w:rPr>
        <w:instrText xml:space="preserve"> = 6 \* GB3 \* MERGEFORMAT </w:instrText>
      </w:r>
      <w:r>
        <w:rPr>
          <w:rFonts w:ascii="宋体" w:hAnsi="宋体" w:cs="Times New Roman"/>
          <w:snapToGrid w:val="0"/>
          <w:color w:val="000000"/>
          <w:spacing w:val="-16"/>
          <w:kern w:val="21"/>
          <w:sz w:val="21"/>
          <w:szCs w:val="21"/>
        </w:rPr>
        <w:fldChar w:fldCharType="separate"/>
      </w:r>
      <w:r>
        <w:rPr>
          <w:rFonts w:ascii="宋体" w:hAnsi="宋体" w:cs="Times New Roman"/>
          <w:kern w:val="0"/>
          <w:sz w:val="21"/>
          <w:szCs w:val="21"/>
        </w:rPr>
        <w:t>⑥</w:t>
      </w:r>
      <w:r>
        <w:rPr>
          <w:rFonts w:ascii="宋体" w:hAnsi="宋体" w:cs="Times New Roman"/>
          <w:snapToGrid w:val="0"/>
          <w:color w:val="000000"/>
          <w:spacing w:val="-16"/>
          <w:kern w:val="21"/>
          <w:sz w:val="21"/>
          <w:szCs w:val="21"/>
        </w:rPr>
        <w:fldChar w:fldCharType="end"/>
      </w:r>
      <w:r>
        <w:rPr>
          <w:rFonts w:ascii="宋体" w:hAnsi="宋体" w:cs="Times New Roman"/>
          <w:snapToGrid w:val="0"/>
          <w:color w:val="000000"/>
          <w:spacing w:val="-16"/>
          <w:kern w:val="21"/>
          <w:sz w:val="21"/>
          <w:szCs w:val="21"/>
        </w:rPr>
        <w:t>=</w:t>
      </w:r>
      <w:r>
        <w:rPr>
          <w:rFonts w:ascii="宋体" w:hAnsi="宋体" w:cs="Times New Roman"/>
          <w:snapToGrid w:val="0"/>
          <w:color w:val="000000"/>
          <w:spacing w:val="-6"/>
          <w:kern w:val="21"/>
          <w:sz w:val="21"/>
          <w:szCs w:val="21"/>
        </w:rPr>
        <w:fldChar w:fldCharType="begin"/>
      </w:r>
      <w:r>
        <w:rPr>
          <w:rFonts w:ascii="宋体" w:hAnsi="宋体" w:cs="Times New Roman"/>
          <w:snapToGrid w:val="0"/>
          <w:color w:val="000000"/>
          <w:spacing w:val="-6"/>
          <w:kern w:val="21"/>
          <w:sz w:val="21"/>
          <w:szCs w:val="21"/>
        </w:rPr>
        <w:instrText xml:space="preserve"> = 1 \* GB3 \* MERGEFORMAT </w:instrText>
      </w:r>
      <w:r>
        <w:rPr>
          <w:rFonts w:ascii="宋体" w:hAnsi="宋体" w:cs="Times New Roman"/>
          <w:snapToGrid w:val="0"/>
          <w:color w:val="000000"/>
          <w:spacing w:val="-6"/>
          <w:kern w:val="21"/>
          <w:sz w:val="21"/>
          <w:szCs w:val="21"/>
        </w:rPr>
        <w:fldChar w:fldCharType="separate"/>
      </w:r>
      <w:r>
        <w:rPr>
          <w:rFonts w:ascii="宋体" w:hAnsi="宋体" w:cs="Times New Roman"/>
          <w:kern w:val="0"/>
          <w:sz w:val="21"/>
          <w:szCs w:val="21"/>
        </w:rPr>
        <w:t>①</w:t>
      </w:r>
      <w:r>
        <w:rPr>
          <w:rFonts w:ascii="宋体" w:hAnsi="宋体" w:cs="Times New Roman"/>
          <w:snapToGrid w:val="0"/>
          <w:color w:val="000000"/>
          <w:spacing w:val="-6"/>
          <w:kern w:val="21"/>
          <w:sz w:val="21"/>
          <w:szCs w:val="21"/>
        </w:rPr>
        <w:fldChar w:fldCharType="end"/>
      </w:r>
      <w:r>
        <w:rPr>
          <w:rFonts w:ascii="宋体" w:hAnsi="宋体" w:cs="Times New Roman"/>
          <w:snapToGrid w:val="0"/>
          <w:color w:val="000000"/>
          <w:spacing w:val="-6"/>
          <w:kern w:val="21"/>
          <w:sz w:val="21"/>
          <w:szCs w:val="21"/>
        </w:rPr>
        <w:t>+</w:t>
      </w:r>
      <w:r>
        <w:rPr>
          <w:rFonts w:ascii="宋体" w:hAnsi="宋体" w:cs="Times New Roman"/>
          <w:snapToGrid w:val="0"/>
          <w:color w:val="000000"/>
          <w:spacing w:val="-6"/>
          <w:kern w:val="21"/>
          <w:sz w:val="21"/>
          <w:szCs w:val="21"/>
        </w:rPr>
        <w:fldChar w:fldCharType="begin"/>
      </w:r>
      <w:r>
        <w:rPr>
          <w:rFonts w:ascii="宋体" w:hAnsi="宋体" w:cs="Times New Roman"/>
          <w:snapToGrid w:val="0"/>
          <w:color w:val="000000"/>
          <w:spacing w:val="-6"/>
          <w:kern w:val="21"/>
          <w:sz w:val="21"/>
          <w:szCs w:val="21"/>
        </w:rPr>
        <w:instrText xml:space="preserve"> = 3 \* GB3 \* MERGEFORMAT </w:instrText>
      </w:r>
      <w:r>
        <w:rPr>
          <w:rFonts w:ascii="宋体" w:hAnsi="宋体" w:cs="Times New Roman"/>
          <w:snapToGrid w:val="0"/>
          <w:color w:val="000000"/>
          <w:spacing w:val="-6"/>
          <w:kern w:val="21"/>
          <w:sz w:val="21"/>
          <w:szCs w:val="21"/>
        </w:rPr>
        <w:fldChar w:fldCharType="separate"/>
      </w:r>
      <w:r>
        <w:rPr>
          <w:rFonts w:ascii="宋体" w:hAnsi="宋体" w:cs="Times New Roman"/>
          <w:kern w:val="0"/>
          <w:sz w:val="21"/>
          <w:szCs w:val="21"/>
        </w:rPr>
        <w:t>③</w:t>
      </w:r>
      <w:r>
        <w:rPr>
          <w:rFonts w:ascii="宋体" w:hAnsi="宋体" w:cs="Times New Roman"/>
          <w:snapToGrid w:val="0"/>
          <w:color w:val="000000"/>
          <w:spacing w:val="-6"/>
          <w:kern w:val="21"/>
          <w:sz w:val="21"/>
          <w:szCs w:val="21"/>
        </w:rPr>
        <w:fldChar w:fldCharType="end"/>
      </w:r>
      <w:r>
        <w:rPr>
          <w:rFonts w:ascii="宋体" w:hAnsi="宋体" w:cs="Times New Roman"/>
          <w:snapToGrid w:val="0"/>
          <w:color w:val="000000"/>
          <w:spacing w:val="-6"/>
          <w:kern w:val="21"/>
          <w:sz w:val="21"/>
          <w:szCs w:val="21"/>
        </w:rPr>
        <w:t>+</w:t>
      </w:r>
      <w:r>
        <w:rPr>
          <w:rFonts w:ascii="宋体" w:hAnsi="宋体" w:cs="Times New Roman"/>
          <w:snapToGrid w:val="0"/>
          <w:color w:val="000000"/>
          <w:spacing w:val="-6"/>
          <w:kern w:val="21"/>
          <w:sz w:val="21"/>
          <w:szCs w:val="21"/>
        </w:rPr>
        <w:fldChar w:fldCharType="begin"/>
      </w:r>
      <w:r>
        <w:rPr>
          <w:rFonts w:ascii="宋体" w:hAnsi="宋体" w:cs="Times New Roman"/>
          <w:snapToGrid w:val="0"/>
          <w:color w:val="000000"/>
          <w:spacing w:val="-6"/>
          <w:kern w:val="21"/>
          <w:sz w:val="21"/>
          <w:szCs w:val="21"/>
        </w:rPr>
        <w:instrText xml:space="preserve"> = 4 \* GB3 \* MERGEFORMAT </w:instrText>
      </w:r>
      <w:r>
        <w:rPr>
          <w:rFonts w:ascii="宋体" w:hAnsi="宋体" w:cs="Times New Roman"/>
          <w:snapToGrid w:val="0"/>
          <w:color w:val="000000"/>
          <w:spacing w:val="-6"/>
          <w:kern w:val="21"/>
          <w:sz w:val="21"/>
          <w:szCs w:val="21"/>
        </w:rPr>
        <w:fldChar w:fldCharType="separate"/>
      </w:r>
      <w:r>
        <w:rPr>
          <w:rFonts w:ascii="宋体" w:hAnsi="宋体" w:cs="Times New Roman"/>
          <w:kern w:val="0"/>
          <w:sz w:val="21"/>
          <w:szCs w:val="21"/>
        </w:rPr>
        <w:t>④</w:t>
      </w:r>
      <w:r>
        <w:rPr>
          <w:rFonts w:ascii="宋体" w:hAnsi="宋体" w:cs="Times New Roman"/>
          <w:snapToGrid w:val="0"/>
          <w:color w:val="000000"/>
          <w:spacing w:val="-6"/>
          <w:kern w:val="21"/>
          <w:sz w:val="21"/>
          <w:szCs w:val="21"/>
        </w:rPr>
        <w:fldChar w:fldCharType="end"/>
      </w:r>
      <w:r>
        <w:rPr>
          <w:rFonts w:ascii="宋体" w:hAnsi="宋体" w:cs="Times New Roman"/>
          <w:snapToGrid w:val="0"/>
          <w:color w:val="000000"/>
          <w:spacing w:val="-6"/>
          <w:kern w:val="21"/>
          <w:sz w:val="21"/>
          <w:szCs w:val="21"/>
        </w:rPr>
        <w:t>-</w:t>
      </w:r>
      <w:r>
        <w:rPr>
          <w:rFonts w:ascii="宋体" w:hAnsi="宋体" w:cs="Times New Roman"/>
          <w:snapToGrid w:val="0"/>
          <w:color w:val="000000"/>
          <w:spacing w:val="-16"/>
          <w:kern w:val="21"/>
          <w:sz w:val="21"/>
          <w:szCs w:val="21"/>
        </w:rPr>
        <w:fldChar w:fldCharType="begin"/>
      </w:r>
      <w:r>
        <w:rPr>
          <w:rFonts w:ascii="宋体" w:hAnsi="宋体" w:cs="Times New Roman"/>
          <w:snapToGrid w:val="0"/>
          <w:color w:val="000000"/>
          <w:spacing w:val="-16"/>
          <w:kern w:val="21"/>
          <w:sz w:val="21"/>
          <w:szCs w:val="21"/>
        </w:rPr>
        <w:instrText xml:space="preserve"> = 5 \* GB3 \* MERGEFORMAT </w:instrText>
      </w:r>
      <w:r>
        <w:rPr>
          <w:rFonts w:ascii="宋体" w:hAnsi="宋体" w:cs="Times New Roman"/>
          <w:snapToGrid w:val="0"/>
          <w:color w:val="000000"/>
          <w:spacing w:val="-16"/>
          <w:kern w:val="21"/>
          <w:sz w:val="21"/>
          <w:szCs w:val="21"/>
        </w:rPr>
        <w:fldChar w:fldCharType="separate"/>
      </w:r>
      <w:r>
        <w:rPr>
          <w:rFonts w:ascii="宋体" w:hAnsi="宋体" w:cs="Times New Roman"/>
          <w:kern w:val="0"/>
          <w:sz w:val="21"/>
          <w:szCs w:val="21"/>
        </w:rPr>
        <w:t>⑤</w:t>
      </w:r>
      <w:r>
        <w:rPr>
          <w:rFonts w:ascii="宋体" w:hAnsi="宋体" w:cs="Times New Roman"/>
          <w:snapToGrid w:val="0"/>
          <w:color w:val="000000"/>
          <w:spacing w:val="-16"/>
          <w:kern w:val="21"/>
          <w:sz w:val="21"/>
          <w:szCs w:val="21"/>
        </w:rPr>
        <w:fldChar w:fldCharType="end"/>
      </w:r>
      <w:r>
        <w:rPr>
          <w:rFonts w:ascii="宋体" w:hAnsi="宋体" w:cs="Times New Roman"/>
          <w:snapToGrid w:val="0"/>
          <w:color w:val="000000"/>
          <w:spacing w:val="-16"/>
          <w:kern w:val="21"/>
          <w:sz w:val="21"/>
          <w:szCs w:val="21"/>
        </w:rPr>
        <w:t>；</w:t>
      </w:r>
      <w:r>
        <w:rPr>
          <w:rFonts w:ascii="宋体" w:hAnsi="宋体" w:cs="Times New Roman"/>
          <w:snapToGrid w:val="0"/>
          <w:color w:val="000000"/>
          <w:spacing w:val="-6"/>
          <w:kern w:val="21"/>
          <w:sz w:val="21"/>
          <w:szCs w:val="21"/>
        </w:rPr>
        <w:fldChar w:fldCharType="begin"/>
      </w:r>
      <w:r>
        <w:rPr>
          <w:rFonts w:ascii="宋体" w:hAnsi="宋体" w:cs="Times New Roman"/>
          <w:snapToGrid w:val="0"/>
          <w:color w:val="000000"/>
          <w:spacing w:val="-6"/>
          <w:kern w:val="21"/>
          <w:sz w:val="21"/>
          <w:szCs w:val="21"/>
        </w:rPr>
        <w:instrText xml:space="preserve"> = 7 \* GB3 \* MERGEFORMAT </w:instrText>
      </w:r>
      <w:r>
        <w:rPr>
          <w:rFonts w:ascii="宋体" w:hAnsi="宋体" w:cs="Times New Roman"/>
          <w:snapToGrid w:val="0"/>
          <w:color w:val="000000"/>
          <w:spacing w:val="-6"/>
          <w:kern w:val="21"/>
          <w:sz w:val="21"/>
          <w:szCs w:val="21"/>
        </w:rPr>
        <w:fldChar w:fldCharType="separate"/>
      </w:r>
      <w:r>
        <w:rPr>
          <w:rFonts w:ascii="宋体" w:hAnsi="宋体" w:cs="Times New Roman"/>
          <w:kern w:val="0"/>
          <w:sz w:val="21"/>
          <w:szCs w:val="21"/>
        </w:rPr>
        <w:t>⑦</w:t>
      </w:r>
      <w:r>
        <w:rPr>
          <w:rFonts w:ascii="宋体" w:hAnsi="宋体" w:cs="Times New Roman"/>
          <w:snapToGrid w:val="0"/>
          <w:color w:val="000000"/>
          <w:spacing w:val="-6"/>
          <w:kern w:val="21"/>
          <w:sz w:val="21"/>
          <w:szCs w:val="21"/>
        </w:rPr>
        <w:fldChar w:fldCharType="end"/>
      </w:r>
      <w:r>
        <w:rPr>
          <w:rFonts w:ascii="宋体" w:hAnsi="宋体" w:cs="Times New Roman"/>
          <w:snapToGrid w:val="0"/>
          <w:color w:val="000000"/>
          <w:spacing w:val="-6"/>
          <w:kern w:val="21"/>
          <w:sz w:val="21"/>
          <w:szCs w:val="21"/>
        </w:rPr>
        <w:t>=</w:t>
      </w:r>
      <w:r>
        <w:rPr>
          <w:rFonts w:ascii="宋体" w:hAnsi="宋体" w:cs="Times New Roman"/>
          <w:snapToGrid w:val="0"/>
          <w:color w:val="000000"/>
          <w:spacing w:val="-16"/>
          <w:kern w:val="21"/>
          <w:sz w:val="21"/>
          <w:szCs w:val="21"/>
        </w:rPr>
        <w:fldChar w:fldCharType="begin"/>
      </w:r>
      <w:r>
        <w:rPr>
          <w:rFonts w:ascii="宋体" w:hAnsi="宋体" w:cs="Times New Roman"/>
          <w:snapToGrid w:val="0"/>
          <w:color w:val="000000"/>
          <w:spacing w:val="-16"/>
          <w:kern w:val="21"/>
          <w:sz w:val="21"/>
          <w:szCs w:val="21"/>
        </w:rPr>
        <w:instrText xml:space="preserve"> = 6 \* GB3 \* MERGEFORMAT </w:instrText>
      </w:r>
      <w:r>
        <w:rPr>
          <w:rFonts w:ascii="宋体" w:hAnsi="宋体" w:cs="Times New Roman"/>
          <w:snapToGrid w:val="0"/>
          <w:color w:val="000000"/>
          <w:spacing w:val="-16"/>
          <w:kern w:val="21"/>
          <w:sz w:val="21"/>
          <w:szCs w:val="21"/>
        </w:rPr>
        <w:fldChar w:fldCharType="separate"/>
      </w:r>
      <w:r>
        <w:rPr>
          <w:rFonts w:ascii="宋体" w:hAnsi="宋体" w:cs="Times New Roman"/>
          <w:kern w:val="0"/>
          <w:sz w:val="21"/>
          <w:szCs w:val="21"/>
        </w:rPr>
        <w:t>⑥</w:t>
      </w:r>
      <w:r>
        <w:rPr>
          <w:rFonts w:ascii="宋体" w:hAnsi="宋体" w:cs="Times New Roman"/>
          <w:snapToGrid w:val="0"/>
          <w:color w:val="000000"/>
          <w:spacing w:val="-16"/>
          <w:kern w:val="21"/>
          <w:sz w:val="21"/>
          <w:szCs w:val="21"/>
        </w:rPr>
        <w:fldChar w:fldCharType="end"/>
      </w:r>
      <w:r>
        <w:rPr>
          <w:rFonts w:ascii="宋体" w:hAnsi="宋体" w:cs="Times New Roman"/>
          <w:snapToGrid w:val="0"/>
          <w:color w:val="000000"/>
          <w:spacing w:val="-16"/>
          <w:kern w:val="21"/>
          <w:sz w:val="21"/>
          <w:szCs w:val="21"/>
        </w:rPr>
        <w:t>-</w:t>
      </w:r>
      <w:r>
        <w:rPr>
          <w:rFonts w:ascii="宋体" w:hAnsi="宋体" w:cs="Times New Roman"/>
          <w:snapToGrid w:val="0"/>
          <w:color w:val="000000"/>
          <w:spacing w:val="-6"/>
          <w:kern w:val="21"/>
          <w:sz w:val="21"/>
          <w:szCs w:val="21"/>
        </w:rPr>
        <w:fldChar w:fldCharType="begin"/>
      </w:r>
      <w:r>
        <w:rPr>
          <w:rFonts w:ascii="宋体" w:hAnsi="宋体" w:cs="Times New Roman"/>
          <w:snapToGrid w:val="0"/>
          <w:color w:val="000000"/>
          <w:spacing w:val="-6"/>
          <w:kern w:val="21"/>
          <w:sz w:val="21"/>
          <w:szCs w:val="21"/>
        </w:rPr>
        <w:instrText xml:space="preserve"> = 1 \* GB3 \* MERGEFORMAT </w:instrText>
      </w:r>
      <w:r>
        <w:rPr>
          <w:rFonts w:ascii="宋体" w:hAnsi="宋体" w:cs="Times New Roman"/>
          <w:snapToGrid w:val="0"/>
          <w:color w:val="000000"/>
          <w:spacing w:val="-6"/>
          <w:kern w:val="21"/>
          <w:sz w:val="21"/>
          <w:szCs w:val="21"/>
        </w:rPr>
        <w:fldChar w:fldCharType="separate"/>
      </w:r>
      <w:r>
        <w:rPr>
          <w:rFonts w:ascii="宋体" w:hAnsi="宋体" w:cs="Times New Roman"/>
          <w:kern w:val="0"/>
          <w:sz w:val="21"/>
          <w:szCs w:val="21"/>
        </w:rPr>
        <w:t>①</w:t>
      </w:r>
      <w:r>
        <w:rPr>
          <w:rFonts w:ascii="宋体" w:hAnsi="宋体" w:cs="Times New Roman"/>
          <w:snapToGrid w:val="0"/>
          <w:color w:val="000000"/>
          <w:spacing w:val="-6"/>
          <w:kern w:val="21"/>
          <w:sz w:val="21"/>
          <w:szCs w:val="21"/>
        </w:rPr>
        <w:fldChar w:fldCharType="end"/>
      </w:r>
    </w:p>
    <w:sectPr>
      <w:pgSz w:w="16838" w:h="11906" w:orient="landscape"/>
      <w:pgMar w:top="1418" w:right="1418" w:bottom="1418" w:left="1418"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G Times (WN)">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7"/>
          <w:ind w:firstLine="360"/>
          <w:jc w:val="center"/>
        </w:pPr>
        <w:r>
          <w:fldChar w:fldCharType="begin"/>
        </w:r>
        <w:r>
          <w:instrText xml:space="preserve">PAGE   \* MERGEFORMAT</w:instrText>
        </w:r>
        <w:r>
          <w:fldChar w:fldCharType="separate"/>
        </w:r>
        <w:r>
          <w:rPr>
            <w:lang w:val="zh-CN"/>
          </w:rPr>
          <w:t>34</w:t>
        </w:r>
        <w:r>
          <w:fldChar w:fldCharType="end"/>
        </w:r>
      </w:p>
    </w:sdtContent>
  </w:sdt>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22B4C"/>
    <w:multiLevelType w:val="singleLevel"/>
    <w:tmpl w:val="93922B4C"/>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C09360BB"/>
    <w:multiLevelType w:val="singleLevel"/>
    <w:tmpl w:val="C09360BB"/>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8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zYzNjMjhlNjEwNTQ2YzkyYjhhYjRjYjlhYjdlZGQifQ=="/>
    <w:docVar w:name="KSO_WPS_MARK_KEY" w:val="437a158c-14e1-4aa1-a1e2-1d2d0bf7b9b2"/>
  </w:docVars>
  <w:rsids>
    <w:rsidRoot w:val="00E42F12"/>
    <w:rsid w:val="00000496"/>
    <w:rsid w:val="00000C63"/>
    <w:rsid w:val="00000F1A"/>
    <w:rsid w:val="0000155B"/>
    <w:rsid w:val="00001AAA"/>
    <w:rsid w:val="0000347B"/>
    <w:rsid w:val="000043F5"/>
    <w:rsid w:val="00005897"/>
    <w:rsid w:val="00005C3D"/>
    <w:rsid w:val="000060D2"/>
    <w:rsid w:val="000107CE"/>
    <w:rsid w:val="00010A91"/>
    <w:rsid w:val="000115D3"/>
    <w:rsid w:val="00011AA6"/>
    <w:rsid w:val="00012390"/>
    <w:rsid w:val="000128B3"/>
    <w:rsid w:val="00012F5F"/>
    <w:rsid w:val="00013F44"/>
    <w:rsid w:val="000164D4"/>
    <w:rsid w:val="0001755A"/>
    <w:rsid w:val="000202AC"/>
    <w:rsid w:val="000214BD"/>
    <w:rsid w:val="00023A39"/>
    <w:rsid w:val="00024BBF"/>
    <w:rsid w:val="00024E9F"/>
    <w:rsid w:val="00025EFF"/>
    <w:rsid w:val="000266FA"/>
    <w:rsid w:val="00027863"/>
    <w:rsid w:val="00027A55"/>
    <w:rsid w:val="000303CC"/>
    <w:rsid w:val="000309D2"/>
    <w:rsid w:val="00030ABA"/>
    <w:rsid w:val="00030F59"/>
    <w:rsid w:val="00032DE2"/>
    <w:rsid w:val="00033DB9"/>
    <w:rsid w:val="000342F6"/>
    <w:rsid w:val="000343CC"/>
    <w:rsid w:val="0003576B"/>
    <w:rsid w:val="00035A4F"/>
    <w:rsid w:val="000364B9"/>
    <w:rsid w:val="00036D6A"/>
    <w:rsid w:val="00037030"/>
    <w:rsid w:val="000406A9"/>
    <w:rsid w:val="00041CBB"/>
    <w:rsid w:val="00042E1B"/>
    <w:rsid w:val="00042FD2"/>
    <w:rsid w:val="0004387D"/>
    <w:rsid w:val="00045269"/>
    <w:rsid w:val="0004544E"/>
    <w:rsid w:val="000461FC"/>
    <w:rsid w:val="000464BA"/>
    <w:rsid w:val="00047717"/>
    <w:rsid w:val="00047F8A"/>
    <w:rsid w:val="00050136"/>
    <w:rsid w:val="000504EB"/>
    <w:rsid w:val="0005055F"/>
    <w:rsid w:val="000506C0"/>
    <w:rsid w:val="000517E5"/>
    <w:rsid w:val="000520CF"/>
    <w:rsid w:val="0005398B"/>
    <w:rsid w:val="00053F66"/>
    <w:rsid w:val="000545F0"/>
    <w:rsid w:val="00054C87"/>
    <w:rsid w:val="00055471"/>
    <w:rsid w:val="00055EF8"/>
    <w:rsid w:val="00062122"/>
    <w:rsid w:val="00062AB8"/>
    <w:rsid w:val="000632AE"/>
    <w:rsid w:val="000633B5"/>
    <w:rsid w:val="00063C2B"/>
    <w:rsid w:val="00066938"/>
    <w:rsid w:val="00067634"/>
    <w:rsid w:val="00067708"/>
    <w:rsid w:val="000727C7"/>
    <w:rsid w:val="00072D16"/>
    <w:rsid w:val="00073C72"/>
    <w:rsid w:val="000742FB"/>
    <w:rsid w:val="000745A4"/>
    <w:rsid w:val="0007725B"/>
    <w:rsid w:val="00077F08"/>
    <w:rsid w:val="00080187"/>
    <w:rsid w:val="0008065F"/>
    <w:rsid w:val="00080C2C"/>
    <w:rsid w:val="00083347"/>
    <w:rsid w:val="00085DEE"/>
    <w:rsid w:val="00087498"/>
    <w:rsid w:val="00087598"/>
    <w:rsid w:val="000918BC"/>
    <w:rsid w:val="000918D2"/>
    <w:rsid w:val="0009254D"/>
    <w:rsid w:val="00095115"/>
    <w:rsid w:val="00097067"/>
    <w:rsid w:val="000A139D"/>
    <w:rsid w:val="000A1AC5"/>
    <w:rsid w:val="000A23FA"/>
    <w:rsid w:val="000A297C"/>
    <w:rsid w:val="000A31CD"/>
    <w:rsid w:val="000A33E1"/>
    <w:rsid w:val="000A3D6C"/>
    <w:rsid w:val="000A5652"/>
    <w:rsid w:val="000A5BEA"/>
    <w:rsid w:val="000A7B3A"/>
    <w:rsid w:val="000B22C6"/>
    <w:rsid w:val="000B270D"/>
    <w:rsid w:val="000B35E9"/>
    <w:rsid w:val="000B39CF"/>
    <w:rsid w:val="000B5935"/>
    <w:rsid w:val="000B5B00"/>
    <w:rsid w:val="000B6C42"/>
    <w:rsid w:val="000C00AF"/>
    <w:rsid w:val="000C04A0"/>
    <w:rsid w:val="000C0CB0"/>
    <w:rsid w:val="000C164B"/>
    <w:rsid w:val="000C2001"/>
    <w:rsid w:val="000C2603"/>
    <w:rsid w:val="000C2C86"/>
    <w:rsid w:val="000C34B5"/>
    <w:rsid w:val="000C382B"/>
    <w:rsid w:val="000C42FC"/>
    <w:rsid w:val="000C5235"/>
    <w:rsid w:val="000C55DC"/>
    <w:rsid w:val="000C594F"/>
    <w:rsid w:val="000C6B15"/>
    <w:rsid w:val="000C721E"/>
    <w:rsid w:val="000C7891"/>
    <w:rsid w:val="000D088A"/>
    <w:rsid w:val="000D12A1"/>
    <w:rsid w:val="000D1C3D"/>
    <w:rsid w:val="000D3CED"/>
    <w:rsid w:val="000D50D1"/>
    <w:rsid w:val="000D5380"/>
    <w:rsid w:val="000D552A"/>
    <w:rsid w:val="000D5919"/>
    <w:rsid w:val="000E0D2C"/>
    <w:rsid w:val="000E10AE"/>
    <w:rsid w:val="000E10B5"/>
    <w:rsid w:val="000E253D"/>
    <w:rsid w:val="000E2625"/>
    <w:rsid w:val="000E470C"/>
    <w:rsid w:val="000E74D3"/>
    <w:rsid w:val="000E7616"/>
    <w:rsid w:val="000E7ED6"/>
    <w:rsid w:val="000F063F"/>
    <w:rsid w:val="000F06E4"/>
    <w:rsid w:val="000F2DAF"/>
    <w:rsid w:val="000F4B64"/>
    <w:rsid w:val="000F4B72"/>
    <w:rsid w:val="000F7F3E"/>
    <w:rsid w:val="00103207"/>
    <w:rsid w:val="001032B7"/>
    <w:rsid w:val="00103952"/>
    <w:rsid w:val="00104378"/>
    <w:rsid w:val="001043EA"/>
    <w:rsid w:val="001045D7"/>
    <w:rsid w:val="00107019"/>
    <w:rsid w:val="001106E6"/>
    <w:rsid w:val="001109C3"/>
    <w:rsid w:val="00110FB9"/>
    <w:rsid w:val="00111F08"/>
    <w:rsid w:val="00112D70"/>
    <w:rsid w:val="001133D3"/>
    <w:rsid w:val="00113DBB"/>
    <w:rsid w:val="0011568B"/>
    <w:rsid w:val="00120ED4"/>
    <w:rsid w:val="00122519"/>
    <w:rsid w:val="00124469"/>
    <w:rsid w:val="00124C3A"/>
    <w:rsid w:val="00126714"/>
    <w:rsid w:val="00126CA7"/>
    <w:rsid w:val="00127E9B"/>
    <w:rsid w:val="00130262"/>
    <w:rsid w:val="00131773"/>
    <w:rsid w:val="0013262A"/>
    <w:rsid w:val="00132DFB"/>
    <w:rsid w:val="0013414E"/>
    <w:rsid w:val="001363E9"/>
    <w:rsid w:val="001372C3"/>
    <w:rsid w:val="0013760A"/>
    <w:rsid w:val="001377EA"/>
    <w:rsid w:val="0013798F"/>
    <w:rsid w:val="00137EFE"/>
    <w:rsid w:val="0014076F"/>
    <w:rsid w:val="001407A0"/>
    <w:rsid w:val="00140B06"/>
    <w:rsid w:val="00141484"/>
    <w:rsid w:val="00142086"/>
    <w:rsid w:val="00142695"/>
    <w:rsid w:val="001442B0"/>
    <w:rsid w:val="00144A4C"/>
    <w:rsid w:val="00145711"/>
    <w:rsid w:val="0014606B"/>
    <w:rsid w:val="0014774D"/>
    <w:rsid w:val="00150D6F"/>
    <w:rsid w:val="001534FA"/>
    <w:rsid w:val="00153831"/>
    <w:rsid w:val="00153C2C"/>
    <w:rsid w:val="001541E0"/>
    <w:rsid w:val="001546B2"/>
    <w:rsid w:val="00155645"/>
    <w:rsid w:val="0015601F"/>
    <w:rsid w:val="00156477"/>
    <w:rsid w:val="00157411"/>
    <w:rsid w:val="00157B41"/>
    <w:rsid w:val="00160A63"/>
    <w:rsid w:val="00161F0E"/>
    <w:rsid w:val="00162839"/>
    <w:rsid w:val="001632E8"/>
    <w:rsid w:val="00163747"/>
    <w:rsid w:val="001640D6"/>
    <w:rsid w:val="001642C2"/>
    <w:rsid w:val="00165A4E"/>
    <w:rsid w:val="00165E8E"/>
    <w:rsid w:val="00165F0C"/>
    <w:rsid w:val="0017087D"/>
    <w:rsid w:val="00170CCF"/>
    <w:rsid w:val="0017156B"/>
    <w:rsid w:val="001731B2"/>
    <w:rsid w:val="00173AAA"/>
    <w:rsid w:val="00174B77"/>
    <w:rsid w:val="00174F97"/>
    <w:rsid w:val="00176249"/>
    <w:rsid w:val="00176DC7"/>
    <w:rsid w:val="001771FE"/>
    <w:rsid w:val="00180D2A"/>
    <w:rsid w:val="001812CE"/>
    <w:rsid w:val="00181468"/>
    <w:rsid w:val="00183634"/>
    <w:rsid w:val="001848BC"/>
    <w:rsid w:val="00184BF6"/>
    <w:rsid w:val="001853F0"/>
    <w:rsid w:val="0018551C"/>
    <w:rsid w:val="00185A16"/>
    <w:rsid w:val="001867BD"/>
    <w:rsid w:val="0019027A"/>
    <w:rsid w:val="00190AEB"/>
    <w:rsid w:val="00191A72"/>
    <w:rsid w:val="00191BD4"/>
    <w:rsid w:val="00192917"/>
    <w:rsid w:val="00193233"/>
    <w:rsid w:val="00193F7C"/>
    <w:rsid w:val="00195414"/>
    <w:rsid w:val="00195BB0"/>
    <w:rsid w:val="00196C42"/>
    <w:rsid w:val="001A0CD2"/>
    <w:rsid w:val="001A17A3"/>
    <w:rsid w:val="001A1BE3"/>
    <w:rsid w:val="001A1C23"/>
    <w:rsid w:val="001A3DF0"/>
    <w:rsid w:val="001A4AD5"/>
    <w:rsid w:val="001A4E6B"/>
    <w:rsid w:val="001A517C"/>
    <w:rsid w:val="001A56FC"/>
    <w:rsid w:val="001A57E5"/>
    <w:rsid w:val="001A5F70"/>
    <w:rsid w:val="001A6EEE"/>
    <w:rsid w:val="001A7EC8"/>
    <w:rsid w:val="001B08F4"/>
    <w:rsid w:val="001B0DBF"/>
    <w:rsid w:val="001B0F5A"/>
    <w:rsid w:val="001B1138"/>
    <w:rsid w:val="001B241E"/>
    <w:rsid w:val="001B31D8"/>
    <w:rsid w:val="001B3652"/>
    <w:rsid w:val="001B483D"/>
    <w:rsid w:val="001B4A3E"/>
    <w:rsid w:val="001B538D"/>
    <w:rsid w:val="001B604C"/>
    <w:rsid w:val="001B7AB8"/>
    <w:rsid w:val="001C02EA"/>
    <w:rsid w:val="001C1723"/>
    <w:rsid w:val="001C2657"/>
    <w:rsid w:val="001C4435"/>
    <w:rsid w:val="001C4D8A"/>
    <w:rsid w:val="001C4E95"/>
    <w:rsid w:val="001C55A7"/>
    <w:rsid w:val="001C5777"/>
    <w:rsid w:val="001C5974"/>
    <w:rsid w:val="001C5A7B"/>
    <w:rsid w:val="001C6488"/>
    <w:rsid w:val="001C6F48"/>
    <w:rsid w:val="001C74AC"/>
    <w:rsid w:val="001D08FD"/>
    <w:rsid w:val="001D148F"/>
    <w:rsid w:val="001D39E7"/>
    <w:rsid w:val="001D4639"/>
    <w:rsid w:val="001D4A49"/>
    <w:rsid w:val="001D727D"/>
    <w:rsid w:val="001D73BC"/>
    <w:rsid w:val="001D766F"/>
    <w:rsid w:val="001D76AC"/>
    <w:rsid w:val="001E294B"/>
    <w:rsid w:val="001E379B"/>
    <w:rsid w:val="001E59EF"/>
    <w:rsid w:val="001E5F38"/>
    <w:rsid w:val="001E6CD7"/>
    <w:rsid w:val="001F126F"/>
    <w:rsid w:val="001F1270"/>
    <w:rsid w:val="001F1E18"/>
    <w:rsid w:val="001F22EB"/>
    <w:rsid w:val="001F2866"/>
    <w:rsid w:val="001F2A9F"/>
    <w:rsid w:val="001F387B"/>
    <w:rsid w:val="001F4548"/>
    <w:rsid w:val="001F54DE"/>
    <w:rsid w:val="001F6254"/>
    <w:rsid w:val="001F7BD9"/>
    <w:rsid w:val="00200769"/>
    <w:rsid w:val="00200B20"/>
    <w:rsid w:val="00200CD6"/>
    <w:rsid w:val="00200CDD"/>
    <w:rsid w:val="00200E7E"/>
    <w:rsid w:val="0020361F"/>
    <w:rsid w:val="002038DB"/>
    <w:rsid w:val="00203ABE"/>
    <w:rsid w:val="002047CC"/>
    <w:rsid w:val="00207CC0"/>
    <w:rsid w:val="002103A1"/>
    <w:rsid w:val="0021077B"/>
    <w:rsid w:val="002112EF"/>
    <w:rsid w:val="00211B97"/>
    <w:rsid w:val="002122B8"/>
    <w:rsid w:val="00212DBA"/>
    <w:rsid w:val="002130E2"/>
    <w:rsid w:val="00213E34"/>
    <w:rsid w:val="00214196"/>
    <w:rsid w:val="00214DAE"/>
    <w:rsid w:val="00215C1D"/>
    <w:rsid w:val="0021648C"/>
    <w:rsid w:val="0021744D"/>
    <w:rsid w:val="00217682"/>
    <w:rsid w:val="00217FDF"/>
    <w:rsid w:val="00220CE8"/>
    <w:rsid w:val="002235F7"/>
    <w:rsid w:val="00223882"/>
    <w:rsid w:val="002272E8"/>
    <w:rsid w:val="00227867"/>
    <w:rsid w:val="00230010"/>
    <w:rsid w:val="00230351"/>
    <w:rsid w:val="00230B7A"/>
    <w:rsid w:val="00231695"/>
    <w:rsid w:val="00231BEA"/>
    <w:rsid w:val="002322D0"/>
    <w:rsid w:val="00234B83"/>
    <w:rsid w:val="002354EC"/>
    <w:rsid w:val="002358F8"/>
    <w:rsid w:val="002370C5"/>
    <w:rsid w:val="00240784"/>
    <w:rsid w:val="00242840"/>
    <w:rsid w:val="00242A23"/>
    <w:rsid w:val="00245216"/>
    <w:rsid w:val="002455B7"/>
    <w:rsid w:val="00245FD1"/>
    <w:rsid w:val="0024689C"/>
    <w:rsid w:val="0024733C"/>
    <w:rsid w:val="002506A4"/>
    <w:rsid w:val="00252AB7"/>
    <w:rsid w:val="00253D89"/>
    <w:rsid w:val="002544A5"/>
    <w:rsid w:val="00254B65"/>
    <w:rsid w:val="00255715"/>
    <w:rsid w:val="00256167"/>
    <w:rsid w:val="0025790D"/>
    <w:rsid w:val="00260AE7"/>
    <w:rsid w:val="00262370"/>
    <w:rsid w:val="0026354B"/>
    <w:rsid w:val="002638A2"/>
    <w:rsid w:val="00263C52"/>
    <w:rsid w:val="002642A9"/>
    <w:rsid w:val="00264E63"/>
    <w:rsid w:val="0026587C"/>
    <w:rsid w:val="00265BDF"/>
    <w:rsid w:val="00265DEB"/>
    <w:rsid w:val="00266F01"/>
    <w:rsid w:val="00267D80"/>
    <w:rsid w:val="00270A2C"/>
    <w:rsid w:val="002717A7"/>
    <w:rsid w:val="0027536F"/>
    <w:rsid w:val="00275A3D"/>
    <w:rsid w:val="00277F27"/>
    <w:rsid w:val="002802AE"/>
    <w:rsid w:val="002803D7"/>
    <w:rsid w:val="002822FF"/>
    <w:rsid w:val="00282A43"/>
    <w:rsid w:val="00283F00"/>
    <w:rsid w:val="00283FCD"/>
    <w:rsid w:val="0028459B"/>
    <w:rsid w:val="00285337"/>
    <w:rsid w:val="00286210"/>
    <w:rsid w:val="00287758"/>
    <w:rsid w:val="00287B11"/>
    <w:rsid w:val="0029025E"/>
    <w:rsid w:val="002906C2"/>
    <w:rsid w:val="002911B8"/>
    <w:rsid w:val="002912AE"/>
    <w:rsid w:val="00293010"/>
    <w:rsid w:val="00294C0F"/>
    <w:rsid w:val="00295500"/>
    <w:rsid w:val="002961C6"/>
    <w:rsid w:val="00297FC5"/>
    <w:rsid w:val="002A1556"/>
    <w:rsid w:val="002A18C8"/>
    <w:rsid w:val="002A2E9B"/>
    <w:rsid w:val="002A3D02"/>
    <w:rsid w:val="002A424C"/>
    <w:rsid w:val="002A4333"/>
    <w:rsid w:val="002A5BAE"/>
    <w:rsid w:val="002B0225"/>
    <w:rsid w:val="002B063E"/>
    <w:rsid w:val="002B0B29"/>
    <w:rsid w:val="002B0C64"/>
    <w:rsid w:val="002B1212"/>
    <w:rsid w:val="002B2185"/>
    <w:rsid w:val="002B473F"/>
    <w:rsid w:val="002B6E2E"/>
    <w:rsid w:val="002B7415"/>
    <w:rsid w:val="002C032A"/>
    <w:rsid w:val="002C0A1D"/>
    <w:rsid w:val="002C18A5"/>
    <w:rsid w:val="002C1DF2"/>
    <w:rsid w:val="002C2A01"/>
    <w:rsid w:val="002C30C8"/>
    <w:rsid w:val="002C32F0"/>
    <w:rsid w:val="002C3B23"/>
    <w:rsid w:val="002C3B5E"/>
    <w:rsid w:val="002C4825"/>
    <w:rsid w:val="002C58F4"/>
    <w:rsid w:val="002C67FE"/>
    <w:rsid w:val="002C707F"/>
    <w:rsid w:val="002C7AA8"/>
    <w:rsid w:val="002C7D1A"/>
    <w:rsid w:val="002D0537"/>
    <w:rsid w:val="002D0742"/>
    <w:rsid w:val="002D09FB"/>
    <w:rsid w:val="002D0DDE"/>
    <w:rsid w:val="002D1B36"/>
    <w:rsid w:val="002D27AB"/>
    <w:rsid w:val="002D32B6"/>
    <w:rsid w:val="002D370A"/>
    <w:rsid w:val="002D390D"/>
    <w:rsid w:val="002D6A42"/>
    <w:rsid w:val="002D6A93"/>
    <w:rsid w:val="002D70B6"/>
    <w:rsid w:val="002D70EA"/>
    <w:rsid w:val="002E0B1F"/>
    <w:rsid w:val="002E20DF"/>
    <w:rsid w:val="002E2725"/>
    <w:rsid w:val="002E7308"/>
    <w:rsid w:val="002E7E84"/>
    <w:rsid w:val="002F0C19"/>
    <w:rsid w:val="002F1114"/>
    <w:rsid w:val="002F13CB"/>
    <w:rsid w:val="002F3BE3"/>
    <w:rsid w:val="002F4CED"/>
    <w:rsid w:val="002F64FD"/>
    <w:rsid w:val="002F72C6"/>
    <w:rsid w:val="002F7FE1"/>
    <w:rsid w:val="0030067F"/>
    <w:rsid w:val="003013FE"/>
    <w:rsid w:val="003019BD"/>
    <w:rsid w:val="00302915"/>
    <w:rsid w:val="0030321A"/>
    <w:rsid w:val="0030384C"/>
    <w:rsid w:val="00304418"/>
    <w:rsid w:val="0030509F"/>
    <w:rsid w:val="00306ABC"/>
    <w:rsid w:val="0031041F"/>
    <w:rsid w:val="00310959"/>
    <w:rsid w:val="0031182D"/>
    <w:rsid w:val="00311839"/>
    <w:rsid w:val="00312FDC"/>
    <w:rsid w:val="00313171"/>
    <w:rsid w:val="003136CD"/>
    <w:rsid w:val="003157CF"/>
    <w:rsid w:val="003177A8"/>
    <w:rsid w:val="00320C74"/>
    <w:rsid w:val="00322216"/>
    <w:rsid w:val="00324531"/>
    <w:rsid w:val="00324F47"/>
    <w:rsid w:val="00325E2B"/>
    <w:rsid w:val="0033005E"/>
    <w:rsid w:val="0033018D"/>
    <w:rsid w:val="00333CA8"/>
    <w:rsid w:val="003354AB"/>
    <w:rsid w:val="0033625A"/>
    <w:rsid w:val="00337356"/>
    <w:rsid w:val="00340D37"/>
    <w:rsid w:val="00341C9F"/>
    <w:rsid w:val="003439BA"/>
    <w:rsid w:val="003464FB"/>
    <w:rsid w:val="00346DC2"/>
    <w:rsid w:val="00346E06"/>
    <w:rsid w:val="00346F2B"/>
    <w:rsid w:val="003502B1"/>
    <w:rsid w:val="0035066A"/>
    <w:rsid w:val="00350726"/>
    <w:rsid w:val="0035088C"/>
    <w:rsid w:val="00351D1E"/>
    <w:rsid w:val="0035300F"/>
    <w:rsid w:val="003539B6"/>
    <w:rsid w:val="00353F44"/>
    <w:rsid w:val="00353F66"/>
    <w:rsid w:val="00354043"/>
    <w:rsid w:val="00354B73"/>
    <w:rsid w:val="00354D56"/>
    <w:rsid w:val="00354E73"/>
    <w:rsid w:val="00355A0B"/>
    <w:rsid w:val="00356C3C"/>
    <w:rsid w:val="0035728F"/>
    <w:rsid w:val="00357A86"/>
    <w:rsid w:val="00360702"/>
    <w:rsid w:val="00360755"/>
    <w:rsid w:val="0036397C"/>
    <w:rsid w:val="00364224"/>
    <w:rsid w:val="0036528C"/>
    <w:rsid w:val="00366D80"/>
    <w:rsid w:val="00367262"/>
    <w:rsid w:val="00367AFA"/>
    <w:rsid w:val="00370547"/>
    <w:rsid w:val="00370BE8"/>
    <w:rsid w:val="003717AF"/>
    <w:rsid w:val="00371B86"/>
    <w:rsid w:val="00371DA7"/>
    <w:rsid w:val="00371DC8"/>
    <w:rsid w:val="00371E4E"/>
    <w:rsid w:val="00372ABB"/>
    <w:rsid w:val="003740CC"/>
    <w:rsid w:val="0037450E"/>
    <w:rsid w:val="003747C4"/>
    <w:rsid w:val="003751ED"/>
    <w:rsid w:val="0037536D"/>
    <w:rsid w:val="00377515"/>
    <w:rsid w:val="00377F53"/>
    <w:rsid w:val="003800CF"/>
    <w:rsid w:val="00380D58"/>
    <w:rsid w:val="00382A73"/>
    <w:rsid w:val="003831DC"/>
    <w:rsid w:val="00386871"/>
    <w:rsid w:val="00391098"/>
    <w:rsid w:val="003911B4"/>
    <w:rsid w:val="00391422"/>
    <w:rsid w:val="0039149C"/>
    <w:rsid w:val="00393CA9"/>
    <w:rsid w:val="00396ABD"/>
    <w:rsid w:val="003A0F22"/>
    <w:rsid w:val="003A0F81"/>
    <w:rsid w:val="003A1468"/>
    <w:rsid w:val="003A2421"/>
    <w:rsid w:val="003A39E7"/>
    <w:rsid w:val="003A3D12"/>
    <w:rsid w:val="003A42DD"/>
    <w:rsid w:val="003A5965"/>
    <w:rsid w:val="003A5E06"/>
    <w:rsid w:val="003A66A7"/>
    <w:rsid w:val="003A6DD7"/>
    <w:rsid w:val="003B02C3"/>
    <w:rsid w:val="003B1B49"/>
    <w:rsid w:val="003B27D1"/>
    <w:rsid w:val="003B2927"/>
    <w:rsid w:val="003B4554"/>
    <w:rsid w:val="003B4A96"/>
    <w:rsid w:val="003B5298"/>
    <w:rsid w:val="003B5564"/>
    <w:rsid w:val="003B57D1"/>
    <w:rsid w:val="003B790E"/>
    <w:rsid w:val="003B7950"/>
    <w:rsid w:val="003C0901"/>
    <w:rsid w:val="003C0AAF"/>
    <w:rsid w:val="003C0B16"/>
    <w:rsid w:val="003C13D2"/>
    <w:rsid w:val="003C3CA5"/>
    <w:rsid w:val="003C6629"/>
    <w:rsid w:val="003D00E9"/>
    <w:rsid w:val="003D010A"/>
    <w:rsid w:val="003D0797"/>
    <w:rsid w:val="003D0AB3"/>
    <w:rsid w:val="003D1033"/>
    <w:rsid w:val="003D13CB"/>
    <w:rsid w:val="003D1D8B"/>
    <w:rsid w:val="003D24ED"/>
    <w:rsid w:val="003D622A"/>
    <w:rsid w:val="003D6D4A"/>
    <w:rsid w:val="003D733D"/>
    <w:rsid w:val="003E0061"/>
    <w:rsid w:val="003E18A5"/>
    <w:rsid w:val="003E28AF"/>
    <w:rsid w:val="003E4056"/>
    <w:rsid w:val="003E534F"/>
    <w:rsid w:val="003E61ED"/>
    <w:rsid w:val="003F14DB"/>
    <w:rsid w:val="003F2216"/>
    <w:rsid w:val="003F2B80"/>
    <w:rsid w:val="003F65B0"/>
    <w:rsid w:val="003F6A33"/>
    <w:rsid w:val="003F724B"/>
    <w:rsid w:val="003F78DB"/>
    <w:rsid w:val="004005DA"/>
    <w:rsid w:val="00400BA2"/>
    <w:rsid w:val="0040390F"/>
    <w:rsid w:val="004057EE"/>
    <w:rsid w:val="00405AC6"/>
    <w:rsid w:val="00405EA9"/>
    <w:rsid w:val="00406136"/>
    <w:rsid w:val="00406BAB"/>
    <w:rsid w:val="00407D5F"/>
    <w:rsid w:val="00410ED6"/>
    <w:rsid w:val="00411712"/>
    <w:rsid w:val="004118E7"/>
    <w:rsid w:val="00412BA4"/>
    <w:rsid w:val="004148DB"/>
    <w:rsid w:val="004154E3"/>
    <w:rsid w:val="00416FBF"/>
    <w:rsid w:val="00417589"/>
    <w:rsid w:val="0042083B"/>
    <w:rsid w:val="00421500"/>
    <w:rsid w:val="0042184B"/>
    <w:rsid w:val="00422EA6"/>
    <w:rsid w:val="00426F0E"/>
    <w:rsid w:val="004273D4"/>
    <w:rsid w:val="00427F5D"/>
    <w:rsid w:val="004306D3"/>
    <w:rsid w:val="00431834"/>
    <w:rsid w:val="00432930"/>
    <w:rsid w:val="0043356B"/>
    <w:rsid w:val="00434FE6"/>
    <w:rsid w:val="004360B8"/>
    <w:rsid w:val="00436A91"/>
    <w:rsid w:val="004401C9"/>
    <w:rsid w:val="0044059E"/>
    <w:rsid w:val="00440797"/>
    <w:rsid w:val="00441717"/>
    <w:rsid w:val="00441C48"/>
    <w:rsid w:val="00441D59"/>
    <w:rsid w:val="00442351"/>
    <w:rsid w:val="00443554"/>
    <w:rsid w:val="004437E7"/>
    <w:rsid w:val="0044583E"/>
    <w:rsid w:val="004458E8"/>
    <w:rsid w:val="0044604C"/>
    <w:rsid w:val="0044617D"/>
    <w:rsid w:val="00450409"/>
    <w:rsid w:val="0045351B"/>
    <w:rsid w:val="00454AC2"/>
    <w:rsid w:val="00456A1D"/>
    <w:rsid w:val="00456C3D"/>
    <w:rsid w:val="00460144"/>
    <w:rsid w:val="00461B8E"/>
    <w:rsid w:val="00461DFC"/>
    <w:rsid w:val="00462FB0"/>
    <w:rsid w:val="00464F5E"/>
    <w:rsid w:val="004658BD"/>
    <w:rsid w:val="00465A75"/>
    <w:rsid w:val="00465F7E"/>
    <w:rsid w:val="00466F6B"/>
    <w:rsid w:val="00470AC8"/>
    <w:rsid w:val="00471443"/>
    <w:rsid w:val="00472EDA"/>
    <w:rsid w:val="00473468"/>
    <w:rsid w:val="00475086"/>
    <w:rsid w:val="00476680"/>
    <w:rsid w:val="004766F3"/>
    <w:rsid w:val="004804B5"/>
    <w:rsid w:val="004811EB"/>
    <w:rsid w:val="00481909"/>
    <w:rsid w:val="00481ADB"/>
    <w:rsid w:val="004823AE"/>
    <w:rsid w:val="00482FB7"/>
    <w:rsid w:val="00483A64"/>
    <w:rsid w:val="004840FC"/>
    <w:rsid w:val="00484731"/>
    <w:rsid w:val="00484DC9"/>
    <w:rsid w:val="00484FEA"/>
    <w:rsid w:val="00486090"/>
    <w:rsid w:val="0048688D"/>
    <w:rsid w:val="00486B04"/>
    <w:rsid w:val="00487880"/>
    <w:rsid w:val="00487BD9"/>
    <w:rsid w:val="00490133"/>
    <w:rsid w:val="00490AD6"/>
    <w:rsid w:val="004920AE"/>
    <w:rsid w:val="004926C7"/>
    <w:rsid w:val="00493C34"/>
    <w:rsid w:val="00494FD2"/>
    <w:rsid w:val="004952C3"/>
    <w:rsid w:val="00495621"/>
    <w:rsid w:val="00495BAE"/>
    <w:rsid w:val="004A03F3"/>
    <w:rsid w:val="004A15D0"/>
    <w:rsid w:val="004A1D9F"/>
    <w:rsid w:val="004A2A5B"/>
    <w:rsid w:val="004A32C1"/>
    <w:rsid w:val="004A55C6"/>
    <w:rsid w:val="004A5E0D"/>
    <w:rsid w:val="004A5E39"/>
    <w:rsid w:val="004A5E8B"/>
    <w:rsid w:val="004A69E7"/>
    <w:rsid w:val="004A6FCD"/>
    <w:rsid w:val="004B0B2D"/>
    <w:rsid w:val="004B0F9C"/>
    <w:rsid w:val="004B110A"/>
    <w:rsid w:val="004B1A0F"/>
    <w:rsid w:val="004B2339"/>
    <w:rsid w:val="004B4282"/>
    <w:rsid w:val="004B4869"/>
    <w:rsid w:val="004B5A3F"/>
    <w:rsid w:val="004B600A"/>
    <w:rsid w:val="004B6B6C"/>
    <w:rsid w:val="004B7676"/>
    <w:rsid w:val="004C0340"/>
    <w:rsid w:val="004C11A2"/>
    <w:rsid w:val="004C3AA4"/>
    <w:rsid w:val="004D065D"/>
    <w:rsid w:val="004D1385"/>
    <w:rsid w:val="004D2402"/>
    <w:rsid w:val="004D25B8"/>
    <w:rsid w:val="004D2EC0"/>
    <w:rsid w:val="004D34B2"/>
    <w:rsid w:val="004D636C"/>
    <w:rsid w:val="004D63C6"/>
    <w:rsid w:val="004D64E7"/>
    <w:rsid w:val="004D7B40"/>
    <w:rsid w:val="004D7E7D"/>
    <w:rsid w:val="004E03A2"/>
    <w:rsid w:val="004E074D"/>
    <w:rsid w:val="004E17D6"/>
    <w:rsid w:val="004E2AF1"/>
    <w:rsid w:val="004E2FEB"/>
    <w:rsid w:val="004E471E"/>
    <w:rsid w:val="004E5EF6"/>
    <w:rsid w:val="004E69E1"/>
    <w:rsid w:val="004F0607"/>
    <w:rsid w:val="004F22C0"/>
    <w:rsid w:val="004F68A8"/>
    <w:rsid w:val="004F6C18"/>
    <w:rsid w:val="004F7FCC"/>
    <w:rsid w:val="0050049F"/>
    <w:rsid w:val="00500F16"/>
    <w:rsid w:val="005019F5"/>
    <w:rsid w:val="00501D1C"/>
    <w:rsid w:val="00503530"/>
    <w:rsid w:val="005044BB"/>
    <w:rsid w:val="005070AD"/>
    <w:rsid w:val="005113B6"/>
    <w:rsid w:val="00511A74"/>
    <w:rsid w:val="0051242D"/>
    <w:rsid w:val="00512696"/>
    <w:rsid w:val="00513304"/>
    <w:rsid w:val="00513E9C"/>
    <w:rsid w:val="00515C8F"/>
    <w:rsid w:val="00517AF3"/>
    <w:rsid w:val="00517CD4"/>
    <w:rsid w:val="00523669"/>
    <w:rsid w:val="00524009"/>
    <w:rsid w:val="005245C2"/>
    <w:rsid w:val="00524FB2"/>
    <w:rsid w:val="005253FC"/>
    <w:rsid w:val="0052592F"/>
    <w:rsid w:val="00525A07"/>
    <w:rsid w:val="00526038"/>
    <w:rsid w:val="005267B8"/>
    <w:rsid w:val="00527E81"/>
    <w:rsid w:val="0053158F"/>
    <w:rsid w:val="00535762"/>
    <w:rsid w:val="00536F56"/>
    <w:rsid w:val="0053772B"/>
    <w:rsid w:val="00537FC4"/>
    <w:rsid w:val="0054082F"/>
    <w:rsid w:val="005411A9"/>
    <w:rsid w:val="0054366B"/>
    <w:rsid w:val="005457F1"/>
    <w:rsid w:val="00550A05"/>
    <w:rsid w:val="00550AAE"/>
    <w:rsid w:val="00552B66"/>
    <w:rsid w:val="0055358F"/>
    <w:rsid w:val="0055427C"/>
    <w:rsid w:val="0055534B"/>
    <w:rsid w:val="00555404"/>
    <w:rsid w:val="00555893"/>
    <w:rsid w:val="005573AA"/>
    <w:rsid w:val="00560C47"/>
    <w:rsid w:val="005616FB"/>
    <w:rsid w:val="00561D94"/>
    <w:rsid w:val="00563B6C"/>
    <w:rsid w:val="005703FA"/>
    <w:rsid w:val="00570FBD"/>
    <w:rsid w:val="00571635"/>
    <w:rsid w:val="00572163"/>
    <w:rsid w:val="005724C8"/>
    <w:rsid w:val="00573A1B"/>
    <w:rsid w:val="005745C0"/>
    <w:rsid w:val="00576ABD"/>
    <w:rsid w:val="00577235"/>
    <w:rsid w:val="00577877"/>
    <w:rsid w:val="00577B55"/>
    <w:rsid w:val="00577F29"/>
    <w:rsid w:val="00577FF8"/>
    <w:rsid w:val="0058015B"/>
    <w:rsid w:val="0058071C"/>
    <w:rsid w:val="00580BA6"/>
    <w:rsid w:val="005815BE"/>
    <w:rsid w:val="00582783"/>
    <w:rsid w:val="005839DF"/>
    <w:rsid w:val="00583D17"/>
    <w:rsid w:val="00584B1E"/>
    <w:rsid w:val="00584DC4"/>
    <w:rsid w:val="005861B7"/>
    <w:rsid w:val="005909AC"/>
    <w:rsid w:val="005911F2"/>
    <w:rsid w:val="00592370"/>
    <w:rsid w:val="005926B2"/>
    <w:rsid w:val="00596C4F"/>
    <w:rsid w:val="005A089E"/>
    <w:rsid w:val="005A0A12"/>
    <w:rsid w:val="005A0AE4"/>
    <w:rsid w:val="005A0BB8"/>
    <w:rsid w:val="005A164B"/>
    <w:rsid w:val="005A248B"/>
    <w:rsid w:val="005A3339"/>
    <w:rsid w:val="005A3697"/>
    <w:rsid w:val="005A3A4F"/>
    <w:rsid w:val="005A3E68"/>
    <w:rsid w:val="005A4478"/>
    <w:rsid w:val="005A4FA9"/>
    <w:rsid w:val="005A50BC"/>
    <w:rsid w:val="005A59BE"/>
    <w:rsid w:val="005A6148"/>
    <w:rsid w:val="005A6697"/>
    <w:rsid w:val="005A695E"/>
    <w:rsid w:val="005A6AFD"/>
    <w:rsid w:val="005B1123"/>
    <w:rsid w:val="005B1394"/>
    <w:rsid w:val="005B16C3"/>
    <w:rsid w:val="005B2606"/>
    <w:rsid w:val="005B4A85"/>
    <w:rsid w:val="005B5243"/>
    <w:rsid w:val="005B766E"/>
    <w:rsid w:val="005B7ACD"/>
    <w:rsid w:val="005C0B3B"/>
    <w:rsid w:val="005C0E82"/>
    <w:rsid w:val="005C0FA7"/>
    <w:rsid w:val="005C114A"/>
    <w:rsid w:val="005C1D38"/>
    <w:rsid w:val="005C20CE"/>
    <w:rsid w:val="005C560B"/>
    <w:rsid w:val="005C60D7"/>
    <w:rsid w:val="005C7F4C"/>
    <w:rsid w:val="005D1DC6"/>
    <w:rsid w:val="005D2F17"/>
    <w:rsid w:val="005D42D2"/>
    <w:rsid w:val="005D5868"/>
    <w:rsid w:val="005D64B4"/>
    <w:rsid w:val="005D6D09"/>
    <w:rsid w:val="005D78D0"/>
    <w:rsid w:val="005E13F7"/>
    <w:rsid w:val="005E14FB"/>
    <w:rsid w:val="005E2335"/>
    <w:rsid w:val="005E38FF"/>
    <w:rsid w:val="005E3B3E"/>
    <w:rsid w:val="005E4BB4"/>
    <w:rsid w:val="005E5399"/>
    <w:rsid w:val="005E6895"/>
    <w:rsid w:val="005E6B5B"/>
    <w:rsid w:val="005E6E45"/>
    <w:rsid w:val="005E7D72"/>
    <w:rsid w:val="005F243E"/>
    <w:rsid w:val="005F2868"/>
    <w:rsid w:val="005F477F"/>
    <w:rsid w:val="005F50D3"/>
    <w:rsid w:val="005F59CE"/>
    <w:rsid w:val="005F6414"/>
    <w:rsid w:val="005F7875"/>
    <w:rsid w:val="00600D09"/>
    <w:rsid w:val="0060106E"/>
    <w:rsid w:val="00601B5A"/>
    <w:rsid w:val="0060230F"/>
    <w:rsid w:val="00602D4D"/>
    <w:rsid w:val="00602E12"/>
    <w:rsid w:val="00603626"/>
    <w:rsid w:val="00604A9B"/>
    <w:rsid w:val="00604AF3"/>
    <w:rsid w:val="00604DB8"/>
    <w:rsid w:val="00604FB6"/>
    <w:rsid w:val="006058C3"/>
    <w:rsid w:val="00605E29"/>
    <w:rsid w:val="00606B22"/>
    <w:rsid w:val="0061443A"/>
    <w:rsid w:val="00614D74"/>
    <w:rsid w:val="00615ACC"/>
    <w:rsid w:val="00616825"/>
    <w:rsid w:val="00617676"/>
    <w:rsid w:val="00620596"/>
    <w:rsid w:val="0062133F"/>
    <w:rsid w:val="00621C1A"/>
    <w:rsid w:val="006225A8"/>
    <w:rsid w:val="0062311C"/>
    <w:rsid w:val="006233BF"/>
    <w:rsid w:val="006234C9"/>
    <w:rsid w:val="00624EA6"/>
    <w:rsid w:val="00625B1B"/>
    <w:rsid w:val="00625DBB"/>
    <w:rsid w:val="00626BEE"/>
    <w:rsid w:val="00626D46"/>
    <w:rsid w:val="0062760A"/>
    <w:rsid w:val="00631197"/>
    <w:rsid w:val="006316CF"/>
    <w:rsid w:val="00631F54"/>
    <w:rsid w:val="006334D7"/>
    <w:rsid w:val="0063355F"/>
    <w:rsid w:val="00633CDE"/>
    <w:rsid w:val="00633FAD"/>
    <w:rsid w:val="006343E9"/>
    <w:rsid w:val="00635CCB"/>
    <w:rsid w:val="00635DDE"/>
    <w:rsid w:val="00640025"/>
    <w:rsid w:val="00640AC6"/>
    <w:rsid w:val="00641146"/>
    <w:rsid w:val="00641599"/>
    <w:rsid w:val="00641C5A"/>
    <w:rsid w:val="00643852"/>
    <w:rsid w:val="00646064"/>
    <w:rsid w:val="00646808"/>
    <w:rsid w:val="00646D0B"/>
    <w:rsid w:val="006472B8"/>
    <w:rsid w:val="006475D4"/>
    <w:rsid w:val="00647DBF"/>
    <w:rsid w:val="00647DFA"/>
    <w:rsid w:val="0065011E"/>
    <w:rsid w:val="006502E7"/>
    <w:rsid w:val="00651935"/>
    <w:rsid w:val="00654707"/>
    <w:rsid w:val="00654C34"/>
    <w:rsid w:val="006569DC"/>
    <w:rsid w:val="006570C7"/>
    <w:rsid w:val="0065761B"/>
    <w:rsid w:val="0065783B"/>
    <w:rsid w:val="0066025F"/>
    <w:rsid w:val="006608F9"/>
    <w:rsid w:val="00661454"/>
    <w:rsid w:val="0066232D"/>
    <w:rsid w:val="0066280A"/>
    <w:rsid w:val="0066329E"/>
    <w:rsid w:val="00663969"/>
    <w:rsid w:val="006646AF"/>
    <w:rsid w:val="00667A7E"/>
    <w:rsid w:val="00667FB5"/>
    <w:rsid w:val="006722BC"/>
    <w:rsid w:val="0067311C"/>
    <w:rsid w:val="00674102"/>
    <w:rsid w:val="00674D05"/>
    <w:rsid w:val="00674DC1"/>
    <w:rsid w:val="00675CA9"/>
    <w:rsid w:val="00675D54"/>
    <w:rsid w:val="00676BF1"/>
    <w:rsid w:val="00680170"/>
    <w:rsid w:val="006857CB"/>
    <w:rsid w:val="0068603F"/>
    <w:rsid w:val="006878F0"/>
    <w:rsid w:val="00687B17"/>
    <w:rsid w:val="00690A44"/>
    <w:rsid w:val="0069161E"/>
    <w:rsid w:val="0069168D"/>
    <w:rsid w:val="0069347F"/>
    <w:rsid w:val="00693DEB"/>
    <w:rsid w:val="00694E37"/>
    <w:rsid w:val="00696481"/>
    <w:rsid w:val="006A1660"/>
    <w:rsid w:val="006A2340"/>
    <w:rsid w:val="006A2C0C"/>
    <w:rsid w:val="006A3923"/>
    <w:rsid w:val="006A3FC5"/>
    <w:rsid w:val="006A5F86"/>
    <w:rsid w:val="006A6DD1"/>
    <w:rsid w:val="006B0786"/>
    <w:rsid w:val="006B08C6"/>
    <w:rsid w:val="006B1446"/>
    <w:rsid w:val="006B16E5"/>
    <w:rsid w:val="006B1DC7"/>
    <w:rsid w:val="006B1EEA"/>
    <w:rsid w:val="006B26E1"/>
    <w:rsid w:val="006B34E1"/>
    <w:rsid w:val="006B36C9"/>
    <w:rsid w:val="006B3F25"/>
    <w:rsid w:val="006B548C"/>
    <w:rsid w:val="006B5AA6"/>
    <w:rsid w:val="006B621D"/>
    <w:rsid w:val="006B6AFE"/>
    <w:rsid w:val="006C1434"/>
    <w:rsid w:val="006C1D07"/>
    <w:rsid w:val="006C1FE1"/>
    <w:rsid w:val="006C2D97"/>
    <w:rsid w:val="006C306C"/>
    <w:rsid w:val="006C3516"/>
    <w:rsid w:val="006C3960"/>
    <w:rsid w:val="006C4029"/>
    <w:rsid w:val="006C4E28"/>
    <w:rsid w:val="006C6DFD"/>
    <w:rsid w:val="006C6F6D"/>
    <w:rsid w:val="006D2214"/>
    <w:rsid w:val="006D2487"/>
    <w:rsid w:val="006D3797"/>
    <w:rsid w:val="006D43F4"/>
    <w:rsid w:val="006D5090"/>
    <w:rsid w:val="006D5835"/>
    <w:rsid w:val="006D6453"/>
    <w:rsid w:val="006D6647"/>
    <w:rsid w:val="006D69AD"/>
    <w:rsid w:val="006D75AA"/>
    <w:rsid w:val="006D79DD"/>
    <w:rsid w:val="006E0D5D"/>
    <w:rsid w:val="006E0E99"/>
    <w:rsid w:val="006E0F68"/>
    <w:rsid w:val="006E2CDF"/>
    <w:rsid w:val="006E348C"/>
    <w:rsid w:val="006E3528"/>
    <w:rsid w:val="006E3684"/>
    <w:rsid w:val="006E4AA7"/>
    <w:rsid w:val="006E4E60"/>
    <w:rsid w:val="006E4E69"/>
    <w:rsid w:val="006E622C"/>
    <w:rsid w:val="006E6957"/>
    <w:rsid w:val="006F0E45"/>
    <w:rsid w:val="006F0E99"/>
    <w:rsid w:val="006F2613"/>
    <w:rsid w:val="006F2B98"/>
    <w:rsid w:val="006F5130"/>
    <w:rsid w:val="006F76EB"/>
    <w:rsid w:val="00700C5F"/>
    <w:rsid w:val="00700EA9"/>
    <w:rsid w:val="00701738"/>
    <w:rsid w:val="00701837"/>
    <w:rsid w:val="00702A88"/>
    <w:rsid w:val="0070348C"/>
    <w:rsid w:val="00703C1F"/>
    <w:rsid w:val="007042A5"/>
    <w:rsid w:val="007043C5"/>
    <w:rsid w:val="00704677"/>
    <w:rsid w:val="00704710"/>
    <w:rsid w:val="00704E32"/>
    <w:rsid w:val="00704F07"/>
    <w:rsid w:val="00707738"/>
    <w:rsid w:val="007109B7"/>
    <w:rsid w:val="00711703"/>
    <w:rsid w:val="00712B12"/>
    <w:rsid w:val="007131FF"/>
    <w:rsid w:val="00714C7E"/>
    <w:rsid w:val="0071508C"/>
    <w:rsid w:val="00715968"/>
    <w:rsid w:val="00715E46"/>
    <w:rsid w:val="00716F0B"/>
    <w:rsid w:val="00716F1B"/>
    <w:rsid w:val="0071733E"/>
    <w:rsid w:val="0071762A"/>
    <w:rsid w:val="00720C49"/>
    <w:rsid w:val="00721164"/>
    <w:rsid w:val="007212FE"/>
    <w:rsid w:val="00721405"/>
    <w:rsid w:val="007229EB"/>
    <w:rsid w:val="00722FE5"/>
    <w:rsid w:val="007236EE"/>
    <w:rsid w:val="00725B94"/>
    <w:rsid w:val="00725BB8"/>
    <w:rsid w:val="00725F8E"/>
    <w:rsid w:val="007267F5"/>
    <w:rsid w:val="0072684A"/>
    <w:rsid w:val="00726896"/>
    <w:rsid w:val="00727005"/>
    <w:rsid w:val="00727360"/>
    <w:rsid w:val="00731892"/>
    <w:rsid w:val="00731B26"/>
    <w:rsid w:val="00731CC5"/>
    <w:rsid w:val="00731D33"/>
    <w:rsid w:val="00732D96"/>
    <w:rsid w:val="00732FCE"/>
    <w:rsid w:val="007340D6"/>
    <w:rsid w:val="007343E0"/>
    <w:rsid w:val="00735422"/>
    <w:rsid w:val="00735860"/>
    <w:rsid w:val="0073707D"/>
    <w:rsid w:val="00737E39"/>
    <w:rsid w:val="00740E89"/>
    <w:rsid w:val="00740FF4"/>
    <w:rsid w:val="00741043"/>
    <w:rsid w:val="00741C0B"/>
    <w:rsid w:val="007435A8"/>
    <w:rsid w:val="00743B0D"/>
    <w:rsid w:val="00743EFA"/>
    <w:rsid w:val="00744E76"/>
    <w:rsid w:val="007451E6"/>
    <w:rsid w:val="00745431"/>
    <w:rsid w:val="00746D49"/>
    <w:rsid w:val="0074702B"/>
    <w:rsid w:val="00747945"/>
    <w:rsid w:val="00747AF8"/>
    <w:rsid w:val="007500C9"/>
    <w:rsid w:val="0075048B"/>
    <w:rsid w:val="007505C2"/>
    <w:rsid w:val="00750E8C"/>
    <w:rsid w:val="007512A5"/>
    <w:rsid w:val="007517BB"/>
    <w:rsid w:val="00751FB9"/>
    <w:rsid w:val="00752797"/>
    <w:rsid w:val="007564C3"/>
    <w:rsid w:val="0075727D"/>
    <w:rsid w:val="007604A0"/>
    <w:rsid w:val="00760D84"/>
    <w:rsid w:val="007626E5"/>
    <w:rsid w:val="00764099"/>
    <w:rsid w:val="00764E8A"/>
    <w:rsid w:val="00765B5F"/>
    <w:rsid w:val="00765CD0"/>
    <w:rsid w:val="00766170"/>
    <w:rsid w:val="00767A78"/>
    <w:rsid w:val="00767FC5"/>
    <w:rsid w:val="00767FE9"/>
    <w:rsid w:val="007708E1"/>
    <w:rsid w:val="007719A9"/>
    <w:rsid w:val="00771B7B"/>
    <w:rsid w:val="00772778"/>
    <w:rsid w:val="0077323D"/>
    <w:rsid w:val="00773A7A"/>
    <w:rsid w:val="0077549B"/>
    <w:rsid w:val="0077556C"/>
    <w:rsid w:val="00780436"/>
    <w:rsid w:val="00780543"/>
    <w:rsid w:val="00781001"/>
    <w:rsid w:val="00783BFB"/>
    <w:rsid w:val="00784DD8"/>
    <w:rsid w:val="00785A66"/>
    <w:rsid w:val="00786037"/>
    <w:rsid w:val="0079021B"/>
    <w:rsid w:val="00790E4D"/>
    <w:rsid w:val="00791176"/>
    <w:rsid w:val="00791196"/>
    <w:rsid w:val="007915E8"/>
    <w:rsid w:val="00795434"/>
    <w:rsid w:val="00795F32"/>
    <w:rsid w:val="007969F1"/>
    <w:rsid w:val="00796B52"/>
    <w:rsid w:val="00797605"/>
    <w:rsid w:val="00797F69"/>
    <w:rsid w:val="007A1B93"/>
    <w:rsid w:val="007A1BFA"/>
    <w:rsid w:val="007A3559"/>
    <w:rsid w:val="007A45D6"/>
    <w:rsid w:val="007A47A3"/>
    <w:rsid w:val="007A6753"/>
    <w:rsid w:val="007A6FE8"/>
    <w:rsid w:val="007A73CC"/>
    <w:rsid w:val="007A7576"/>
    <w:rsid w:val="007A7D59"/>
    <w:rsid w:val="007B0222"/>
    <w:rsid w:val="007B0333"/>
    <w:rsid w:val="007B2020"/>
    <w:rsid w:val="007B205B"/>
    <w:rsid w:val="007B25D4"/>
    <w:rsid w:val="007B2BDC"/>
    <w:rsid w:val="007B44FE"/>
    <w:rsid w:val="007B4AE4"/>
    <w:rsid w:val="007B51ED"/>
    <w:rsid w:val="007B52E2"/>
    <w:rsid w:val="007B5D02"/>
    <w:rsid w:val="007B6930"/>
    <w:rsid w:val="007B74FB"/>
    <w:rsid w:val="007C0446"/>
    <w:rsid w:val="007C0C61"/>
    <w:rsid w:val="007C142F"/>
    <w:rsid w:val="007C180C"/>
    <w:rsid w:val="007C20D6"/>
    <w:rsid w:val="007C2382"/>
    <w:rsid w:val="007C3B05"/>
    <w:rsid w:val="007C42CD"/>
    <w:rsid w:val="007C59F3"/>
    <w:rsid w:val="007C5CD7"/>
    <w:rsid w:val="007C62A1"/>
    <w:rsid w:val="007C7506"/>
    <w:rsid w:val="007D0073"/>
    <w:rsid w:val="007D0B48"/>
    <w:rsid w:val="007D1AEC"/>
    <w:rsid w:val="007D255A"/>
    <w:rsid w:val="007D2C61"/>
    <w:rsid w:val="007D3AB6"/>
    <w:rsid w:val="007D4E27"/>
    <w:rsid w:val="007D6430"/>
    <w:rsid w:val="007D6636"/>
    <w:rsid w:val="007D683D"/>
    <w:rsid w:val="007E22F9"/>
    <w:rsid w:val="007E2565"/>
    <w:rsid w:val="007E329F"/>
    <w:rsid w:val="007E333B"/>
    <w:rsid w:val="007E53A2"/>
    <w:rsid w:val="007E54D9"/>
    <w:rsid w:val="007E5836"/>
    <w:rsid w:val="007E6299"/>
    <w:rsid w:val="007E6993"/>
    <w:rsid w:val="007E7A96"/>
    <w:rsid w:val="007F0334"/>
    <w:rsid w:val="007F1123"/>
    <w:rsid w:val="007F22FE"/>
    <w:rsid w:val="007F2C66"/>
    <w:rsid w:val="007F41B5"/>
    <w:rsid w:val="007F427D"/>
    <w:rsid w:val="007F72B3"/>
    <w:rsid w:val="007F748A"/>
    <w:rsid w:val="007F7720"/>
    <w:rsid w:val="0080282F"/>
    <w:rsid w:val="00802FB1"/>
    <w:rsid w:val="00803F69"/>
    <w:rsid w:val="0080404B"/>
    <w:rsid w:val="0080449A"/>
    <w:rsid w:val="008062D0"/>
    <w:rsid w:val="0080636B"/>
    <w:rsid w:val="008063B8"/>
    <w:rsid w:val="008066AE"/>
    <w:rsid w:val="00806A2F"/>
    <w:rsid w:val="00806BA5"/>
    <w:rsid w:val="0080719C"/>
    <w:rsid w:val="0080771E"/>
    <w:rsid w:val="00807D5E"/>
    <w:rsid w:val="00810079"/>
    <w:rsid w:val="008116F5"/>
    <w:rsid w:val="0081535B"/>
    <w:rsid w:val="00817172"/>
    <w:rsid w:val="00817DBC"/>
    <w:rsid w:val="008228C4"/>
    <w:rsid w:val="00822A0A"/>
    <w:rsid w:val="00824D4D"/>
    <w:rsid w:val="00824E19"/>
    <w:rsid w:val="008256C7"/>
    <w:rsid w:val="00826406"/>
    <w:rsid w:val="00830802"/>
    <w:rsid w:val="00832205"/>
    <w:rsid w:val="008338EF"/>
    <w:rsid w:val="0083472D"/>
    <w:rsid w:val="00835079"/>
    <w:rsid w:val="00835803"/>
    <w:rsid w:val="00835990"/>
    <w:rsid w:val="00836979"/>
    <w:rsid w:val="00836F73"/>
    <w:rsid w:val="00836FAF"/>
    <w:rsid w:val="00840676"/>
    <w:rsid w:val="00842BAE"/>
    <w:rsid w:val="008432D0"/>
    <w:rsid w:val="00843B46"/>
    <w:rsid w:val="008467FA"/>
    <w:rsid w:val="008471BD"/>
    <w:rsid w:val="00847964"/>
    <w:rsid w:val="00847C31"/>
    <w:rsid w:val="00850911"/>
    <w:rsid w:val="00850C79"/>
    <w:rsid w:val="0085115A"/>
    <w:rsid w:val="008513CC"/>
    <w:rsid w:val="008519CD"/>
    <w:rsid w:val="00852D7E"/>
    <w:rsid w:val="00853215"/>
    <w:rsid w:val="00854EC5"/>
    <w:rsid w:val="00854FDB"/>
    <w:rsid w:val="00856437"/>
    <w:rsid w:val="00857B8E"/>
    <w:rsid w:val="00857E44"/>
    <w:rsid w:val="00860255"/>
    <w:rsid w:val="008607CE"/>
    <w:rsid w:val="0086156F"/>
    <w:rsid w:val="0086249A"/>
    <w:rsid w:val="008627A7"/>
    <w:rsid w:val="008627E4"/>
    <w:rsid w:val="00862EBE"/>
    <w:rsid w:val="008646B0"/>
    <w:rsid w:val="00864A6C"/>
    <w:rsid w:val="00866C71"/>
    <w:rsid w:val="00867F1D"/>
    <w:rsid w:val="0087053F"/>
    <w:rsid w:val="00873A84"/>
    <w:rsid w:val="0087487D"/>
    <w:rsid w:val="00874CD4"/>
    <w:rsid w:val="0087545D"/>
    <w:rsid w:val="00877171"/>
    <w:rsid w:val="00877DB2"/>
    <w:rsid w:val="008836C9"/>
    <w:rsid w:val="00884497"/>
    <w:rsid w:val="008848A4"/>
    <w:rsid w:val="00884AD9"/>
    <w:rsid w:val="00884CF9"/>
    <w:rsid w:val="008860AA"/>
    <w:rsid w:val="00891D24"/>
    <w:rsid w:val="00891DD0"/>
    <w:rsid w:val="008924E7"/>
    <w:rsid w:val="008925B9"/>
    <w:rsid w:val="00892725"/>
    <w:rsid w:val="00892A7D"/>
    <w:rsid w:val="0089350D"/>
    <w:rsid w:val="00893DF9"/>
    <w:rsid w:val="0089494E"/>
    <w:rsid w:val="008952EC"/>
    <w:rsid w:val="0089591B"/>
    <w:rsid w:val="0089626F"/>
    <w:rsid w:val="00897DC3"/>
    <w:rsid w:val="008A0C50"/>
    <w:rsid w:val="008A1C01"/>
    <w:rsid w:val="008A2866"/>
    <w:rsid w:val="008A4316"/>
    <w:rsid w:val="008A432C"/>
    <w:rsid w:val="008A61D1"/>
    <w:rsid w:val="008A637B"/>
    <w:rsid w:val="008A64DA"/>
    <w:rsid w:val="008B30E0"/>
    <w:rsid w:val="008B3BB6"/>
    <w:rsid w:val="008B5EF3"/>
    <w:rsid w:val="008B5FE3"/>
    <w:rsid w:val="008B6181"/>
    <w:rsid w:val="008B67A2"/>
    <w:rsid w:val="008B6D1A"/>
    <w:rsid w:val="008B6E36"/>
    <w:rsid w:val="008B6FDF"/>
    <w:rsid w:val="008B7AF0"/>
    <w:rsid w:val="008B7D8B"/>
    <w:rsid w:val="008C13FB"/>
    <w:rsid w:val="008C1A93"/>
    <w:rsid w:val="008C297C"/>
    <w:rsid w:val="008C3465"/>
    <w:rsid w:val="008C3692"/>
    <w:rsid w:val="008C3D59"/>
    <w:rsid w:val="008C3E9E"/>
    <w:rsid w:val="008C4497"/>
    <w:rsid w:val="008C6A78"/>
    <w:rsid w:val="008C6AB8"/>
    <w:rsid w:val="008C79CD"/>
    <w:rsid w:val="008C7A02"/>
    <w:rsid w:val="008C7CB6"/>
    <w:rsid w:val="008D0A90"/>
    <w:rsid w:val="008D0C6D"/>
    <w:rsid w:val="008D277C"/>
    <w:rsid w:val="008D2ACB"/>
    <w:rsid w:val="008D34AD"/>
    <w:rsid w:val="008D4678"/>
    <w:rsid w:val="008D4CB7"/>
    <w:rsid w:val="008D4EAA"/>
    <w:rsid w:val="008D4FA3"/>
    <w:rsid w:val="008D767E"/>
    <w:rsid w:val="008E0D37"/>
    <w:rsid w:val="008E1040"/>
    <w:rsid w:val="008E164D"/>
    <w:rsid w:val="008E3387"/>
    <w:rsid w:val="008E3876"/>
    <w:rsid w:val="008E51C5"/>
    <w:rsid w:val="008E5225"/>
    <w:rsid w:val="008E6463"/>
    <w:rsid w:val="008E6C6D"/>
    <w:rsid w:val="008E6F53"/>
    <w:rsid w:val="008E7081"/>
    <w:rsid w:val="008F0F84"/>
    <w:rsid w:val="008F1D63"/>
    <w:rsid w:val="008F2294"/>
    <w:rsid w:val="008F3777"/>
    <w:rsid w:val="008F43A1"/>
    <w:rsid w:val="008F4461"/>
    <w:rsid w:val="008F467B"/>
    <w:rsid w:val="008F6164"/>
    <w:rsid w:val="008F6533"/>
    <w:rsid w:val="008F6933"/>
    <w:rsid w:val="008F6C28"/>
    <w:rsid w:val="008F6E71"/>
    <w:rsid w:val="008F704F"/>
    <w:rsid w:val="008F759B"/>
    <w:rsid w:val="00901A8B"/>
    <w:rsid w:val="0090227C"/>
    <w:rsid w:val="00902AF7"/>
    <w:rsid w:val="00903963"/>
    <w:rsid w:val="00903CAE"/>
    <w:rsid w:val="0090450A"/>
    <w:rsid w:val="00904CCA"/>
    <w:rsid w:val="00904FC5"/>
    <w:rsid w:val="0090758E"/>
    <w:rsid w:val="00907BEF"/>
    <w:rsid w:val="00907E56"/>
    <w:rsid w:val="00910C15"/>
    <w:rsid w:val="009118F8"/>
    <w:rsid w:val="009121BE"/>
    <w:rsid w:val="00913814"/>
    <w:rsid w:val="009138DD"/>
    <w:rsid w:val="0091435A"/>
    <w:rsid w:val="00914650"/>
    <w:rsid w:val="0091553E"/>
    <w:rsid w:val="00917266"/>
    <w:rsid w:val="009172E4"/>
    <w:rsid w:val="0091771E"/>
    <w:rsid w:val="00917BD0"/>
    <w:rsid w:val="00920426"/>
    <w:rsid w:val="009205B9"/>
    <w:rsid w:val="00920CAD"/>
    <w:rsid w:val="00921824"/>
    <w:rsid w:val="00925160"/>
    <w:rsid w:val="009268D5"/>
    <w:rsid w:val="009278FE"/>
    <w:rsid w:val="00930E39"/>
    <w:rsid w:val="00931583"/>
    <w:rsid w:val="0093270C"/>
    <w:rsid w:val="009359C9"/>
    <w:rsid w:val="00936CCA"/>
    <w:rsid w:val="00941151"/>
    <w:rsid w:val="00941ACE"/>
    <w:rsid w:val="00941C47"/>
    <w:rsid w:val="009428F3"/>
    <w:rsid w:val="009445A7"/>
    <w:rsid w:val="009452C6"/>
    <w:rsid w:val="00947F2C"/>
    <w:rsid w:val="00950DF8"/>
    <w:rsid w:val="009529F3"/>
    <w:rsid w:val="00954366"/>
    <w:rsid w:val="00954AF3"/>
    <w:rsid w:val="00955114"/>
    <w:rsid w:val="00957763"/>
    <w:rsid w:val="009577A4"/>
    <w:rsid w:val="00957836"/>
    <w:rsid w:val="00957AD0"/>
    <w:rsid w:val="00960727"/>
    <w:rsid w:val="00960AD6"/>
    <w:rsid w:val="00962EF7"/>
    <w:rsid w:val="0096301F"/>
    <w:rsid w:val="009642AA"/>
    <w:rsid w:val="00964753"/>
    <w:rsid w:val="009647E3"/>
    <w:rsid w:val="00964B16"/>
    <w:rsid w:val="00964B83"/>
    <w:rsid w:val="00964D2A"/>
    <w:rsid w:val="00964E60"/>
    <w:rsid w:val="0096634E"/>
    <w:rsid w:val="009666AE"/>
    <w:rsid w:val="00966B5F"/>
    <w:rsid w:val="00967766"/>
    <w:rsid w:val="00970D10"/>
    <w:rsid w:val="00970D71"/>
    <w:rsid w:val="0097110D"/>
    <w:rsid w:val="00971411"/>
    <w:rsid w:val="00971472"/>
    <w:rsid w:val="0097161A"/>
    <w:rsid w:val="0097233A"/>
    <w:rsid w:val="009729BD"/>
    <w:rsid w:val="00973891"/>
    <w:rsid w:val="00973F32"/>
    <w:rsid w:val="0097437D"/>
    <w:rsid w:val="0097569E"/>
    <w:rsid w:val="00975929"/>
    <w:rsid w:val="00975F92"/>
    <w:rsid w:val="00977C2C"/>
    <w:rsid w:val="009812A5"/>
    <w:rsid w:val="00983063"/>
    <w:rsid w:val="009840F9"/>
    <w:rsid w:val="0098423C"/>
    <w:rsid w:val="009850EE"/>
    <w:rsid w:val="00985191"/>
    <w:rsid w:val="00986764"/>
    <w:rsid w:val="00987695"/>
    <w:rsid w:val="00987DDE"/>
    <w:rsid w:val="00987FD5"/>
    <w:rsid w:val="009908B1"/>
    <w:rsid w:val="009922C5"/>
    <w:rsid w:val="009924F1"/>
    <w:rsid w:val="009932DB"/>
    <w:rsid w:val="009942D3"/>
    <w:rsid w:val="00995B0D"/>
    <w:rsid w:val="00996137"/>
    <w:rsid w:val="00996415"/>
    <w:rsid w:val="00996534"/>
    <w:rsid w:val="00997DA9"/>
    <w:rsid w:val="00997DD6"/>
    <w:rsid w:val="009A00DF"/>
    <w:rsid w:val="009A1A61"/>
    <w:rsid w:val="009A26DE"/>
    <w:rsid w:val="009A30A0"/>
    <w:rsid w:val="009A35DB"/>
    <w:rsid w:val="009A3AAD"/>
    <w:rsid w:val="009A5D22"/>
    <w:rsid w:val="009A689C"/>
    <w:rsid w:val="009A7CDD"/>
    <w:rsid w:val="009B04F0"/>
    <w:rsid w:val="009B0FCD"/>
    <w:rsid w:val="009B11BF"/>
    <w:rsid w:val="009B39FC"/>
    <w:rsid w:val="009B3E74"/>
    <w:rsid w:val="009B3F88"/>
    <w:rsid w:val="009B3FF0"/>
    <w:rsid w:val="009B3FFF"/>
    <w:rsid w:val="009B6811"/>
    <w:rsid w:val="009B763B"/>
    <w:rsid w:val="009C11F2"/>
    <w:rsid w:val="009C1649"/>
    <w:rsid w:val="009C2C89"/>
    <w:rsid w:val="009C34F6"/>
    <w:rsid w:val="009C437D"/>
    <w:rsid w:val="009C45A4"/>
    <w:rsid w:val="009C52D0"/>
    <w:rsid w:val="009C596D"/>
    <w:rsid w:val="009C5CB7"/>
    <w:rsid w:val="009C7493"/>
    <w:rsid w:val="009D0B67"/>
    <w:rsid w:val="009D1494"/>
    <w:rsid w:val="009D1DE7"/>
    <w:rsid w:val="009D4180"/>
    <w:rsid w:val="009D5F31"/>
    <w:rsid w:val="009E1575"/>
    <w:rsid w:val="009E1589"/>
    <w:rsid w:val="009E30EF"/>
    <w:rsid w:val="009E4374"/>
    <w:rsid w:val="009E4C7C"/>
    <w:rsid w:val="009F015C"/>
    <w:rsid w:val="009F5B15"/>
    <w:rsid w:val="009F7244"/>
    <w:rsid w:val="00A01EDD"/>
    <w:rsid w:val="00A03872"/>
    <w:rsid w:val="00A04050"/>
    <w:rsid w:val="00A04178"/>
    <w:rsid w:val="00A05823"/>
    <w:rsid w:val="00A063DD"/>
    <w:rsid w:val="00A06B35"/>
    <w:rsid w:val="00A06C92"/>
    <w:rsid w:val="00A06C9D"/>
    <w:rsid w:val="00A07179"/>
    <w:rsid w:val="00A075C0"/>
    <w:rsid w:val="00A102E4"/>
    <w:rsid w:val="00A10380"/>
    <w:rsid w:val="00A10E99"/>
    <w:rsid w:val="00A145F9"/>
    <w:rsid w:val="00A1611A"/>
    <w:rsid w:val="00A162D7"/>
    <w:rsid w:val="00A163DC"/>
    <w:rsid w:val="00A166B0"/>
    <w:rsid w:val="00A16B1D"/>
    <w:rsid w:val="00A17977"/>
    <w:rsid w:val="00A222D4"/>
    <w:rsid w:val="00A24335"/>
    <w:rsid w:val="00A25327"/>
    <w:rsid w:val="00A25998"/>
    <w:rsid w:val="00A26982"/>
    <w:rsid w:val="00A27287"/>
    <w:rsid w:val="00A310D2"/>
    <w:rsid w:val="00A31FA1"/>
    <w:rsid w:val="00A3252B"/>
    <w:rsid w:val="00A33CCF"/>
    <w:rsid w:val="00A341D2"/>
    <w:rsid w:val="00A34333"/>
    <w:rsid w:val="00A345BA"/>
    <w:rsid w:val="00A3525F"/>
    <w:rsid w:val="00A3550A"/>
    <w:rsid w:val="00A36C3E"/>
    <w:rsid w:val="00A37623"/>
    <w:rsid w:val="00A37A27"/>
    <w:rsid w:val="00A37C16"/>
    <w:rsid w:val="00A420AB"/>
    <w:rsid w:val="00A420B9"/>
    <w:rsid w:val="00A426E1"/>
    <w:rsid w:val="00A43096"/>
    <w:rsid w:val="00A443AE"/>
    <w:rsid w:val="00A44926"/>
    <w:rsid w:val="00A451BC"/>
    <w:rsid w:val="00A47E97"/>
    <w:rsid w:val="00A51C8F"/>
    <w:rsid w:val="00A545A4"/>
    <w:rsid w:val="00A548FE"/>
    <w:rsid w:val="00A55C24"/>
    <w:rsid w:val="00A56057"/>
    <w:rsid w:val="00A5714F"/>
    <w:rsid w:val="00A579EA"/>
    <w:rsid w:val="00A60A0B"/>
    <w:rsid w:val="00A6252D"/>
    <w:rsid w:val="00A62C1E"/>
    <w:rsid w:val="00A631A8"/>
    <w:rsid w:val="00A63B11"/>
    <w:rsid w:val="00A6520D"/>
    <w:rsid w:val="00A65234"/>
    <w:rsid w:val="00A65430"/>
    <w:rsid w:val="00A67BBE"/>
    <w:rsid w:val="00A727EC"/>
    <w:rsid w:val="00A728C6"/>
    <w:rsid w:val="00A728F8"/>
    <w:rsid w:val="00A73E71"/>
    <w:rsid w:val="00A7551F"/>
    <w:rsid w:val="00A75659"/>
    <w:rsid w:val="00A76E6E"/>
    <w:rsid w:val="00A771CC"/>
    <w:rsid w:val="00A80810"/>
    <w:rsid w:val="00A814DE"/>
    <w:rsid w:val="00A82086"/>
    <w:rsid w:val="00A821A1"/>
    <w:rsid w:val="00A83B4E"/>
    <w:rsid w:val="00A851E3"/>
    <w:rsid w:val="00A85C79"/>
    <w:rsid w:val="00A85F6E"/>
    <w:rsid w:val="00A86CF2"/>
    <w:rsid w:val="00A87D6D"/>
    <w:rsid w:val="00A91076"/>
    <w:rsid w:val="00A9290F"/>
    <w:rsid w:val="00A937C8"/>
    <w:rsid w:val="00A93AE6"/>
    <w:rsid w:val="00A93C9F"/>
    <w:rsid w:val="00A941B3"/>
    <w:rsid w:val="00A94911"/>
    <w:rsid w:val="00A94F70"/>
    <w:rsid w:val="00A96592"/>
    <w:rsid w:val="00AA0E41"/>
    <w:rsid w:val="00AA124C"/>
    <w:rsid w:val="00AA27F2"/>
    <w:rsid w:val="00AA2C06"/>
    <w:rsid w:val="00AA36D1"/>
    <w:rsid w:val="00AA4B77"/>
    <w:rsid w:val="00AA676B"/>
    <w:rsid w:val="00AA67F1"/>
    <w:rsid w:val="00AA7661"/>
    <w:rsid w:val="00AA77B5"/>
    <w:rsid w:val="00AB168E"/>
    <w:rsid w:val="00AB21D2"/>
    <w:rsid w:val="00AB331B"/>
    <w:rsid w:val="00AB4874"/>
    <w:rsid w:val="00AB4DAB"/>
    <w:rsid w:val="00AB55B4"/>
    <w:rsid w:val="00AB56CC"/>
    <w:rsid w:val="00AB5CFA"/>
    <w:rsid w:val="00AB7307"/>
    <w:rsid w:val="00AC024A"/>
    <w:rsid w:val="00AC1688"/>
    <w:rsid w:val="00AC2FD9"/>
    <w:rsid w:val="00AC5216"/>
    <w:rsid w:val="00AC63CE"/>
    <w:rsid w:val="00AD02DC"/>
    <w:rsid w:val="00AD1828"/>
    <w:rsid w:val="00AD31A1"/>
    <w:rsid w:val="00AD381E"/>
    <w:rsid w:val="00AD3C99"/>
    <w:rsid w:val="00AD445E"/>
    <w:rsid w:val="00AD462E"/>
    <w:rsid w:val="00AD4A6E"/>
    <w:rsid w:val="00AD5120"/>
    <w:rsid w:val="00AD51A7"/>
    <w:rsid w:val="00AD538A"/>
    <w:rsid w:val="00AD57F5"/>
    <w:rsid w:val="00AD5AEB"/>
    <w:rsid w:val="00AD5EEA"/>
    <w:rsid w:val="00AD7F23"/>
    <w:rsid w:val="00AE0EAD"/>
    <w:rsid w:val="00AE1104"/>
    <w:rsid w:val="00AE24F1"/>
    <w:rsid w:val="00AE379C"/>
    <w:rsid w:val="00AE5AB5"/>
    <w:rsid w:val="00AE696A"/>
    <w:rsid w:val="00AE79A9"/>
    <w:rsid w:val="00AF0070"/>
    <w:rsid w:val="00AF030E"/>
    <w:rsid w:val="00AF067C"/>
    <w:rsid w:val="00AF11BF"/>
    <w:rsid w:val="00AF1795"/>
    <w:rsid w:val="00AF1824"/>
    <w:rsid w:val="00AF2980"/>
    <w:rsid w:val="00AF3075"/>
    <w:rsid w:val="00AF40A3"/>
    <w:rsid w:val="00AF44AE"/>
    <w:rsid w:val="00AF610D"/>
    <w:rsid w:val="00AF71C0"/>
    <w:rsid w:val="00AF79F0"/>
    <w:rsid w:val="00B00564"/>
    <w:rsid w:val="00B01EB9"/>
    <w:rsid w:val="00B020A1"/>
    <w:rsid w:val="00B023D3"/>
    <w:rsid w:val="00B04660"/>
    <w:rsid w:val="00B04BD4"/>
    <w:rsid w:val="00B06F71"/>
    <w:rsid w:val="00B11E8A"/>
    <w:rsid w:val="00B12712"/>
    <w:rsid w:val="00B13492"/>
    <w:rsid w:val="00B137C0"/>
    <w:rsid w:val="00B144E9"/>
    <w:rsid w:val="00B15112"/>
    <w:rsid w:val="00B15921"/>
    <w:rsid w:val="00B15E4B"/>
    <w:rsid w:val="00B16257"/>
    <w:rsid w:val="00B16976"/>
    <w:rsid w:val="00B177C1"/>
    <w:rsid w:val="00B178CE"/>
    <w:rsid w:val="00B2024F"/>
    <w:rsid w:val="00B2027B"/>
    <w:rsid w:val="00B20827"/>
    <w:rsid w:val="00B216EE"/>
    <w:rsid w:val="00B25D04"/>
    <w:rsid w:val="00B265A3"/>
    <w:rsid w:val="00B27B2F"/>
    <w:rsid w:val="00B322DE"/>
    <w:rsid w:val="00B342EB"/>
    <w:rsid w:val="00B34927"/>
    <w:rsid w:val="00B352EF"/>
    <w:rsid w:val="00B35BCD"/>
    <w:rsid w:val="00B3657D"/>
    <w:rsid w:val="00B37351"/>
    <w:rsid w:val="00B374AB"/>
    <w:rsid w:val="00B402C3"/>
    <w:rsid w:val="00B404DC"/>
    <w:rsid w:val="00B40744"/>
    <w:rsid w:val="00B4124B"/>
    <w:rsid w:val="00B41467"/>
    <w:rsid w:val="00B4152E"/>
    <w:rsid w:val="00B41F3F"/>
    <w:rsid w:val="00B43FC8"/>
    <w:rsid w:val="00B46C88"/>
    <w:rsid w:val="00B47119"/>
    <w:rsid w:val="00B47965"/>
    <w:rsid w:val="00B5071D"/>
    <w:rsid w:val="00B50B30"/>
    <w:rsid w:val="00B519AC"/>
    <w:rsid w:val="00B52582"/>
    <w:rsid w:val="00B550D7"/>
    <w:rsid w:val="00B55886"/>
    <w:rsid w:val="00B5688C"/>
    <w:rsid w:val="00B5725C"/>
    <w:rsid w:val="00B57585"/>
    <w:rsid w:val="00B5773C"/>
    <w:rsid w:val="00B61219"/>
    <w:rsid w:val="00B6240D"/>
    <w:rsid w:val="00B62978"/>
    <w:rsid w:val="00B62AAA"/>
    <w:rsid w:val="00B649C4"/>
    <w:rsid w:val="00B6500F"/>
    <w:rsid w:val="00B657FD"/>
    <w:rsid w:val="00B66E46"/>
    <w:rsid w:val="00B67245"/>
    <w:rsid w:val="00B67C9F"/>
    <w:rsid w:val="00B72426"/>
    <w:rsid w:val="00B73537"/>
    <w:rsid w:val="00B736CE"/>
    <w:rsid w:val="00B75C2B"/>
    <w:rsid w:val="00B76AC9"/>
    <w:rsid w:val="00B83917"/>
    <w:rsid w:val="00B84A26"/>
    <w:rsid w:val="00B84FE3"/>
    <w:rsid w:val="00B85773"/>
    <w:rsid w:val="00B861B0"/>
    <w:rsid w:val="00B871D1"/>
    <w:rsid w:val="00B8772E"/>
    <w:rsid w:val="00B90BB0"/>
    <w:rsid w:val="00B91A12"/>
    <w:rsid w:val="00B93801"/>
    <w:rsid w:val="00B94323"/>
    <w:rsid w:val="00B95247"/>
    <w:rsid w:val="00B96C78"/>
    <w:rsid w:val="00B96D41"/>
    <w:rsid w:val="00B97A90"/>
    <w:rsid w:val="00BA05D4"/>
    <w:rsid w:val="00BA093F"/>
    <w:rsid w:val="00BA1BF7"/>
    <w:rsid w:val="00BA58FA"/>
    <w:rsid w:val="00BA62D0"/>
    <w:rsid w:val="00BA7971"/>
    <w:rsid w:val="00BB386A"/>
    <w:rsid w:val="00BB58CE"/>
    <w:rsid w:val="00BB5C36"/>
    <w:rsid w:val="00BB5D29"/>
    <w:rsid w:val="00BB6899"/>
    <w:rsid w:val="00BC0863"/>
    <w:rsid w:val="00BC2E97"/>
    <w:rsid w:val="00BC2E9A"/>
    <w:rsid w:val="00BC3EFF"/>
    <w:rsid w:val="00BC45AC"/>
    <w:rsid w:val="00BC4616"/>
    <w:rsid w:val="00BC5577"/>
    <w:rsid w:val="00BC6981"/>
    <w:rsid w:val="00BC6BB4"/>
    <w:rsid w:val="00BC7892"/>
    <w:rsid w:val="00BD093A"/>
    <w:rsid w:val="00BD0A1F"/>
    <w:rsid w:val="00BD1D01"/>
    <w:rsid w:val="00BD23B9"/>
    <w:rsid w:val="00BD24A3"/>
    <w:rsid w:val="00BD4E8B"/>
    <w:rsid w:val="00BD6601"/>
    <w:rsid w:val="00BD68E6"/>
    <w:rsid w:val="00BD6E89"/>
    <w:rsid w:val="00BE06BD"/>
    <w:rsid w:val="00BE0DB6"/>
    <w:rsid w:val="00BE25C7"/>
    <w:rsid w:val="00BE3C74"/>
    <w:rsid w:val="00BE424F"/>
    <w:rsid w:val="00BE5302"/>
    <w:rsid w:val="00BE5ADF"/>
    <w:rsid w:val="00BF0B93"/>
    <w:rsid w:val="00BF26CF"/>
    <w:rsid w:val="00BF2F5B"/>
    <w:rsid w:val="00BF52C0"/>
    <w:rsid w:val="00BF7ADE"/>
    <w:rsid w:val="00C00D30"/>
    <w:rsid w:val="00C00DDB"/>
    <w:rsid w:val="00C026E8"/>
    <w:rsid w:val="00C0328E"/>
    <w:rsid w:val="00C03899"/>
    <w:rsid w:val="00C03AE5"/>
    <w:rsid w:val="00C05CB5"/>
    <w:rsid w:val="00C05FA5"/>
    <w:rsid w:val="00C067E3"/>
    <w:rsid w:val="00C06F8C"/>
    <w:rsid w:val="00C07A3B"/>
    <w:rsid w:val="00C10CD2"/>
    <w:rsid w:val="00C11732"/>
    <w:rsid w:val="00C11D71"/>
    <w:rsid w:val="00C135AB"/>
    <w:rsid w:val="00C14191"/>
    <w:rsid w:val="00C1459F"/>
    <w:rsid w:val="00C14FB6"/>
    <w:rsid w:val="00C159BD"/>
    <w:rsid w:val="00C15C16"/>
    <w:rsid w:val="00C2009C"/>
    <w:rsid w:val="00C2055B"/>
    <w:rsid w:val="00C22A06"/>
    <w:rsid w:val="00C22D19"/>
    <w:rsid w:val="00C23333"/>
    <w:rsid w:val="00C23E07"/>
    <w:rsid w:val="00C25651"/>
    <w:rsid w:val="00C256E8"/>
    <w:rsid w:val="00C26A7F"/>
    <w:rsid w:val="00C26B6D"/>
    <w:rsid w:val="00C2774D"/>
    <w:rsid w:val="00C27921"/>
    <w:rsid w:val="00C27DF5"/>
    <w:rsid w:val="00C3313C"/>
    <w:rsid w:val="00C34108"/>
    <w:rsid w:val="00C34351"/>
    <w:rsid w:val="00C354A3"/>
    <w:rsid w:val="00C371AE"/>
    <w:rsid w:val="00C374E6"/>
    <w:rsid w:val="00C40066"/>
    <w:rsid w:val="00C41181"/>
    <w:rsid w:val="00C436BD"/>
    <w:rsid w:val="00C4414A"/>
    <w:rsid w:val="00C455BB"/>
    <w:rsid w:val="00C47A3D"/>
    <w:rsid w:val="00C47FA2"/>
    <w:rsid w:val="00C47FCE"/>
    <w:rsid w:val="00C5058F"/>
    <w:rsid w:val="00C51919"/>
    <w:rsid w:val="00C52AF1"/>
    <w:rsid w:val="00C52EB9"/>
    <w:rsid w:val="00C54500"/>
    <w:rsid w:val="00C55535"/>
    <w:rsid w:val="00C55A94"/>
    <w:rsid w:val="00C578C4"/>
    <w:rsid w:val="00C57DC5"/>
    <w:rsid w:val="00C61865"/>
    <w:rsid w:val="00C620BC"/>
    <w:rsid w:val="00C62C71"/>
    <w:rsid w:val="00C6377E"/>
    <w:rsid w:val="00C63C1B"/>
    <w:rsid w:val="00C63D8F"/>
    <w:rsid w:val="00C63E63"/>
    <w:rsid w:val="00C641B0"/>
    <w:rsid w:val="00C67842"/>
    <w:rsid w:val="00C70554"/>
    <w:rsid w:val="00C707A5"/>
    <w:rsid w:val="00C70D17"/>
    <w:rsid w:val="00C71740"/>
    <w:rsid w:val="00C718EF"/>
    <w:rsid w:val="00C7233C"/>
    <w:rsid w:val="00C7278E"/>
    <w:rsid w:val="00C72A97"/>
    <w:rsid w:val="00C756C1"/>
    <w:rsid w:val="00C75B36"/>
    <w:rsid w:val="00C76463"/>
    <w:rsid w:val="00C77DD9"/>
    <w:rsid w:val="00C80A31"/>
    <w:rsid w:val="00C81024"/>
    <w:rsid w:val="00C81C5E"/>
    <w:rsid w:val="00C8308E"/>
    <w:rsid w:val="00C90FF9"/>
    <w:rsid w:val="00C9121B"/>
    <w:rsid w:val="00C92CE2"/>
    <w:rsid w:val="00C93ECD"/>
    <w:rsid w:val="00C94D25"/>
    <w:rsid w:val="00C9645A"/>
    <w:rsid w:val="00CA0CD6"/>
    <w:rsid w:val="00CA1D2B"/>
    <w:rsid w:val="00CA359A"/>
    <w:rsid w:val="00CA3D2F"/>
    <w:rsid w:val="00CA4109"/>
    <w:rsid w:val="00CA43B2"/>
    <w:rsid w:val="00CA4520"/>
    <w:rsid w:val="00CA4D21"/>
    <w:rsid w:val="00CA6309"/>
    <w:rsid w:val="00CA6E5A"/>
    <w:rsid w:val="00CB06CC"/>
    <w:rsid w:val="00CB08A0"/>
    <w:rsid w:val="00CB20AD"/>
    <w:rsid w:val="00CB2B1D"/>
    <w:rsid w:val="00CB2FA0"/>
    <w:rsid w:val="00CB2FB5"/>
    <w:rsid w:val="00CB3406"/>
    <w:rsid w:val="00CB37F5"/>
    <w:rsid w:val="00CB3A07"/>
    <w:rsid w:val="00CB6514"/>
    <w:rsid w:val="00CC05A8"/>
    <w:rsid w:val="00CC25B7"/>
    <w:rsid w:val="00CC31F5"/>
    <w:rsid w:val="00CC329D"/>
    <w:rsid w:val="00CC4E91"/>
    <w:rsid w:val="00CC5525"/>
    <w:rsid w:val="00CC57C8"/>
    <w:rsid w:val="00CC6378"/>
    <w:rsid w:val="00CC69FE"/>
    <w:rsid w:val="00CC70F9"/>
    <w:rsid w:val="00CC78C4"/>
    <w:rsid w:val="00CD122B"/>
    <w:rsid w:val="00CD1A38"/>
    <w:rsid w:val="00CD1D68"/>
    <w:rsid w:val="00CD30B0"/>
    <w:rsid w:val="00CD46D2"/>
    <w:rsid w:val="00CD5731"/>
    <w:rsid w:val="00CD5954"/>
    <w:rsid w:val="00CD6833"/>
    <w:rsid w:val="00CD69F0"/>
    <w:rsid w:val="00CD6ECA"/>
    <w:rsid w:val="00CD73D4"/>
    <w:rsid w:val="00CD76D1"/>
    <w:rsid w:val="00CD7B08"/>
    <w:rsid w:val="00CE0728"/>
    <w:rsid w:val="00CE09ED"/>
    <w:rsid w:val="00CE0E71"/>
    <w:rsid w:val="00CE10CE"/>
    <w:rsid w:val="00CE39DE"/>
    <w:rsid w:val="00CE4075"/>
    <w:rsid w:val="00CE4B29"/>
    <w:rsid w:val="00CE4EF5"/>
    <w:rsid w:val="00CE551E"/>
    <w:rsid w:val="00CE5EC2"/>
    <w:rsid w:val="00CE6A69"/>
    <w:rsid w:val="00CE6E82"/>
    <w:rsid w:val="00CE7F37"/>
    <w:rsid w:val="00CF04E0"/>
    <w:rsid w:val="00CF08C2"/>
    <w:rsid w:val="00CF2EFC"/>
    <w:rsid w:val="00CF34C4"/>
    <w:rsid w:val="00CF392E"/>
    <w:rsid w:val="00CF4177"/>
    <w:rsid w:val="00CF427F"/>
    <w:rsid w:val="00CF6D82"/>
    <w:rsid w:val="00CF7321"/>
    <w:rsid w:val="00CF758C"/>
    <w:rsid w:val="00CF763A"/>
    <w:rsid w:val="00CF795C"/>
    <w:rsid w:val="00D014D4"/>
    <w:rsid w:val="00D01664"/>
    <w:rsid w:val="00D0335F"/>
    <w:rsid w:val="00D0363B"/>
    <w:rsid w:val="00D040F6"/>
    <w:rsid w:val="00D0418C"/>
    <w:rsid w:val="00D05354"/>
    <w:rsid w:val="00D05426"/>
    <w:rsid w:val="00D05AE6"/>
    <w:rsid w:val="00D06E0F"/>
    <w:rsid w:val="00D0781E"/>
    <w:rsid w:val="00D100C7"/>
    <w:rsid w:val="00D10120"/>
    <w:rsid w:val="00D12602"/>
    <w:rsid w:val="00D140C9"/>
    <w:rsid w:val="00D14CCD"/>
    <w:rsid w:val="00D14E76"/>
    <w:rsid w:val="00D15AA5"/>
    <w:rsid w:val="00D15D61"/>
    <w:rsid w:val="00D168D4"/>
    <w:rsid w:val="00D16EB7"/>
    <w:rsid w:val="00D1704B"/>
    <w:rsid w:val="00D17654"/>
    <w:rsid w:val="00D17C13"/>
    <w:rsid w:val="00D203F8"/>
    <w:rsid w:val="00D20AC4"/>
    <w:rsid w:val="00D241D9"/>
    <w:rsid w:val="00D24222"/>
    <w:rsid w:val="00D24BE1"/>
    <w:rsid w:val="00D25B5A"/>
    <w:rsid w:val="00D264AB"/>
    <w:rsid w:val="00D26E91"/>
    <w:rsid w:val="00D274A8"/>
    <w:rsid w:val="00D30411"/>
    <w:rsid w:val="00D30646"/>
    <w:rsid w:val="00D30812"/>
    <w:rsid w:val="00D313BB"/>
    <w:rsid w:val="00D32063"/>
    <w:rsid w:val="00D3264C"/>
    <w:rsid w:val="00D33590"/>
    <w:rsid w:val="00D33F23"/>
    <w:rsid w:val="00D34B6F"/>
    <w:rsid w:val="00D35326"/>
    <w:rsid w:val="00D3688C"/>
    <w:rsid w:val="00D36F2A"/>
    <w:rsid w:val="00D37648"/>
    <w:rsid w:val="00D40C47"/>
    <w:rsid w:val="00D4119A"/>
    <w:rsid w:val="00D41E69"/>
    <w:rsid w:val="00D42C3E"/>
    <w:rsid w:val="00D4308A"/>
    <w:rsid w:val="00D43109"/>
    <w:rsid w:val="00D43A8F"/>
    <w:rsid w:val="00D441BA"/>
    <w:rsid w:val="00D4706D"/>
    <w:rsid w:val="00D47DAA"/>
    <w:rsid w:val="00D50683"/>
    <w:rsid w:val="00D511E9"/>
    <w:rsid w:val="00D531E7"/>
    <w:rsid w:val="00D53BAC"/>
    <w:rsid w:val="00D5428B"/>
    <w:rsid w:val="00D5460F"/>
    <w:rsid w:val="00D562CB"/>
    <w:rsid w:val="00D5639F"/>
    <w:rsid w:val="00D572B0"/>
    <w:rsid w:val="00D60850"/>
    <w:rsid w:val="00D61441"/>
    <w:rsid w:val="00D614D4"/>
    <w:rsid w:val="00D615E8"/>
    <w:rsid w:val="00D621AC"/>
    <w:rsid w:val="00D62C23"/>
    <w:rsid w:val="00D630EA"/>
    <w:rsid w:val="00D6349B"/>
    <w:rsid w:val="00D65489"/>
    <w:rsid w:val="00D664B6"/>
    <w:rsid w:val="00D676EA"/>
    <w:rsid w:val="00D67F41"/>
    <w:rsid w:val="00D70503"/>
    <w:rsid w:val="00D71C42"/>
    <w:rsid w:val="00D733E0"/>
    <w:rsid w:val="00D73D20"/>
    <w:rsid w:val="00D74339"/>
    <w:rsid w:val="00D7442A"/>
    <w:rsid w:val="00D76985"/>
    <w:rsid w:val="00D8112A"/>
    <w:rsid w:val="00D818E3"/>
    <w:rsid w:val="00D82250"/>
    <w:rsid w:val="00D823FC"/>
    <w:rsid w:val="00D82921"/>
    <w:rsid w:val="00D83737"/>
    <w:rsid w:val="00D83AD5"/>
    <w:rsid w:val="00D83E5C"/>
    <w:rsid w:val="00D84928"/>
    <w:rsid w:val="00D84BC1"/>
    <w:rsid w:val="00D8576C"/>
    <w:rsid w:val="00D859B7"/>
    <w:rsid w:val="00D86145"/>
    <w:rsid w:val="00D862D0"/>
    <w:rsid w:val="00D86AF5"/>
    <w:rsid w:val="00D87C03"/>
    <w:rsid w:val="00D90496"/>
    <w:rsid w:val="00D90F74"/>
    <w:rsid w:val="00D91057"/>
    <w:rsid w:val="00D9109B"/>
    <w:rsid w:val="00D9118F"/>
    <w:rsid w:val="00D91810"/>
    <w:rsid w:val="00D921A8"/>
    <w:rsid w:val="00D9462A"/>
    <w:rsid w:val="00D952FB"/>
    <w:rsid w:val="00D95D33"/>
    <w:rsid w:val="00D96FEB"/>
    <w:rsid w:val="00D97003"/>
    <w:rsid w:val="00D970A1"/>
    <w:rsid w:val="00D97515"/>
    <w:rsid w:val="00D97A81"/>
    <w:rsid w:val="00D97F91"/>
    <w:rsid w:val="00DA0034"/>
    <w:rsid w:val="00DA271D"/>
    <w:rsid w:val="00DA282C"/>
    <w:rsid w:val="00DA2FEE"/>
    <w:rsid w:val="00DA327E"/>
    <w:rsid w:val="00DA32FF"/>
    <w:rsid w:val="00DA3CCA"/>
    <w:rsid w:val="00DA45B1"/>
    <w:rsid w:val="00DA6C7B"/>
    <w:rsid w:val="00DB0087"/>
    <w:rsid w:val="00DB184E"/>
    <w:rsid w:val="00DB1E6D"/>
    <w:rsid w:val="00DB2FC2"/>
    <w:rsid w:val="00DB348C"/>
    <w:rsid w:val="00DB3974"/>
    <w:rsid w:val="00DB3A0C"/>
    <w:rsid w:val="00DB3E54"/>
    <w:rsid w:val="00DB683B"/>
    <w:rsid w:val="00DB6B09"/>
    <w:rsid w:val="00DB7543"/>
    <w:rsid w:val="00DB7682"/>
    <w:rsid w:val="00DC063B"/>
    <w:rsid w:val="00DC0F3F"/>
    <w:rsid w:val="00DC1546"/>
    <w:rsid w:val="00DC18E6"/>
    <w:rsid w:val="00DC1FB6"/>
    <w:rsid w:val="00DC255A"/>
    <w:rsid w:val="00DC43A1"/>
    <w:rsid w:val="00DC5DAD"/>
    <w:rsid w:val="00DC7E53"/>
    <w:rsid w:val="00DD0E2B"/>
    <w:rsid w:val="00DD1737"/>
    <w:rsid w:val="00DD3A7F"/>
    <w:rsid w:val="00DD4544"/>
    <w:rsid w:val="00DD47D0"/>
    <w:rsid w:val="00DD6104"/>
    <w:rsid w:val="00DD71A1"/>
    <w:rsid w:val="00DD7BB2"/>
    <w:rsid w:val="00DE063C"/>
    <w:rsid w:val="00DE3CBF"/>
    <w:rsid w:val="00DE3F89"/>
    <w:rsid w:val="00DE4A28"/>
    <w:rsid w:val="00DE4D5B"/>
    <w:rsid w:val="00DE5A13"/>
    <w:rsid w:val="00DE6A24"/>
    <w:rsid w:val="00DE7C21"/>
    <w:rsid w:val="00DE7C83"/>
    <w:rsid w:val="00DE7D7E"/>
    <w:rsid w:val="00DF0D90"/>
    <w:rsid w:val="00DF103D"/>
    <w:rsid w:val="00DF2D3C"/>
    <w:rsid w:val="00DF3031"/>
    <w:rsid w:val="00DF3835"/>
    <w:rsid w:val="00DF383C"/>
    <w:rsid w:val="00DF523D"/>
    <w:rsid w:val="00DF7A63"/>
    <w:rsid w:val="00E00215"/>
    <w:rsid w:val="00E021F0"/>
    <w:rsid w:val="00E031AC"/>
    <w:rsid w:val="00E04792"/>
    <w:rsid w:val="00E054F0"/>
    <w:rsid w:val="00E10482"/>
    <w:rsid w:val="00E1096F"/>
    <w:rsid w:val="00E113E8"/>
    <w:rsid w:val="00E1278C"/>
    <w:rsid w:val="00E12C2B"/>
    <w:rsid w:val="00E13CE1"/>
    <w:rsid w:val="00E13E5A"/>
    <w:rsid w:val="00E14735"/>
    <w:rsid w:val="00E15BE1"/>
    <w:rsid w:val="00E1621D"/>
    <w:rsid w:val="00E20985"/>
    <w:rsid w:val="00E2117D"/>
    <w:rsid w:val="00E248E7"/>
    <w:rsid w:val="00E260CE"/>
    <w:rsid w:val="00E2661D"/>
    <w:rsid w:val="00E26DD3"/>
    <w:rsid w:val="00E32A27"/>
    <w:rsid w:val="00E3391B"/>
    <w:rsid w:val="00E33BE0"/>
    <w:rsid w:val="00E3400D"/>
    <w:rsid w:val="00E35254"/>
    <w:rsid w:val="00E3708A"/>
    <w:rsid w:val="00E370DC"/>
    <w:rsid w:val="00E371AD"/>
    <w:rsid w:val="00E400C3"/>
    <w:rsid w:val="00E42911"/>
    <w:rsid w:val="00E42F12"/>
    <w:rsid w:val="00E43F2A"/>
    <w:rsid w:val="00E447E4"/>
    <w:rsid w:val="00E46015"/>
    <w:rsid w:val="00E464D5"/>
    <w:rsid w:val="00E46585"/>
    <w:rsid w:val="00E46A7F"/>
    <w:rsid w:val="00E476CB"/>
    <w:rsid w:val="00E506D1"/>
    <w:rsid w:val="00E515E2"/>
    <w:rsid w:val="00E52B9B"/>
    <w:rsid w:val="00E530A9"/>
    <w:rsid w:val="00E53737"/>
    <w:rsid w:val="00E53A4C"/>
    <w:rsid w:val="00E54870"/>
    <w:rsid w:val="00E548B2"/>
    <w:rsid w:val="00E54CA4"/>
    <w:rsid w:val="00E56C08"/>
    <w:rsid w:val="00E57B99"/>
    <w:rsid w:val="00E6046E"/>
    <w:rsid w:val="00E60E9A"/>
    <w:rsid w:val="00E61EFE"/>
    <w:rsid w:val="00E623F4"/>
    <w:rsid w:val="00E625F1"/>
    <w:rsid w:val="00E62B60"/>
    <w:rsid w:val="00E65183"/>
    <w:rsid w:val="00E66A01"/>
    <w:rsid w:val="00E707F3"/>
    <w:rsid w:val="00E71474"/>
    <w:rsid w:val="00E72DFF"/>
    <w:rsid w:val="00E7307F"/>
    <w:rsid w:val="00E74097"/>
    <w:rsid w:val="00E75DFC"/>
    <w:rsid w:val="00E76179"/>
    <w:rsid w:val="00E764A0"/>
    <w:rsid w:val="00E76603"/>
    <w:rsid w:val="00E77388"/>
    <w:rsid w:val="00E77D43"/>
    <w:rsid w:val="00E82CA8"/>
    <w:rsid w:val="00E84243"/>
    <w:rsid w:val="00E84898"/>
    <w:rsid w:val="00E85661"/>
    <w:rsid w:val="00E8578B"/>
    <w:rsid w:val="00E87228"/>
    <w:rsid w:val="00E87728"/>
    <w:rsid w:val="00E87850"/>
    <w:rsid w:val="00E9013C"/>
    <w:rsid w:val="00E920F2"/>
    <w:rsid w:val="00E92141"/>
    <w:rsid w:val="00E9240F"/>
    <w:rsid w:val="00E92827"/>
    <w:rsid w:val="00E9300F"/>
    <w:rsid w:val="00E93392"/>
    <w:rsid w:val="00E93FAD"/>
    <w:rsid w:val="00E946D1"/>
    <w:rsid w:val="00E9473F"/>
    <w:rsid w:val="00E97433"/>
    <w:rsid w:val="00E9787F"/>
    <w:rsid w:val="00E97B1F"/>
    <w:rsid w:val="00E97F25"/>
    <w:rsid w:val="00EA0340"/>
    <w:rsid w:val="00EA0628"/>
    <w:rsid w:val="00EA0CF1"/>
    <w:rsid w:val="00EA0E38"/>
    <w:rsid w:val="00EA1774"/>
    <w:rsid w:val="00EA20FD"/>
    <w:rsid w:val="00EA2758"/>
    <w:rsid w:val="00EA2AA3"/>
    <w:rsid w:val="00EA2E5E"/>
    <w:rsid w:val="00EA3672"/>
    <w:rsid w:val="00EA472A"/>
    <w:rsid w:val="00EA547C"/>
    <w:rsid w:val="00EA5D55"/>
    <w:rsid w:val="00EB0C3F"/>
    <w:rsid w:val="00EB1429"/>
    <w:rsid w:val="00EB25F4"/>
    <w:rsid w:val="00EB3B02"/>
    <w:rsid w:val="00EB451D"/>
    <w:rsid w:val="00EB5C76"/>
    <w:rsid w:val="00EB670F"/>
    <w:rsid w:val="00EB6BB3"/>
    <w:rsid w:val="00EC184D"/>
    <w:rsid w:val="00EC3018"/>
    <w:rsid w:val="00EC5E4F"/>
    <w:rsid w:val="00EC66D2"/>
    <w:rsid w:val="00EC7631"/>
    <w:rsid w:val="00ED3028"/>
    <w:rsid w:val="00ED4F3D"/>
    <w:rsid w:val="00ED651D"/>
    <w:rsid w:val="00ED73DD"/>
    <w:rsid w:val="00ED7D41"/>
    <w:rsid w:val="00EE18D9"/>
    <w:rsid w:val="00EE28EF"/>
    <w:rsid w:val="00EE3278"/>
    <w:rsid w:val="00EE3BC2"/>
    <w:rsid w:val="00EE529C"/>
    <w:rsid w:val="00EE5466"/>
    <w:rsid w:val="00EE62B8"/>
    <w:rsid w:val="00EE6473"/>
    <w:rsid w:val="00EE67CC"/>
    <w:rsid w:val="00EE70E8"/>
    <w:rsid w:val="00EE752D"/>
    <w:rsid w:val="00EF02CD"/>
    <w:rsid w:val="00EF0729"/>
    <w:rsid w:val="00EF0D27"/>
    <w:rsid w:val="00EF112E"/>
    <w:rsid w:val="00EF17DF"/>
    <w:rsid w:val="00EF1A69"/>
    <w:rsid w:val="00EF41B5"/>
    <w:rsid w:val="00EF45BB"/>
    <w:rsid w:val="00EF4900"/>
    <w:rsid w:val="00EF58E9"/>
    <w:rsid w:val="00EF5DE3"/>
    <w:rsid w:val="00F019C2"/>
    <w:rsid w:val="00F01E24"/>
    <w:rsid w:val="00F063B8"/>
    <w:rsid w:val="00F06F2D"/>
    <w:rsid w:val="00F07D60"/>
    <w:rsid w:val="00F11AEB"/>
    <w:rsid w:val="00F1373C"/>
    <w:rsid w:val="00F13D9C"/>
    <w:rsid w:val="00F1546C"/>
    <w:rsid w:val="00F16A8F"/>
    <w:rsid w:val="00F17329"/>
    <w:rsid w:val="00F17580"/>
    <w:rsid w:val="00F177A5"/>
    <w:rsid w:val="00F202FC"/>
    <w:rsid w:val="00F21CF0"/>
    <w:rsid w:val="00F21D70"/>
    <w:rsid w:val="00F22E83"/>
    <w:rsid w:val="00F23FC6"/>
    <w:rsid w:val="00F24B83"/>
    <w:rsid w:val="00F262CA"/>
    <w:rsid w:val="00F268B2"/>
    <w:rsid w:val="00F271BB"/>
    <w:rsid w:val="00F27E77"/>
    <w:rsid w:val="00F30545"/>
    <w:rsid w:val="00F30578"/>
    <w:rsid w:val="00F3169E"/>
    <w:rsid w:val="00F32287"/>
    <w:rsid w:val="00F3298B"/>
    <w:rsid w:val="00F331C0"/>
    <w:rsid w:val="00F3431E"/>
    <w:rsid w:val="00F345E6"/>
    <w:rsid w:val="00F356CC"/>
    <w:rsid w:val="00F379BA"/>
    <w:rsid w:val="00F37D4A"/>
    <w:rsid w:val="00F40475"/>
    <w:rsid w:val="00F40B72"/>
    <w:rsid w:val="00F41732"/>
    <w:rsid w:val="00F42037"/>
    <w:rsid w:val="00F431BC"/>
    <w:rsid w:val="00F43530"/>
    <w:rsid w:val="00F435B2"/>
    <w:rsid w:val="00F4391E"/>
    <w:rsid w:val="00F43DB9"/>
    <w:rsid w:val="00F44F10"/>
    <w:rsid w:val="00F45F0E"/>
    <w:rsid w:val="00F52418"/>
    <w:rsid w:val="00F53D47"/>
    <w:rsid w:val="00F53FE8"/>
    <w:rsid w:val="00F54396"/>
    <w:rsid w:val="00F54888"/>
    <w:rsid w:val="00F55AE8"/>
    <w:rsid w:val="00F569E0"/>
    <w:rsid w:val="00F5789B"/>
    <w:rsid w:val="00F6042B"/>
    <w:rsid w:val="00F61B01"/>
    <w:rsid w:val="00F62E9C"/>
    <w:rsid w:val="00F63753"/>
    <w:rsid w:val="00F63A5F"/>
    <w:rsid w:val="00F63E76"/>
    <w:rsid w:val="00F648DA"/>
    <w:rsid w:val="00F65512"/>
    <w:rsid w:val="00F66990"/>
    <w:rsid w:val="00F67F56"/>
    <w:rsid w:val="00F71021"/>
    <w:rsid w:val="00F72512"/>
    <w:rsid w:val="00F7343D"/>
    <w:rsid w:val="00F74C42"/>
    <w:rsid w:val="00F74CEB"/>
    <w:rsid w:val="00F74E09"/>
    <w:rsid w:val="00F75AFA"/>
    <w:rsid w:val="00F7603B"/>
    <w:rsid w:val="00F76167"/>
    <w:rsid w:val="00F763F8"/>
    <w:rsid w:val="00F77FCD"/>
    <w:rsid w:val="00F80026"/>
    <w:rsid w:val="00F80ECF"/>
    <w:rsid w:val="00F80F1F"/>
    <w:rsid w:val="00F80F8A"/>
    <w:rsid w:val="00F817DB"/>
    <w:rsid w:val="00F81924"/>
    <w:rsid w:val="00F824CA"/>
    <w:rsid w:val="00F82C5A"/>
    <w:rsid w:val="00F82C71"/>
    <w:rsid w:val="00F8386F"/>
    <w:rsid w:val="00F83E34"/>
    <w:rsid w:val="00F87073"/>
    <w:rsid w:val="00F93062"/>
    <w:rsid w:val="00F93E31"/>
    <w:rsid w:val="00F94E74"/>
    <w:rsid w:val="00F9772E"/>
    <w:rsid w:val="00F978D3"/>
    <w:rsid w:val="00FA0273"/>
    <w:rsid w:val="00FA03A0"/>
    <w:rsid w:val="00FA08E8"/>
    <w:rsid w:val="00FA17B8"/>
    <w:rsid w:val="00FA17D0"/>
    <w:rsid w:val="00FA1C04"/>
    <w:rsid w:val="00FA2941"/>
    <w:rsid w:val="00FA2AD3"/>
    <w:rsid w:val="00FA3F34"/>
    <w:rsid w:val="00FA3F84"/>
    <w:rsid w:val="00FA463F"/>
    <w:rsid w:val="00FA516A"/>
    <w:rsid w:val="00FA5702"/>
    <w:rsid w:val="00FA6A65"/>
    <w:rsid w:val="00FA6DE5"/>
    <w:rsid w:val="00FA6F3F"/>
    <w:rsid w:val="00FA79A8"/>
    <w:rsid w:val="00FB1432"/>
    <w:rsid w:val="00FB20FF"/>
    <w:rsid w:val="00FB253D"/>
    <w:rsid w:val="00FB269B"/>
    <w:rsid w:val="00FB2D2A"/>
    <w:rsid w:val="00FB2FB6"/>
    <w:rsid w:val="00FB3D23"/>
    <w:rsid w:val="00FB49AE"/>
    <w:rsid w:val="00FB4F83"/>
    <w:rsid w:val="00FB5689"/>
    <w:rsid w:val="00FB5A3F"/>
    <w:rsid w:val="00FB6197"/>
    <w:rsid w:val="00FB6777"/>
    <w:rsid w:val="00FB6F8E"/>
    <w:rsid w:val="00FB7059"/>
    <w:rsid w:val="00FB7432"/>
    <w:rsid w:val="00FB77AE"/>
    <w:rsid w:val="00FB7A1F"/>
    <w:rsid w:val="00FC205C"/>
    <w:rsid w:val="00FC2777"/>
    <w:rsid w:val="00FC3CD0"/>
    <w:rsid w:val="00FC4079"/>
    <w:rsid w:val="00FC525A"/>
    <w:rsid w:val="00FC5D6D"/>
    <w:rsid w:val="00FC642E"/>
    <w:rsid w:val="00FC6E66"/>
    <w:rsid w:val="00FC72F7"/>
    <w:rsid w:val="00FD01A6"/>
    <w:rsid w:val="00FD20BE"/>
    <w:rsid w:val="00FD3025"/>
    <w:rsid w:val="00FD60E6"/>
    <w:rsid w:val="00FD6C9E"/>
    <w:rsid w:val="00FD707A"/>
    <w:rsid w:val="00FD729C"/>
    <w:rsid w:val="00FD7821"/>
    <w:rsid w:val="00FE066B"/>
    <w:rsid w:val="00FE0AE5"/>
    <w:rsid w:val="00FE13BC"/>
    <w:rsid w:val="00FE15F4"/>
    <w:rsid w:val="00FE1C2E"/>
    <w:rsid w:val="00FE1F9A"/>
    <w:rsid w:val="00FE21E4"/>
    <w:rsid w:val="00FE43E3"/>
    <w:rsid w:val="00FE592A"/>
    <w:rsid w:val="00FE62B8"/>
    <w:rsid w:val="00FE70A9"/>
    <w:rsid w:val="00FF088C"/>
    <w:rsid w:val="00FF24D4"/>
    <w:rsid w:val="00FF33AD"/>
    <w:rsid w:val="00FF3DEF"/>
    <w:rsid w:val="00FF420C"/>
    <w:rsid w:val="00FF48EE"/>
    <w:rsid w:val="00FF524E"/>
    <w:rsid w:val="00FF5A1E"/>
    <w:rsid w:val="00FF6422"/>
    <w:rsid w:val="00FF6A94"/>
    <w:rsid w:val="00FF6C0B"/>
    <w:rsid w:val="025963FD"/>
    <w:rsid w:val="02982556"/>
    <w:rsid w:val="02C46BBB"/>
    <w:rsid w:val="03035935"/>
    <w:rsid w:val="034321D6"/>
    <w:rsid w:val="03AA3040"/>
    <w:rsid w:val="046B3A74"/>
    <w:rsid w:val="049D299F"/>
    <w:rsid w:val="04BD38C2"/>
    <w:rsid w:val="05840419"/>
    <w:rsid w:val="05EC43D5"/>
    <w:rsid w:val="06A85824"/>
    <w:rsid w:val="091C14FF"/>
    <w:rsid w:val="09336848"/>
    <w:rsid w:val="09432247"/>
    <w:rsid w:val="09FB14D6"/>
    <w:rsid w:val="0A374116"/>
    <w:rsid w:val="0A682522"/>
    <w:rsid w:val="0B2E376B"/>
    <w:rsid w:val="0BFC1173"/>
    <w:rsid w:val="0C1464BD"/>
    <w:rsid w:val="0C804FAF"/>
    <w:rsid w:val="0F194F61"/>
    <w:rsid w:val="0F7F3245"/>
    <w:rsid w:val="0F8B118C"/>
    <w:rsid w:val="0FF80F85"/>
    <w:rsid w:val="100F3B6B"/>
    <w:rsid w:val="101007E8"/>
    <w:rsid w:val="10D86573"/>
    <w:rsid w:val="10FE0470"/>
    <w:rsid w:val="11277852"/>
    <w:rsid w:val="11296A99"/>
    <w:rsid w:val="134C0C32"/>
    <w:rsid w:val="139D15ED"/>
    <w:rsid w:val="13C33B76"/>
    <w:rsid w:val="13E57CC1"/>
    <w:rsid w:val="14CF1B1B"/>
    <w:rsid w:val="15F26E7F"/>
    <w:rsid w:val="16157A01"/>
    <w:rsid w:val="168C3DAC"/>
    <w:rsid w:val="16B0772A"/>
    <w:rsid w:val="17520266"/>
    <w:rsid w:val="17A4012C"/>
    <w:rsid w:val="18113FC5"/>
    <w:rsid w:val="19B51FFC"/>
    <w:rsid w:val="19ED6698"/>
    <w:rsid w:val="19F63DFF"/>
    <w:rsid w:val="1A004525"/>
    <w:rsid w:val="1B3724F5"/>
    <w:rsid w:val="1B6F1962"/>
    <w:rsid w:val="1B976861"/>
    <w:rsid w:val="1C105729"/>
    <w:rsid w:val="1C2C1601"/>
    <w:rsid w:val="1C986C96"/>
    <w:rsid w:val="1D3005F9"/>
    <w:rsid w:val="1D641320"/>
    <w:rsid w:val="1D6D3C7F"/>
    <w:rsid w:val="1E94348E"/>
    <w:rsid w:val="1FC35DD8"/>
    <w:rsid w:val="2011123A"/>
    <w:rsid w:val="205630F0"/>
    <w:rsid w:val="21415B4F"/>
    <w:rsid w:val="218C4280"/>
    <w:rsid w:val="21AE4866"/>
    <w:rsid w:val="22C30A32"/>
    <w:rsid w:val="23052BAC"/>
    <w:rsid w:val="237B0CD6"/>
    <w:rsid w:val="238D596B"/>
    <w:rsid w:val="256718FC"/>
    <w:rsid w:val="25CD5C03"/>
    <w:rsid w:val="25F86609"/>
    <w:rsid w:val="26084E8D"/>
    <w:rsid w:val="26993D37"/>
    <w:rsid w:val="28EB63A0"/>
    <w:rsid w:val="2A2C6C70"/>
    <w:rsid w:val="2A3F69A3"/>
    <w:rsid w:val="2ADD260F"/>
    <w:rsid w:val="2B9A31F1"/>
    <w:rsid w:val="2D202ABC"/>
    <w:rsid w:val="2DCE715A"/>
    <w:rsid w:val="2E994575"/>
    <w:rsid w:val="2F17454C"/>
    <w:rsid w:val="2F451A84"/>
    <w:rsid w:val="2F705EDC"/>
    <w:rsid w:val="3007204F"/>
    <w:rsid w:val="302A7494"/>
    <w:rsid w:val="305A4EBB"/>
    <w:rsid w:val="319C4B36"/>
    <w:rsid w:val="32B01F75"/>
    <w:rsid w:val="33814533"/>
    <w:rsid w:val="34335EE7"/>
    <w:rsid w:val="347E456C"/>
    <w:rsid w:val="347F3823"/>
    <w:rsid w:val="3482405C"/>
    <w:rsid w:val="363E2205"/>
    <w:rsid w:val="366A2FFA"/>
    <w:rsid w:val="369E0EF6"/>
    <w:rsid w:val="37F826F6"/>
    <w:rsid w:val="398E2284"/>
    <w:rsid w:val="399754D0"/>
    <w:rsid w:val="399A3BF6"/>
    <w:rsid w:val="3A1439A9"/>
    <w:rsid w:val="3A1C7442"/>
    <w:rsid w:val="3AFF2145"/>
    <w:rsid w:val="3B8701AA"/>
    <w:rsid w:val="3BF94678"/>
    <w:rsid w:val="3C783A46"/>
    <w:rsid w:val="3DFC006A"/>
    <w:rsid w:val="3E927592"/>
    <w:rsid w:val="3EA6303D"/>
    <w:rsid w:val="3ECD002A"/>
    <w:rsid w:val="3F2839E6"/>
    <w:rsid w:val="40061FE5"/>
    <w:rsid w:val="40B21E4E"/>
    <w:rsid w:val="40CF0629"/>
    <w:rsid w:val="41A40141"/>
    <w:rsid w:val="42072BA1"/>
    <w:rsid w:val="42D13E68"/>
    <w:rsid w:val="42F01EAE"/>
    <w:rsid w:val="43BE6CA9"/>
    <w:rsid w:val="449C4CC6"/>
    <w:rsid w:val="44B4061A"/>
    <w:rsid w:val="44D75CFE"/>
    <w:rsid w:val="45471F78"/>
    <w:rsid w:val="47F60B91"/>
    <w:rsid w:val="4BE56F53"/>
    <w:rsid w:val="4C4F5D10"/>
    <w:rsid w:val="4C910E89"/>
    <w:rsid w:val="4CC01277"/>
    <w:rsid w:val="4DDF228C"/>
    <w:rsid w:val="4DF571F5"/>
    <w:rsid w:val="4F1D4C56"/>
    <w:rsid w:val="4F2C30EB"/>
    <w:rsid w:val="4F6E6C3E"/>
    <w:rsid w:val="50394263"/>
    <w:rsid w:val="504601DC"/>
    <w:rsid w:val="50897C5D"/>
    <w:rsid w:val="51064857"/>
    <w:rsid w:val="512904F9"/>
    <w:rsid w:val="517F3796"/>
    <w:rsid w:val="527E03BD"/>
    <w:rsid w:val="53024267"/>
    <w:rsid w:val="53277E51"/>
    <w:rsid w:val="539714AF"/>
    <w:rsid w:val="53ED41A3"/>
    <w:rsid w:val="55F85AD5"/>
    <w:rsid w:val="562E1D90"/>
    <w:rsid w:val="58BE073B"/>
    <w:rsid w:val="58E95FEA"/>
    <w:rsid w:val="59F82547"/>
    <w:rsid w:val="5AB0511E"/>
    <w:rsid w:val="5AC81C99"/>
    <w:rsid w:val="5ADA7E9F"/>
    <w:rsid w:val="5B7C71A8"/>
    <w:rsid w:val="5CA93FCD"/>
    <w:rsid w:val="5D4B6E32"/>
    <w:rsid w:val="5D7719D5"/>
    <w:rsid w:val="5E0800EF"/>
    <w:rsid w:val="5E5D157D"/>
    <w:rsid w:val="5E890D2E"/>
    <w:rsid w:val="5FCE69DC"/>
    <w:rsid w:val="60086481"/>
    <w:rsid w:val="60CB69BE"/>
    <w:rsid w:val="61712DBE"/>
    <w:rsid w:val="61B34FEF"/>
    <w:rsid w:val="624707C3"/>
    <w:rsid w:val="624F3EA4"/>
    <w:rsid w:val="62F66E39"/>
    <w:rsid w:val="632D05E2"/>
    <w:rsid w:val="63ADBA62"/>
    <w:rsid w:val="646514D8"/>
    <w:rsid w:val="65006754"/>
    <w:rsid w:val="659A6BA8"/>
    <w:rsid w:val="669A3F8D"/>
    <w:rsid w:val="6759611B"/>
    <w:rsid w:val="678B49FB"/>
    <w:rsid w:val="678E44EB"/>
    <w:rsid w:val="67C37DCC"/>
    <w:rsid w:val="682F0F8D"/>
    <w:rsid w:val="694F1454"/>
    <w:rsid w:val="69F14037"/>
    <w:rsid w:val="6A4439C9"/>
    <w:rsid w:val="6AF705F9"/>
    <w:rsid w:val="6BD10E4A"/>
    <w:rsid w:val="6CB43503"/>
    <w:rsid w:val="6E5378F4"/>
    <w:rsid w:val="6E644067"/>
    <w:rsid w:val="6EC86534"/>
    <w:rsid w:val="6F8D5088"/>
    <w:rsid w:val="700D7F77"/>
    <w:rsid w:val="702754DC"/>
    <w:rsid w:val="70812E3F"/>
    <w:rsid w:val="70EB02B8"/>
    <w:rsid w:val="72CA2252"/>
    <w:rsid w:val="72D76B45"/>
    <w:rsid w:val="736B1B84"/>
    <w:rsid w:val="74A235EF"/>
    <w:rsid w:val="74E208F9"/>
    <w:rsid w:val="74FE7AB6"/>
    <w:rsid w:val="7504014A"/>
    <w:rsid w:val="75530B22"/>
    <w:rsid w:val="75647D48"/>
    <w:rsid w:val="762C387F"/>
    <w:rsid w:val="76AA6AD9"/>
    <w:rsid w:val="78725DD6"/>
    <w:rsid w:val="79205E80"/>
    <w:rsid w:val="7981679E"/>
    <w:rsid w:val="79A128C6"/>
    <w:rsid w:val="7A122358"/>
    <w:rsid w:val="7B5573A2"/>
    <w:rsid w:val="7B61096E"/>
    <w:rsid w:val="7D501491"/>
    <w:rsid w:val="7E340E7E"/>
    <w:rsid w:val="7F4D4D57"/>
    <w:rsid w:val="7F673200"/>
    <w:rsid w:val="B77DCF33"/>
    <w:rsid w:val="D7EF80D9"/>
    <w:rsid w:val="DE7B0FBB"/>
    <w:rsid w:val="FF737B50"/>
    <w:rsid w:val="FFF2A6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iPriority="99" w:semiHidden="0" w:name="header"/>
    <w:lsdException w:qFormat="1" w:uiPriority="99" w:semiHidden="0" w:name="footer"/>
    <w:lsdException w:qFormat="1"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textAlignment w:val="center"/>
    </w:pPr>
    <w:rPr>
      <w:rFonts w:ascii="Times New Roman" w:hAnsi="Times New Roman"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240" w:after="120" w:line="240" w:lineRule="auto"/>
      <w:ind w:firstLine="0" w:firstLineChars="0"/>
      <w:jc w:val="left"/>
      <w:outlineLvl w:val="0"/>
    </w:pPr>
    <w:rPr>
      <w:b/>
      <w:bCs/>
      <w:kern w:val="44"/>
      <w:sz w:val="28"/>
      <w:szCs w:val="44"/>
    </w:rPr>
  </w:style>
  <w:style w:type="paragraph" w:styleId="4">
    <w:name w:val="heading 2"/>
    <w:basedOn w:val="1"/>
    <w:next w:val="1"/>
    <w:link w:val="40"/>
    <w:unhideWhenUsed/>
    <w:qFormat/>
    <w:uiPriority w:val="9"/>
    <w:pPr>
      <w:keepNext/>
      <w:keepLines/>
      <w:framePr w:hSpace="180" w:wrap="around" w:vAnchor="text" w:hAnchor="text" w:xAlign="center" w:y="1"/>
      <w:spacing w:before="120" w:after="60" w:line="240" w:lineRule="auto"/>
      <w:ind w:firstLine="0" w:firstLineChars="0"/>
      <w:outlineLvl w:val="1"/>
    </w:pPr>
    <w:rPr>
      <w:b/>
      <w:color w:val="000000" w:themeColor="text1"/>
      <w:kern w:val="0"/>
      <w14:textFill>
        <w14:solidFill>
          <w14:schemeClr w14:val="tx1"/>
        </w14:solidFill>
      </w14:textFill>
    </w:rPr>
  </w:style>
  <w:style w:type="paragraph" w:styleId="2">
    <w:name w:val="heading 3"/>
    <w:basedOn w:val="1"/>
    <w:next w:val="1"/>
    <w:link w:val="44"/>
    <w:unhideWhenUsed/>
    <w:qFormat/>
    <w:uiPriority w:val="9"/>
    <w:pPr>
      <w:framePr w:hSpace="180" w:wrap="around" w:vAnchor="text" w:hAnchor="text" w:xAlign="center" w:y="1"/>
      <w:ind w:firstLine="0" w:firstLineChars="0"/>
      <w:jc w:val="center"/>
      <w:outlineLvl w:val="2"/>
    </w:pPr>
    <w:rPr>
      <w:color w:val="000000"/>
      <w:szCs w:val="24"/>
    </w:rPr>
  </w:style>
  <w:style w:type="paragraph" w:styleId="5">
    <w:name w:val="heading 4"/>
    <w:basedOn w:val="1"/>
    <w:next w:val="1"/>
    <w:link w:val="45"/>
    <w:semiHidden/>
    <w:unhideWhenUsed/>
    <w:qFormat/>
    <w:uiPriority w:val="9"/>
    <w:pPr>
      <w:keepNext/>
      <w:keepLines/>
      <w:spacing w:before="120" w:after="60" w:line="240" w:lineRule="auto"/>
      <w:ind w:firstLine="0" w:firstLineChars="0"/>
      <w:outlineLvl w:val="3"/>
    </w:pPr>
    <w:rPr>
      <w:rFonts w:cstheme="majorBidi"/>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6"/>
    <w:qFormat/>
    <w:uiPriority w:val="0"/>
    <w:pPr>
      <w:spacing w:line="240" w:lineRule="auto"/>
      <w:ind w:firstLine="420"/>
      <w:textAlignment w:val="auto"/>
    </w:pPr>
    <w:rPr>
      <w:rFonts w:asciiTheme="minorHAnsi" w:hAnsiTheme="minorHAnsi"/>
      <w:sz w:val="21"/>
      <w:szCs w:val="24"/>
    </w:rPr>
  </w:style>
  <w:style w:type="paragraph" w:styleId="7">
    <w:name w:val="Document Map"/>
    <w:basedOn w:val="1"/>
    <w:link w:val="90"/>
    <w:qFormat/>
    <w:uiPriority w:val="0"/>
    <w:pPr>
      <w:snapToGrid w:val="0"/>
      <w:spacing w:line="240" w:lineRule="auto"/>
      <w:ind w:firstLine="720"/>
      <w:textAlignment w:val="auto"/>
    </w:pPr>
    <w:rPr>
      <w:rFonts w:ascii="宋体" w:cs="Times New Roman"/>
      <w:sz w:val="18"/>
      <w:szCs w:val="18"/>
    </w:rPr>
  </w:style>
  <w:style w:type="paragraph" w:styleId="8">
    <w:name w:val="annotation text"/>
    <w:basedOn w:val="1"/>
    <w:link w:val="52"/>
    <w:semiHidden/>
    <w:unhideWhenUsed/>
    <w:qFormat/>
    <w:uiPriority w:val="0"/>
    <w:pPr>
      <w:jc w:val="left"/>
      <w:textAlignment w:val="auto"/>
    </w:pPr>
  </w:style>
  <w:style w:type="paragraph" w:styleId="9">
    <w:name w:val="Body Text"/>
    <w:basedOn w:val="1"/>
    <w:next w:val="10"/>
    <w:link w:val="67"/>
    <w:semiHidden/>
    <w:unhideWhenUsed/>
    <w:qFormat/>
    <w:uiPriority w:val="99"/>
    <w:pPr>
      <w:spacing w:after="120"/>
    </w:pPr>
  </w:style>
  <w:style w:type="paragraph" w:styleId="10">
    <w:name w:val="List Bullet 5"/>
    <w:basedOn w:val="1"/>
    <w:semiHidden/>
    <w:unhideWhenUsed/>
    <w:qFormat/>
    <w:uiPriority w:val="99"/>
    <w:pPr>
      <w:numPr>
        <w:ilvl w:val="0"/>
        <w:numId w:val="1"/>
      </w:numPr>
    </w:pPr>
  </w:style>
  <w:style w:type="paragraph" w:styleId="11">
    <w:name w:val="Body Text Indent"/>
    <w:basedOn w:val="1"/>
    <w:link w:val="73"/>
    <w:semiHidden/>
    <w:unhideWhenUsed/>
    <w:qFormat/>
    <w:uiPriority w:val="99"/>
    <w:pPr>
      <w:spacing w:after="120"/>
      <w:ind w:left="420" w:leftChars="200"/>
    </w:pPr>
  </w:style>
  <w:style w:type="paragraph" w:styleId="12">
    <w:name w:val="List 2"/>
    <w:basedOn w:val="1"/>
    <w:semiHidden/>
    <w:unhideWhenUsed/>
    <w:qFormat/>
    <w:uiPriority w:val="99"/>
    <w:pPr>
      <w:ind w:left="100" w:leftChars="200" w:hanging="200" w:hangingChars="200"/>
      <w:contextualSpacing/>
    </w:pPr>
  </w:style>
  <w:style w:type="paragraph" w:styleId="13">
    <w:name w:val="List Bullet 2"/>
    <w:basedOn w:val="1"/>
    <w:next w:val="1"/>
    <w:qFormat/>
    <w:uiPriority w:val="0"/>
    <w:pPr>
      <w:numPr>
        <w:ilvl w:val="0"/>
        <w:numId w:val="2"/>
      </w:numPr>
      <w:spacing w:line="240" w:lineRule="auto"/>
      <w:ind w:firstLine="0" w:firstLineChars="0"/>
      <w:textAlignment w:val="auto"/>
    </w:pPr>
    <w:rPr>
      <w:rFonts w:cs="Times New Roman"/>
      <w:sz w:val="21"/>
      <w:szCs w:val="24"/>
    </w:rPr>
  </w:style>
  <w:style w:type="paragraph" w:styleId="14">
    <w:name w:val="Date"/>
    <w:basedOn w:val="1"/>
    <w:next w:val="1"/>
    <w:link w:val="84"/>
    <w:qFormat/>
    <w:uiPriority w:val="0"/>
    <w:pPr>
      <w:ind w:left="100" w:leftChars="2500"/>
      <w:textAlignment w:val="auto"/>
    </w:pPr>
    <w:rPr>
      <w:rFonts w:cs="Times New Roman"/>
      <w:kern w:val="0"/>
      <w:szCs w:val="20"/>
    </w:rPr>
  </w:style>
  <w:style w:type="paragraph" w:styleId="15">
    <w:name w:val="Body Text Indent 2"/>
    <w:basedOn w:val="1"/>
    <w:link w:val="68"/>
    <w:unhideWhenUsed/>
    <w:qFormat/>
    <w:uiPriority w:val="99"/>
    <w:pPr>
      <w:spacing w:after="120" w:line="480" w:lineRule="auto"/>
      <w:ind w:left="420" w:leftChars="200" w:firstLine="0" w:firstLineChars="0"/>
      <w:textAlignment w:val="auto"/>
    </w:pPr>
    <w:rPr>
      <w:rFonts w:cs="Times New Roman"/>
      <w:sz w:val="21"/>
      <w:szCs w:val="24"/>
    </w:rPr>
  </w:style>
  <w:style w:type="paragraph" w:styleId="16">
    <w:name w:val="Balloon Text"/>
    <w:basedOn w:val="1"/>
    <w:link w:val="48"/>
    <w:semiHidden/>
    <w:unhideWhenUsed/>
    <w:qFormat/>
    <w:uiPriority w:val="99"/>
    <w:pPr>
      <w:spacing w:line="240" w:lineRule="auto"/>
    </w:pPr>
    <w:rPr>
      <w:sz w:val="18"/>
      <w:szCs w:val="18"/>
    </w:rPr>
  </w:style>
  <w:style w:type="paragraph" w:styleId="17">
    <w:name w:val="footer"/>
    <w:basedOn w:val="1"/>
    <w:link w:val="47"/>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index heading"/>
    <w:basedOn w:val="1"/>
    <w:next w:val="20"/>
    <w:unhideWhenUsed/>
    <w:qFormat/>
    <w:uiPriority w:val="0"/>
    <w:pPr>
      <w:widowControl/>
      <w:spacing w:line="240" w:lineRule="auto"/>
      <w:ind w:firstLine="0" w:firstLineChars="0"/>
      <w:jc w:val="left"/>
      <w:textAlignment w:val="auto"/>
    </w:pPr>
    <w:rPr>
      <w:rFonts w:ascii="Cambria" w:hAnsi="Cambria" w:cs="Times New Roman"/>
      <w:b/>
      <w:bCs/>
      <w:sz w:val="25"/>
      <w:szCs w:val="25"/>
    </w:rPr>
  </w:style>
  <w:style w:type="paragraph" w:styleId="20">
    <w:name w:val="index 1"/>
    <w:basedOn w:val="1"/>
    <w:next w:val="1"/>
    <w:semiHidden/>
    <w:unhideWhenUsed/>
    <w:qFormat/>
    <w:uiPriority w:val="99"/>
    <w:pPr>
      <w:ind w:firstLine="0"/>
    </w:pPr>
  </w:style>
  <w:style w:type="paragraph" w:styleId="21">
    <w:name w:val="Subtitle"/>
    <w:basedOn w:val="1"/>
    <w:next w:val="1"/>
    <w:link w:val="42"/>
    <w:qFormat/>
    <w:uiPriority w:val="11"/>
    <w:pPr>
      <w:spacing w:before="120" w:after="60" w:line="240" w:lineRule="auto"/>
      <w:ind w:firstLine="0" w:firstLineChars="0"/>
      <w:outlineLvl w:val="3"/>
    </w:pPr>
    <w:rPr>
      <w:b/>
      <w:bCs/>
      <w:kern w:val="28"/>
      <w:szCs w:val="32"/>
    </w:rPr>
  </w:style>
  <w:style w:type="paragraph" w:styleId="22">
    <w:name w:val="List"/>
    <w:basedOn w:val="1"/>
    <w:next w:val="1"/>
    <w:semiHidden/>
    <w:unhideWhenUsed/>
    <w:qFormat/>
    <w:uiPriority w:val="99"/>
    <w:pPr>
      <w:ind w:left="200" w:hanging="200" w:hangingChars="200"/>
      <w:contextualSpacing/>
    </w:pPr>
  </w:style>
  <w:style w:type="paragraph" w:styleId="23">
    <w:name w:val="Body Text Indent 3"/>
    <w:basedOn w:val="1"/>
    <w:link w:val="63"/>
    <w:semiHidden/>
    <w:unhideWhenUsed/>
    <w:qFormat/>
    <w:uiPriority w:val="0"/>
    <w:pPr>
      <w:ind w:left="359" w:leftChars="171" w:firstLine="420"/>
      <w:textAlignment w:val="auto"/>
    </w:pPr>
    <w:rPr>
      <w:rFonts w:cs="Times New Roman"/>
      <w:sz w:val="21"/>
      <w:szCs w:val="24"/>
    </w:rPr>
  </w:style>
  <w:style w:type="paragraph" w:styleId="24">
    <w:name w:val="Normal (Web)"/>
    <w:basedOn w:val="1"/>
    <w:link w:val="75"/>
    <w:unhideWhenUsed/>
    <w:qFormat/>
    <w:uiPriority w:val="0"/>
    <w:pPr>
      <w:widowControl/>
      <w:spacing w:before="100" w:beforeAutospacing="1" w:after="100" w:afterAutospacing="1" w:line="240" w:lineRule="auto"/>
      <w:ind w:firstLine="0" w:firstLineChars="0"/>
      <w:jc w:val="left"/>
      <w:textAlignment w:val="auto"/>
    </w:pPr>
    <w:rPr>
      <w:rFonts w:ascii="宋体" w:hAnsi="宋体" w:cs="宋体"/>
      <w:kern w:val="0"/>
      <w:szCs w:val="24"/>
    </w:rPr>
  </w:style>
  <w:style w:type="paragraph" w:styleId="25">
    <w:name w:val="Title"/>
    <w:basedOn w:val="1"/>
    <w:next w:val="1"/>
    <w:link w:val="41"/>
    <w:qFormat/>
    <w:uiPriority w:val="0"/>
    <w:pPr>
      <w:spacing w:before="120" w:after="60" w:line="240" w:lineRule="auto"/>
      <w:ind w:firstLine="0" w:firstLineChars="0"/>
      <w:jc w:val="left"/>
      <w:outlineLvl w:val="2"/>
    </w:pPr>
    <w:rPr>
      <w:rFonts w:cstheme="majorBidi"/>
      <w:b/>
      <w:bCs/>
      <w:szCs w:val="32"/>
    </w:rPr>
  </w:style>
  <w:style w:type="paragraph" w:styleId="26">
    <w:name w:val="annotation subject"/>
    <w:basedOn w:val="8"/>
    <w:next w:val="8"/>
    <w:link w:val="56"/>
    <w:semiHidden/>
    <w:unhideWhenUsed/>
    <w:qFormat/>
    <w:uiPriority w:val="99"/>
    <w:pPr>
      <w:textAlignment w:val="center"/>
    </w:pPr>
    <w:rPr>
      <w:b/>
      <w:bCs/>
    </w:rPr>
  </w:style>
  <w:style w:type="paragraph" w:styleId="27">
    <w:name w:val="Body Text First Indent"/>
    <w:basedOn w:val="9"/>
    <w:next w:val="1"/>
    <w:qFormat/>
    <w:uiPriority w:val="0"/>
    <w:pPr>
      <w:spacing w:line="240" w:lineRule="auto"/>
      <w:ind w:firstLine="420"/>
    </w:pPr>
    <w:rPr>
      <w:sz w:val="21"/>
    </w:rPr>
  </w:style>
  <w:style w:type="paragraph" w:styleId="28">
    <w:name w:val="Body Text First Indent 2"/>
    <w:basedOn w:val="11"/>
    <w:link w:val="74"/>
    <w:unhideWhenUsed/>
    <w:qFormat/>
    <w:uiPriority w:val="99"/>
    <w:pPr>
      <w:ind w:left="0" w:leftChars="0" w:firstLine="48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Emphasis"/>
    <w:qFormat/>
    <w:uiPriority w:val="0"/>
    <w:rPr>
      <w:i/>
    </w:rPr>
  </w:style>
  <w:style w:type="character" w:styleId="33">
    <w:name w:val="Hyperlink"/>
    <w:basedOn w:val="31"/>
    <w:unhideWhenUsed/>
    <w:qFormat/>
    <w:uiPriority w:val="99"/>
    <w:rPr>
      <w:color w:val="0563C1" w:themeColor="hyperlink"/>
      <w:u w:val="single"/>
      <w14:textFill>
        <w14:solidFill>
          <w14:schemeClr w14:val="hlink"/>
        </w14:solidFill>
      </w14:textFill>
    </w:rPr>
  </w:style>
  <w:style w:type="character" w:styleId="34">
    <w:name w:val="annotation reference"/>
    <w:basedOn w:val="31"/>
    <w:semiHidden/>
    <w:unhideWhenUsed/>
    <w:qFormat/>
    <w:uiPriority w:val="0"/>
    <w:rPr>
      <w:sz w:val="21"/>
      <w:szCs w:val="21"/>
    </w:rPr>
  </w:style>
  <w:style w:type="paragraph" w:customStyle="1" w:styleId="35">
    <w:name w:val="正文格式"/>
    <w:basedOn w:val="27"/>
    <w:next w:val="36"/>
    <w:qFormat/>
    <w:uiPriority w:val="0"/>
    <w:pPr>
      <w:adjustRightInd w:val="0"/>
      <w:snapToGrid w:val="0"/>
      <w:spacing w:line="360" w:lineRule="auto"/>
      <w:ind w:firstLine="560"/>
    </w:pPr>
    <w:rPr>
      <w:rFonts w:cs="Times New Roman"/>
      <w:color w:val="000000"/>
      <w:lang w:val="zh-CN"/>
    </w:rPr>
  </w:style>
  <w:style w:type="paragraph" w:customStyle="1" w:styleId="36">
    <w:name w:val="_Style 5"/>
    <w:basedOn w:val="1"/>
    <w:qFormat/>
    <w:uiPriority w:val="0"/>
    <w:pPr>
      <w:ind w:firstLine="420"/>
    </w:pPr>
    <w:rPr>
      <w:rFonts w:ascii="Calibri" w:hAnsi="Calibri"/>
    </w:rPr>
  </w:style>
  <w:style w:type="paragraph" w:customStyle="1" w:styleId="37">
    <w:name w:val="p0"/>
    <w:next w:val="17"/>
    <w:qFormat/>
    <w:uiPriority w:val="0"/>
    <w:pPr>
      <w:jc w:val="both"/>
    </w:pPr>
    <w:rPr>
      <w:rFonts w:ascii="Times New Roman" w:hAnsi="Times New Roman" w:eastAsia="宋体" w:cs="Times New Roman"/>
      <w:sz w:val="21"/>
      <w:szCs w:val="21"/>
      <w:lang w:val="en-US" w:eastAsia="zh-CN" w:bidi="ar-SA"/>
    </w:rPr>
  </w:style>
  <w:style w:type="paragraph" w:styleId="38">
    <w:name w:val="No Spacing"/>
    <w:basedOn w:val="22"/>
    <w:next w:val="1"/>
    <w:link w:val="55"/>
    <w:qFormat/>
    <w:uiPriority w:val="1"/>
    <w:pPr>
      <w:spacing w:line="240" w:lineRule="auto"/>
      <w:ind w:left="0" w:firstLine="0" w:firstLineChars="0"/>
      <w:jc w:val="center"/>
    </w:pPr>
    <w:rPr>
      <w:rFonts w:cs="Times New Roman"/>
      <w:color w:val="000000" w:themeColor="text1"/>
      <w:sz w:val="21"/>
      <w:szCs w:val="21"/>
      <w14:textFill>
        <w14:solidFill>
          <w14:schemeClr w14:val="tx1"/>
        </w14:solidFill>
      </w14:textFill>
    </w:rPr>
  </w:style>
  <w:style w:type="character" w:customStyle="1" w:styleId="39">
    <w:name w:val="标题 1 字符"/>
    <w:basedOn w:val="31"/>
    <w:link w:val="3"/>
    <w:qFormat/>
    <w:uiPriority w:val="9"/>
    <w:rPr>
      <w:rFonts w:ascii="Times New Roman" w:hAnsi="Times New Roman" w:eastAsia="宋体"/>
      <w:b/>
      <w:bCs/>
      <w:kern w:val="44"/>
      <w:sz w:val="28"/>
      <w:szCs w:val="44"/>
    </w:rPr>
  </w:style>
  <w:style w:type="character" w:customStyle="1" w:styleId="40">
    <w:name w:val="标题 2 字符"/>
    <w:basedOn w:val="31"/>
    <w:link w:val="4"/>
    <w:qFormat/>
    <w:uiPriority w:val="9"/>
    <w:rPr>
      <w:rFonts w:cstheme="minorBidi"/>
      <w:b/>
      <w:color w:val="000000" w:themeColor="text1"/>
      <w:sz w:val="24"/>
      <w:szCs w:val="22"/>
      <w14:textFill>
        <w14:solidFill>
          <w14:schemeClr w14:val="tx1"/>
        </w14:solidFill>
      </w14:textFill>
    </w:rPr>
  </w:style>
  <w:style w:type="character" w:customStyle="1" w:styleId="41">
    <w:name w:val="标题 字符"/>
    <w:basedOn w:val="31"/>
    <w:link w:val="25"/>
    <w:qFormat/>
    <w:uiPriority w:val="0"/>
    <w:rPr>
      <w:rFonts w:cstheme="majorBidi"/>
      <w:b/>
      <w:bCs/>
      <w:kern w:val="2"/>
      <w:sz w:val="24"/>
      <w:szCs w:val="32"/>
    </w:rPr>
  </w:style>
  <w:style w:type="character" w:customStyle="1" w:styleId="42">
    <w:name w:val="副标题 字符"/>
    <w:basedOn w:val="31"/>
    <w:link w:val="21"/>
    <w:qFormat/>
    <w:uiPriority w:val="11"/>
    <w:rPr>
      <w:rFonts w:ascii="Times New Roman" w:hAnsi="Times New Roman" w:eastAsia="宋体"/>
      <w:b/>
      <w:bCs/>
      <w:kern w:val="28"/>
      <w:sz w:val="24"/>
      <w:szCs w:val="32"/>
    </w:rPr>
  </w:style>
  <w:style w:type="paragraph" w:customStyle="1" w:styleId="43">
    <w:name w:val="表题"/>
    <w:basedOn w:val="1"/>
    <w:next w:val="1"/>
    <w:qFormat/>
    <w:uiPriority w:val="0"/>
    <w:pPr>
      <w:spacing w:before="163" w:beforeLines="50" w:line="240" w:lineRule="auto"/>
      <w:ind w:firstLine="0" w:firstLineChars="0"/>
      <w:jc w:val="center"/>
    </w:pPr>
    <w:rPr>
      <w:b/>
      <w:sz w:val="21"/>
    </w:rPr>
  </w:style>
  <w:style w:type="character" w:customStyle="1" w:styleId="44">
    <w:name w:val="标题 3 字符"/>
    <w:basedOn w:val="31"/>
    <w:link w:val="2"/>
    <w:qFormat/>
    <w:uiPriority w:val="9"/>
    <w:rPr>
      <w:rFonts w:cstheme="minorBidi"/>
      <w:color w:val="000000"/>
      <w:kern w:val="2"/>
      <w:sz w:val="24"/>
      <w:szCs w:val="24"/>
    </w:rPr>
  </w:style>
  <w:style w:type="character" w:customStyle="1" w:styleId="45">
    <w:name w:val="标题 4 字符"/>
    <w:basedOn w:val="31"/>
    <w:link w:val="5"/>
    <w:semiHidden/>
    <w:qFormat/>
    <w:uiPriority w:val="9"/>
    <w:rPr>
      <w:rFonts w:ascii="Times New Roman" w:hAnsi="Times New Roman" w:eastAsia="宋体" w:cstheme="majorBidi"/>
      <w:bCs/>
      <w:sz w:val="28"/>
      <w:szCs w:val="28"/>
    </w:rPr>
  </w:style>
  <w:style w:type="character" w:customStyle="1" w:styleId="46">
    <w:name w:val="页眉 字符"/>
    <w:basedOn w:val="31"/>
    <w:link w:val="18"/>
    <w:qFormat/>
    <w:uiPriority w:val="99"/>
    <w:rPr>
      <w:rFonts w:ascii="Times New Roman" w:hAnsi="Times New Roman" w:eastAsia="宋体"/>
      <w:sz w:val="18"/>
      <w:szCs w:val="18"/>
    </w:rPr>
  </w:style>
  <w:style w:type="character" w:customStyle="1" w:styleId="47">
    <w:name w:val="页脚 字符"/>
    <w:basedOn w:val="31"/>
    <w:link w:val="17"/>
    <w:qFormat/>
    <w:uiPriority w:val="99"/>
    <w:rPr>
      <w:rFonts w:ascii="Times New Roman" w:hAnsi="Times New Roman" w:eastAsia="宋体"/>
      <w:sz w:val="18"/>
      <w:szCs w:val="18"/>
    </w:rPr>
  </w:style>
  <w:style w:type="character" w:customStyle="1" w:styleId="48">
    <w:name w:val="批注框文本 字符"/>
    <w:basedOn w:val="31"/>
    <w:link w:val="16"/>
    <w:semiHidden/>
    <w:qFormat/>
    <w:uiPriority w:val="99"/>
    <w:rPr>
      <w:rFonts w:ascii="Times New Roman" w:hAnsi="Times New Roman" w:eastAsia="宋体"/>
      <w:sz w:val="18"/>
      <w:szCs w:val="18"/>
    </w:rPr>
  </w:style>
  <w:style w:type="character" w:customStyle="1" w:styleId="49">
    <w:name w:val="表格文字2 Char"/>
    <w:link w:val="50"/>
    <w:qFormat/>
    <w:locked/>
    <w:uiPriority w:val="0"/>
    <w:rPr>
      <w:rFonts w:ascii="宋体" w:hAnsi="宋体" w:eastAsia="宋体" w:cs="宋体"/>
      <w:bCs/>
      <w:spacing w:val="5"/>
      <w:kern w:val="0"/>
      <w:szCs w:val="21"/>
    </w:rPr>
  </w:style>
  <w:style w:type="paragraph" w:customStyle="1" w:styleId="50">
    <w:name w:val="表格文字2"/>
    <w:basedOn w:val="1"/>
    <w:link w:val="49"/>
    <w:qFormat/>
    <w:uiPriority w:val="0"/>
    <w:pPr>
      <w:tabs>
        <w:tab w:val="left" w:pos="277"/>
        <w:tab w:val="left" w:pos="600"/>
        <w:tab w:val="left" w:pos="780"/>
        <w:tab w:val="left" w:pos="2517"/>
      </w:tabs>
      <w:adjustRightInd w:val="0"/>
      <w:spacing w:before="60" w:line="240" w:lineRule="auto"/>
      <w:ind w:firstLine="0" w:firstLineChars="0"/>
      <w:jc w:val="center"/>
      <w:textAlignment w:val="auto"/>
    </w:pPr>
    <w:rPr>
      <w:rFonts w:ascii="宋体" w:hAnsi="宋体" w:cs="宋体"/>
      <w:bCs/>
      <w:spacing w:val="5"/>
      <w:kern w:val="0"/>
      <w:sz w:val="21"/>
      <w:szCs w:val="21"/>
    </w:rPr>
  </w:style>
  <w:style w:type="character" w:customStyle="1" w:styleId="51">
    <w:name w:val="showhidemsg"/>
    <w:basedOn w:val="31"/>
    <w:qFormat/>
    <w:uiPriority w:val="0"/>
  </w:style>
  <w:style w:type="character" w:customStyle="1" w:styleId="52">
    <w:name w:val="批注文字 字符"/>
    <w:basedOn w:val="31"/>
    <w:link w:val="8"/>
    <w:qFormat/>
    <w:uiPriority w:val="0"/>
    <w:rPr>
      <w:rFonts w:ascii="Times New Roman" w:hAnsi="Times New Roman" w:eastAsia="宋体"/>
      <w:sz w:val="24"/>
    </w:rPr>
  </w:style>
  <w:style w:type="character" w:customStyle="1" w:styleId="53">
    <w:name w:val="未处理的提及1"/>
    <w:basedOn w:val="31"/>
    <w:semiHidden/>
    <w:unhideWhenUsed/>
    <w:qFormat/>
    <w:uiPriority w:val="99"/>
    <w:rPr>
      <w:color w:val="605E5C"/>
      <w:shd w:val="clear" w:color="auto" w:fill="E1DFDD"/>
    </w:rPr>
  </w:style>
  <w:style w:type="paragraph" w:customStyle="1" w:styleId="54">
    <w:name w:val="无间隔1"/>
    <w:basedOn w:val="22"/>
    <w:next w:val="1"/>
    <w:qFormat/>
    <w:uiPriority w:val="1"/>
    <w:pPr>
      <w:spacing w:line="240" w:lineRule="auto"/>
      <w:ind w:left="0" w:firstLine="0" w:firstLineChars="0"/>
      <w:jc w:val="center"/>
      <w:textAlignment w:val="auto"/>
    </w:pPr>
    <w:rPr>
      <w:sz w:val="21"/>
    </w:rPr>
  </w:style>
  <w:style w:type="character" w:customStyle="1" w:styleId="55">
    <w:name w:val="无间隔 字符"/>
    <w:basedOn w:val="31"/>
    <w:link w:val="38"/>
    <w:qFormat/>
    <w:locked/>
    <w:uiPriority w:val="1"/>
    <w:rPr>
      <w:color w:val="000000" w:themeColor="text1"/>
      <w:kern w:val="2"/>
      <w:sz w:val="21"/>
      <w:szCs w:val="21"/>
      <w14:textFill>
        <w14:solidFill>
          <w14:schemeClr w14:val="tx1"/>
        </w14:solidFill>
      </w14:textFill>
    </w:rPr>
  </w:style>
  <w:style w:type="character" w:customStyle="1" w:styleId="56">
    <w:name w:val="批注主题 字符"/>
    <w:basedOn w:val="52"/>
    <w:link w:val="26"/>
    <w:semiHidden/>
    <w:qFormat/>
    <w:uiPriority w:val="99"/>
    <w:rPr>
      <w:rFonts w:ascii="Times New Roman" w:hAnsi="Times New Roman" w:eastAsia="宋体"/>
      <w:b/>
      <w:bCs/>
      <w:sz w:val="24"/>
    </w:rPr>
  </w:style>
  <w:style w:type="paragraph" w:customStyle="1" w:styleId="57">
    <w:name w:val="修订1"/>
    <w:hidden/>
    <w:semiHidden/>
    <w:qFormat/>
    <w:uiPriority w:val="99"/>
    <w:rPr>
      <w:rFonts w:ascii="Times New Roman" w:hAnsi="Times New Roman" w:eastAsia="宋体" w:cstheme="minorBidi"/>
      <w:kern w:val="2"/>
      <w:sz w:val="24"/>
      <w:szCs w:val="22"/>
      <w:lang w:val="en-US" w:eastAsia="zh-CN" w:bidi="ar-SA"/>
    </w:rPr>
  </w:style>
  <w:style w:type="paragraph" w:customStyle="1" w:styleId="58">
    <w:name w:val="表格字体"/>
    <w:basedOn w:val="1"/>
    <w:qFormat/>
    <w:uiPriority w:val="0"/>
    <w:pPr>
      <w:adjustRightInd w:val="0"/>
      <w:spacing w:line="240" w:lineRule="auto"/>
      <w:ind w:firstLine="0" w:firstLineChars="0"/>
      <w:jc w:val="center"/>
      <w:textAlignment w:val="auto"/>
    </w:pPr>
    <w:rPr>
      <w:rFonts w:cs="Times New Roman"/>
      <w:sz w:val="21"/>
      <w:szCs w:val="21"/>
    </w:rPr>
  </w:style>
  <w:style w:type="character" w:styleId="59">
    <w:name w:val="Placeholder Text"/>
    <w:basedOn w:val="31"/>
    <w:semiHidden/>
    <w:qFormat/>
    <w:uiPriority w:val="99"/>
    <w:rPr>
      <w:color w:val="808080"/>
    </w:rPr>
  </w:style>
  <w:style w:type="character" w:customStyle="1" w:styleId="60">
    <w:name w:val="表内 字符"/>
    <w:link w:val="61"/>
    <w:qFormat/>
    <w:locked/>
    <w:uiPriority w:val="0"/>
    <w:rPr>
      <w:bCs/>
      <w:color w:val="000000"/>
      <w:szCs w:val="21"/>
    </w:rPr>
  </w:style>
  <w:style w:type="paragraph" w:customStyle="1" w:styleId="61">
    <w:name w:val="表内"/>
    <w:basedOn w:val="12"/>
    <w:link w:val="60"/>
    <w:qFormat/>
    <w:uiPriority w:val="0"/>
    <w:pPr>
      <w:widowControl/>
      <w:spacing w:line="240" w:lineRule="auto"/>
      <w:ind w:left="0" w:leftChars="0" w:firstLine="0" w:firstLineChars="0"/>
      <w:jc w:val="center"/>
      <w:textAlignment w:val="auto"/>
    </w:pPr>
    <w:rPr>
      <w:rFonts w:asciiTheme="minorHAnsi" w:hAnsiTheme="minorHAnsi" w:eastAsiaTheme="minorEastAsia"/>
      <w:bCs/>
      <w:color w:val="000000"/>
      <w:sz w:val="21"/>
      <w:szCs w:val="21"/>
    </w:rPr>
  </w:style>
  <w:style w:type="character" w:customStyle="1" w:styleId="62">
    <w:name w:val="标题 1 Char Char Char"/>
    <w:qFormat/>
    <w:uiPriority w:val="0"/>
    <w:rPr>
      <w:rFonts w:hint="eastAsia" w:ascii="宋体" w:hAnsi="宋体" w:eastAsia="宋体"/>
      <w:bCs/>
      <w:sz w:val="28"/>
    </w:rPr>
  </w:style>
  <w:style w:type="character" w:customStyle="1" w:styleId="63">
    <w:name w:val="正文文本缩进 3 字符"/>
    <w:basedOn w:val="31"/>
    <w:link w:val="23"/>
    <w:semiHidden/>
    <w:qFormat/>
    <w:uiPriority w:val="0"/>
    <w:rPr>
      <w:rFonts w:ascii="Times New Roman" w:hAnsi="Times New Roman" w:eastAsia="宋体" w:cs="Times New Roman"/>
      <w:szCs w:val="24"/>
    </w:rPr>
  </w:style>
  <w:style w:type="character" w:customStyle="1" w:styleId="64">
    <w:name w:val="表格文字 Char Char"/>
    <w:qFormat/>
    <w:locked/>
    <w:uiPriority w:val="0"/>
    <w:rPr>
      <w:szCs w:val="21"/>
    </w:rPr>
  </w:style>
  <w:style w:type="paragraph" w:customStyle="1" w:styleId="65">
    <w:name w:val="Char Char Char Char Char Char Char Char Char"/>
    <w:basedOn w:val="1"/>
    <w:qFormat/>
    <w:uiPriority w:val="0"/>
    <w:pPr>
      <w:spacing w:line="240" w:lineRule="auto"/>
      <w:ind w:firstLine="0" w:firstLineChars="0"/>
      <w:textAlignment w:val="auto"/>
    </w:pPr>
    <w:rPr>
      <w:rFonts w:cs="Times New Roman"/>
      <w:sz w:val="21"/>
      <w:szCs w:val="24"/>
    </w:rPr>
  </w:style>
  <w:style w:type="character" w:customStyle="1" w:styleId="66">
    <w:name w:val="正文缩进 字符"/>
    <w:link w:val="6"/>
    <w:qFormat/>
    <w:uiPriority w:val="0"/>
    <w:rPr>
      <w:rFonts w:eastAsia="宋体"/>
      <w:szCs w:val="24"/>
    </w:rPr>
  </w:style>
  <w:style w:type="character" w:customStyle="1" w:styleId="67">
    <w:name w:val="正文文本 字符"/>
    <w:basedOn w:val="31"/>
    <w:link w:val="9"/>
    <w:semiHidden/>
    <w:qFormat/>
    <w:uiPriority w:val="99"/>
    <w:rPr>
      <w:rFonts w:ascii="Times New Roman" w:hAnsi="Times New Roman" w:eastAsia="宋体"/>
      <w:sz w:val="24"/>
    </w:rPr>
  </w:style>
  <w:style w:type="character" w:customStyle="1" w:styleId="68">
    <w:name w:val="正文文本缩进 2 字符"/>
    <w:basedOn w:val="31"/>
    <w:link w:val="15"/>
    <w:qFormat/>
    <w:uiPriority w:val="99"/>
    <w:rPr>
      <w:rFonts w:ascii="Times New Roman" w:hAnsi="Times New Roman" w:eastAsia="宋体" w:cs="Times New Roman"/>
      <w:szCs w:val="24"/>
    </w:rPr>
  </w:style>
  <w:style w:type="paragraph" w:customStyle="1" w:styleId="69">
    <w:name w:val="图名、表头"/>
    <w:next w:val="1"/>
    <w:qFormat/>
    <w:uiPriority w:val="0"/>
    <w:pPr>
      <w:widowControl w:val="0"/>
      <w:ind w:firstLine="640" w:firstLineChars="200"/>
      <w:jc w:val="center"/>
    </w:pPr>
    <w:rPr>
      <w:rFonts w:ascii="Times New Roman" w:hAnsi="Times New Roman" w:eastAsia="宋体" w:cs="Times New Roman"/>
      <w:b/>
      <w:color w:val="FF0000"/>
      <w:kern w:val="2"/>
      <w:sz w:val="24"/>
      <w:lang w:val="en-US" w:eastAsia="zh-CN" w:bidi="ar-SA"/>
    </w:rPr>
  </w:style>
  <w:style w:type="paragraph" w:customStyle="1" w:styleId="70">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71">
    <w:name w:val="表头 Char"/>
    <w:link w:val="72"/>
    <w:qFormat/>
    <w:uiPriority w:val="0"/>
    <w:rPr>
      <w:b/>
      <w:sz w:val="21"/>
    </w:rPr>
  </w:style>
  <w:style w:type="paragraph" w:customStyle="1" w:styleId="72">
    <w:name w:val="表头"/>
    <w:basedOn w:val="1"/>
    <w:next w:val="1"/>
    <w:link w:val="71"/>
    <w:qFormat/>
    <w:uiPriority w:val="0"/>
    <w:pPr>
      <w:adjustRightInd w:val="0"/>
      <w:spacing w:before="50" w:beforeLines="50" w:line="240" w:lineRule="auto"/>
      <w:ind w:firstLine="0" w:firstLineChars="0"/>
      <w:jc w:val="center"/>
      <w:textAlignment w:val="baseline"/>
    </w:pPr>
    <w:rPr>
      <w:rFonts w:asciiTheme="minorHAnsi" w:hAnsiTheme="minorHAnsi" w:eastAsiaTheme="minorEastAsia"/>
      <w:b/>
      <w:kern w:val="0"/>
      <w:sz w:val="21"/>
      <w:szCs w:val="20"/>
    </w:rPr>
  </w:style>
  <w:style w:type="character" w:customStyle="1" w:styleId="73">
    <w:name w:val="正文文本缩进 字符"/>
    <w:basedOn w:val="31"/>
    <w:link w:val="11"/>
    <w:semiHidden/>
    <w:qFormat/>
    <w:uiPriority w:val="99"/>
    <w:rPr>
      <w:rFonts w:ascii="Times New Roman" w:hAnsi="Times New Roman" w:eastAsia="宋体"/>
      <w:kern w:val="2"/>
      <w:sz w:val="24"/>
      <w:szCs w:val="22"/>
    </w:rPr>
  </w:style>
  <w:style w:type="character" w:customStyle="1" w:styleId="74">
    <w:name w:val="正文文本首行缩进 2 字符"/>
    <w:basedOn w:val="73"/>
    <w:link w:val="28"/>
    <w:qFormat/>
    <w:uiPriority w:val="99"/>
    <w:rPr>
      <w:rFonts w:ascii="Times New Roman" w:hAnsi="Times New Roman" w:eastAsia="宋体" w:cstheme="minorBidi"/>
      <w:kern w:val="2"/>
      <w:sz w:val="24"/>
      <w:szCs w:val="22"/>
    </w:rPr>
  </w:style>
  <w:style w:type="character" w:customStyle="1" w:styleId="75">
    <w:name w:val="普通(网站) 字符"/>
    <w:link w:val="24"/>
    <w:qFormat/>
    <w:locked/>
    <w:uiPriority w:val="0"/>
    <w:rPr>
      <w:rFonts w:ascii="宋体" w:hAnsi="宋体" w:eastAsia="宋体" w:cs="宋体"/>
      <w:sz w:val="24"/>
      <w:szCs w:val="24"/>
    </w:rPr>
  </w:style>
  <w:style w:type="character" w:customStyle="1" w:styleId="76">
    <w:name w:val="fontstyle21"/>
    <w:qFormat/>
    <w:uiPriority w:val="0"/>
    <w:rPr>
      <w:rFonts w:hint="default" w:ascii="Times New Roman" w:hAnsi="Times New Roman" w:cs="Times New Roman"/>
      <w:b/>
      <w:bCs/>
      <w:color w:val="000000"/>
      <w:sz w:val="24"/>
      <w:szCs w:val="24"/>
    </w:rPr>
  </w:style>
  <w:style w:type="paragraph" w:customStyle="1" w:styleId="77">
    <w:name w:val="表格2"/>
    <w:basedOn w:val="78"/>
    <w:next w:val="1"/>
    <w:qFormat/>
    <w:uiPriority w:val="0"/>
    <w:rPr>
      <w:position w:val="-28"/>
      <w:sz w:val="21"/>
    </w:rPr>
  </w:style>
  <w:style w:type="paragraph" w:customStyle="1" w:styleId="78">
    <w:name w:val="表格1"/>
    <w:basedOn w:val="1"/>
    <w:next w:val="1"/>
    <w:qFormat/>
    <w:uiPriority w:val="0"/>
    <w:pPr>
      <w:adjustRightInd w:val="0"/>
      <w:spacing w:line="360" w:lineRule="atLeast"/>
      <w:jc w:val="center"/>
      <w:textAlignment w:val="baseline"/>
    </w:pPr>
    <w:rPr>
      <w:rFonts w:ascii="CG Times (WN)"/>
      <w:kern w:val="0"/>
    </w:rPr>
  </w:style>
  <w:style w:type="paragraph" w:customStyle="1" w:styleId="79">
    <w:name w:val="lxy表头"/>
    <w:basedOn w:val="1"/>
    <w:qFormat/>
    <w:uiPriority w:val="0"/>
    <w:pPr>
      <w:autoSpaceDE w:val="0"/>
      <w:autoSpaceDN w:val="0"/>
      <w:adjustRightInd w:val="0"/>
      <w:snapToGrid w:val="0"/>
      <w:jc w:val="center"/>
    </w:pPr>
    <w:rPr>
      <w:rFonts w:ascii="宋体" w:hAnsi="宋体" w:cs="宋体"/>
      <w:b/>
      <w:color w:val="0000FF"/>
      <w:kern w:val="0"/>
    </w:rPr>
  </w:style>
  <w:style w:type="paragraph" w:customStyle="1" w:styleId="80">
    <w:name w:val="lxy正文格式"/>
    <w:basedOn w:val="1"/>
    <w:qFormat/>
    <w:uiPriority w:val="0"/>
    <w:pPr>
      <w:adjustRightInd w:val="0"/>
      <w:snapToGrid w:val="0"/>
      <w:textAlignment w:val="auto"/>
    </w:pPr>
    <w:rPr>
      <w:rFonts w:ascii="宋体" w:hAnsi="宋体" w:cs="宋体"/>
      <w:bCs/>
      <w:szCs w:val="21"/>
    </w:rPr>
  </w:style>
  <w:style w:type="paragraph" w:customStyle="1" w:styleId="81">
    <w:name w:val="默认段落字体 Para Char Char Char Char"/>
    <w:basedOn w:val="1"/>
    <w:qFormat/>
    <w:uiPriority w:val="0"/>
    <w:pPr>
      <w:spacing w:line="240" w:lineRule="auto"/>
      <w:ind w:firstLine="0" w:firstLineChars="0"/>
      <w:textAlignment w:val="auto"/>
    </w:pPr>
    <w:rPr>
      <w:rFonts w:cs="Times New Roman"/>
      <w:szCs w:val="24"/>
    </w:rPr>
  </w:style>
  <w:style w:type="paragraph" w:styleId="82">
    <w:name w:val="List Paragraph"/>
    <w:basedOn w:val="1"/>
    <w:qFormat/>
    <w:uiPriority w:val="99"/>
    <w:pPr>
      <w:ind w:firstLine="420"/>
    </w:pPr>
  </w:style>
  <w:style w:type="character" w:customStyle="1" w:styleId="83">
    <w:name w:val="日期 字符"/>
    <w:basedOn w:val="31"/>
    <w:semiHidden/>
    <w:qFormat/>
    <w:uiPriority w:val="99"/>
    <w:rPr>
      <w:rFonts w:cstheme="minorBidi"/>
      <w:kern w:val="2"/>
      <w:sz w:val="24"/>
      <w:szCs w:val="22"/>
    </w:rPr>
  </w:style>
  <w:style w:type="character" w:customStyle="1" w:styleId="84">
    <w:name w:val="日期 字符1"/>
    <w:link w:val="14"/>
    <w:qFormat/>
    <w:locked/>
    <w:uiPriority w:val="0"/>
    <w:rPr>
      <w:sz w:val="24"/>
    </w:rPr>
  </w:style>
  <w:style w:type="paragraph" w:customStyle="1" w:styleId="85">
    <w:name w:val="图表名称"/>
    <w:basedOn w:val="1"/>
    <w:next w:val="1"/>
    <w:qFormat/>
    <w:uiPriority w:val="0"/>
    <w:pPr>
      <w:autoSpaceDE w:val="0"/>
      <w:autoSpaceDN w:val="0"/>
      <w:adjustRightInd w:val="0"/>
      <w:snapToGrid w:val="0"/>
      <w:spacing w:line="240" w:lineRule="auto"/>
      <w:ind w:firstLine="0" w:firstLineChars="0"/>
      <w:jc w:val="center"/>
      <w:textAlignment w:val="baseline"/>
    </w:pPr>
    <w:rPr>
      <w:rFonts w:cs="Times New Roman"/>
      <w:b/>
      <w:kern w:val="0"/>
      <w:szCs w:val="20"/>
    </w:rPr>
  </w:style>
  <w:style w:type="paragraph" w:customStyle="1" w:styleId="86">
    <w:name w:val="表内文字"/>
    <w:qFormat/>
    <w:uiPriority w:val="0"/>
    <w:pPr>
      <w:adjustRightInd w:val="0"/>
      <w:snapToGrid w:val="0"/>
      <w:jc w:val="center"/>
    </w:pPr>
    <w:rPr>
      <w:rFonts w:ascii="宋体" w:hAnsi="宋体" w:eastAsia="宋体" w:cs="Times New Roman"/>
      <w:spacing w:val="-10"/>
      <w:kern w:val="2"/>
      <w:sz w:val="23"/>
      <w:szCs w:val="22"/>
      <w:lang w:val="en-US" w:eastAsia="zh-CN" w:bidi="en-US"/>
    </w:rPr>
  </w:style>
  <w:style w:type="paragraph" w:customStyle="1" w:styleId="87">
    <w:name w:val="表内居中"/>
    <w:qFormat/>
    <w:uiPriority w:val="0"/>
    <w:pPr>
      <w:tabs>
        <w:tab w:val="right" w:leader="middleDot" w:pos="7938"/>
      </w:tabs>
      <w:adjustRightInd w:val="0"/>
      <w:snapToGrid w:val="0"/>
      <w:jc w:val="center"/>
    </w:pPr>
    <w:rPr>
      <w:rFonts w:ascii="宋体" w:hAnsi="宋体" w:eastAsia="宋体" w:cs="Times New Roman"/>
      <w:sz w:val="21"/>
      <w:lang w:val="en-US" w:eastAsia="zh-CN" w:bidi="ar-SA"/>
    </w:rPr>
  </w:style>
  <w:style w:type="paragraph" w:customStyle="1" w:styleId="88">
    <w:name w:val="表名称"/>
    <w:link w:val="89"/>
    <w:qFormat/>
    <w:uiPriority w:val="0"/>
    <w:pPr>
      <w:adjustRightInd w:val="0"/>
      <w:snapToGrid w:val="0"/>
      <w:jc w:val="center"/>
    </w:pPr>
    <w:rPr>
      <w:rFonts w:ascii="Times New Roman" w:hAnsi="Times New Roman" w:eastAsia="宋体" w:cs="Times New Roman"/>
      <w:b/>
      <w:kern w:val="2"/>
      <w:sz w:val="21"/>
      <w:szCs w:val="21"/>
      <w:lang w:val="en-US" w:eastAsia="zh-CN" w:bidi="ar-SA"/>
    </w:rPr>
  </w:style>
  <w:style w:type="character" w:customStyle="1" w:styleId="89">
    <w:name w:val="表名称 Char"/>
    <w:link w:val="88"/>
    <w:qFormat/>
    <w:uiPriority w:val="0"/>
    <w:rPr>
      <w:b/>
      <w:kern w:val="2"/>
      <w:sz w:val="21"/>
      <w:szCs w:val="21"/>
    </w:rPr>
  </w:style>
  <w:style w:type="character" w:customStyle="1" w:styleId="90">
    <w:name w:val="文档结构图 字符"/>
    <w:basedOn w:val="31"/>
    <w:link w:val="7"/>
    <w:qFormat/>
    <w:uiPriority w:val="0"/>
    <w:rPr>
      <w:rFonts w:ascii="宋体"/>
      <w:kern w:val="2"/>
      <w:sz w:val="18"/>
      <w:szCs w:val="18"/>
    </w:rPr>
  </w:style>
  <w:style w:type="paragraph" w:customStyle="1" w:styleId="91">
    <w:name w:val="表内两端"/>
    <w:link w:val="92"/>
    <w:qFormat/>
    <w:uiPriority w:val="0"/>
    <w:pPr>
      <w:adjustRightInd w:val="0"/>
      <w:snapToGrid w:val="0"/>
      <w:jc w:val="both"/>
    </w:pPr>
    <w:rPr>
      <w:rFonts w:ascii="宋体" w:hAnsi="Times New Roman" w:eastAsia="宋体" w:cs="Times New Roman"/>
      <w:sz w:val="21"/>
      <w:lang w:val="en-US" w:eastAsia="zh-CN" w:bidi="ar-SA"/>
    </w:rPr>
  </w:style>
  <w:style w:type="character" w:customStyle="1" w:styleId="92">
    <w:name w:val="表内两端 Char"/>
    <w:link w:val="91"/>
    <w:qFormat/>
    <w:uiPriority w:val="0"/>
    <w:rPr>
      <w:rFonts w:ascii="宋体"/>
      <w:sz w:val="21"/>
    </w:rPr>
  </w:style>
  <w:style w:type="paragraph" w:customStyle="1" w:styleId="93">
    <w:name w:val="Table Text"/>
    <w:basedOn w:val="1"/>
    <w:semiHidden/>
    <w:qFormat/>
    <w:uiPriority w:val="0"/>
    <w:rPr>
      <w:rFonts w:ascii="宋体" w:hAnsi="宋体" w:eastAsia="宋体" w:cs="宋体"/>
      <w:sz w:val="20"/>
      <w:szCs w:val="20"/>
      <w:lang w:val="en-US" w:eastAsia="en-US" w:bidi="ar-SA"/>
    </w:rPr>
  </w:style>
  <w:style w:type="paragraph" w:customStyle="1" w:styleId="94">
    <w:name w:val="A正文"/>
    <w:basedOn w:val="1"/>
    <w:qFormat/>
    <w:uiPriority w:val="0"/>
    <w:pPr>
      <w:adjustRightInd w:val="0"/>
      <w:snapToGrid w:val="0"/>
      <w:spacing w:line="360" w:lineRule="auto"/>
      <w:ind w:firstLine="720" w:firstLineChars="200"/>
      <w:jc w:val="both"/>
    </w:pPr>
    <w:rPr>
      <w:rFonts w:ascii="Times New Roman" w:hAnsi="Times New Roman"/>
      <w:color w:val="auto"/>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28190</Words>
  <Characters>30499</Characters>
  <Lines>189</Lines>
  <Paragraphs>53</Paragraphs>
  <TotalTime>142</TotalTime>
  <ScaleCrop>false</ScaleCrop>
  <LinksUpToDate>false</LinksUpToDate>
  <CharactersWithSpaces>30632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2024-08-26T13:20:00Z</dcterms:created>
  <dc:creator>鲍 宏岩</dc:creator>
  <cp:lastModifiedBy>lenovo</cp:lastModifiedBy>
  <cp:lastPrinted>2023-11-07T14:56:00Z</cp:lastPrinted>
  <dcterms:modified xsi:type="dcterms:W3CDTF">2025-08-08T08:39:01Z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1C9B97D31D554F0CA867940FB167415B_13</vt:lpwstr>
  </property>
  <property fmtid="{D5CDD505-2E9C-101B-9397-08002B2CF9AE}" pid="4" name="KSOTemplateDocerSaveRecord">
    <vt:lpwstr>eyJoZGlkIjoiYmQ0MzA5OWU5MmUyMGIxZTM0ODJjYzU1M2MzNTRkZDkiLCJ1c2VySWQiOiI0NDExNzc3NDgifQ==</vt:lpwstr>
  </property>
</Properties>
</file>