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napToGrid w:val="0"/>
        </w:rPr>
      </w:pPr>
      <w:r>
        <w:rPr>
          <w:rFonts w:hint="eastAsia"/>
          <w:snapToGrid w:val="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20"/>
        <w:gridCol w:w="1446"/>
        <w:gridCol w:w="2550"/>
        <w:gridCol w:w="1820"/>
        <w:gridCol w:w="25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建设项目名称</w:t>
            </w:r>
          </w:p>
        </w:tc>
        <w:tc>
          <w:tcPr>
            <w:tcW w:w="6904" w:type="dxa"/>
            <w:gridSpan w:val="3"/>
            <w:vAlign w:val="center"/>
          </w:tcPr>
          <w:p>
            <w:pPr>
              <w:adjustRightInd w:val="0"/>
              <w:snapToGrid w:val="0"/>
              <w:spacing w:line="240" w:lineRule="auto"/>
              <w:ind w:firstLine="0" w:firstLineChars="0"/>
              <w:jc w:val="center"/>
              <w:rPr>
                <w:rFonts w:hint="default" w:eastAsia="宋体"/>
                <w:color w:val="000000"/>
                <w:highlight w:val="none"/>
                <w:lang w:val="en-US" w:eastAsia="zh-CN"/>
              </w:rPr>
            </w:pPr>
            <w:r>
              <w:rPr>
                <w:rFonts w:hint="eastAsia"/>
                <w:color w:val="000000"/>
                <w:highlight w:val="none"/>
                <w:lang w:eastAsia="zh-CN"/>
              </w:rPr>
              <w:t>新疆若羌县曼达勒克山一带铜金多金属矿详查项目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项目代码</w:t>
            </w:r>
          </w:p>
        </w:tc>
        <w:tc>
          <w:tcPr>
            <w:tcW w:w="6904" w:type="dxa"/>
            <w:gridSpan w:val="3"/>
            <w:vAlign w:val="center"/>
          </w:tcPr>
          <w:p>
            <w:pPr>
              <w:adjustRightInd w:val="0"/>
              <w:snapToGrid w:val="0"/>
              <w:spacing w:line="240" w:lineRule="auto"/>
              <w:ind w:firstLine="0" w:firstLineChars="0"/>
              <w:jc w:val="center"/>
              <w:rPr>
                <w:highlight w:val="none"/>
              </w:rPr>
            </w:pPr>
            <w:r>
              <w:rPr>
                <w:bCs/>
                <w:color w:val="00000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建设单位联系人</w:t>
            </w:r>
          </w:p>
        </w:tc>
        <w:tc>
          <w:tcPr>
            <w:tcW w:w="2550" w:type="dxa"/>
            <w:shd w:val="clear" w:color="auto" w:fill="auto"/>
            <w:vAlign w:val="center"/>
          </w:tcPr>
          <w:p>
            <w:pPr>
              <w:pStyle w:val="26"/>
              <w:rPr>
                <w:rFonts w:hint="default" w:eastAsia="宋体"/>
                <w:sz w:val="24"/>
                <w:szCs w:val="28"/>
                <w:highlight w:val="none"/>
                <w:lang w:val="en-US" w:eastAsia="zh-CN"/>
              </w:rPr>
            </w:pPr>
          </w:p>
        </w:tc>
        <w:tc>
          <w:tcPr>
            <w:tcW w:w="1820" w:type="dxa"/>
            <w:shd w:val="clear" w:color="auto" w:fill="auto"/>
            <w:vAlign w:val="center"/>
          </w:tcPr>
          <w:p>
            <w:pPr>
              <w:pStyle w:val="26"/>
              <w:rPr>
                <w:sz w:val="24"/>
                <w:szCs w:val="28"/>
                <w:highlight w:val="none"/>
              </w:rPr>
            </w:pPr>
            <w:r>
              <w:rPr>
                <w:sz w:val="24"/>
                <w:szCs w:val="28"/>
                <w:highlight w:val="none"/>
              </w:rPr>
              <w:t>联系方式</w:t>
            </w:r>
          </w:p>
        </w:tc>
        <w:tc>
          <w:tcPr>
            <w:tcW w:w="2534" w:type="dxa"/>
            <w:shd w:val="clear" w:color="auto" w:fill="auto"/>
            <w:vAlign w:val="center"/>
          </w:tcPr>
          <w:p>
            <w:pPr>
              <w:adjustRightInd w:val="0"/>
              <w:snapToGrid w:val="0"/>
              <w:spacing w:line="240" w:lineRule="auto"/>
              <w:ind w:firstLine="0" w:firstLineChars="0"/>
              <w:jc w:val="center"/>
              <w:rPr>
                <w:rFonts w:hint="default" w:eastAsia="宋体"/>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建设地点</w:t>
            </w:r>
          </w:p>
        </w:tc>
        <w:tc>
          <w:tcPr>
            <w:tcW w:w="6904" w:type="dxa"/>
            <w:gridSpan w:val="3"/>
            <w:vAlign w:val="center"/>
          </w:tcPr>
          <w:p>
            <w:pPr>
              <w:widowControl/>
              <w:spacing w:line="240" w:lineRule="auto"/>
              <w:ind w:firstLine="0" w:firstLineChars="0"/>
              <w:jc w:val="center"/>
              <w:rPr>
                <w:color w:val="000000"/>
                <w:highlight w:val="none"/>
              </w:rPr>
            </w:pPr>
            <w:r>
              <w:rPr>
                <w:rFonts w:hint="eastAsia"/>
                <w:color w:val="000000"/>
                <w:highlight w:val="none"/>
                <w:lang w:val="en-US" w:eastAsia="zh-CN"/>
              </w:rPr>
              <w:t>新疆若羌县东南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地理坐标</w:t>
            </w:r>
          </w:p>
        </w:tc>
        <w:tc>
          <w:tcPr>
            <w:tcW w:w="6904" w:type="dxa"/>
            <w:gridSpan w:val="3"/>
            <w:vAlign w:val="center"/>
          </w:tcPr>
          <w:p>
            <w:pPr>
              <w:spacing w:line="240" w:lineRule="auto"/>
              <w:ind w:firstLine="0" w:firstLineChars="0"/>
              <w:jc w:val="center"/>
              <w:rPr>
                <w:highlight w:val="none"/>
              </w:rPr>
            </w:pPr>
            <w:bookmarkStart w:id="22" w:name="_GoBack"/>
            <w:bookmarkEnd w:id="2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行业类别</w:t>
            </w:r>
          </w:p>
        </w:tc>
        <w:tc>
          <w:tcPr>
            <w:tcW w:w="2550" w:type="dxa"/>
            <w:vAlign w:val="center"/>
          </w:tcPr>
          <w:p>
            <w:pPr>
              <w:pStyle w:val="27"/>
              <w:spacing w:before="0" w:beforeAutospacing="0" w:after="0" w:afterAutospacing="0" w:line="240" w:lineRule="auto"/>
              <w:ind w:firstLine="0" w:firstLineChars="0"/>
              <w:rPr>
                <w:rFonts w:ascii="Times New Roman" w:hAnsi="Times New Roman" w:cs="Times New Roman"/>
                <w:kern w:val="2"/>
                <w:highlight w:val="none"/>
              </w:rPr>
            </w:pPr>
            <w:r>
              <w:rPr>
                <w:rFonts w:ascii="Times New Roman" w:hAnsi="Times New Roman" w:cs="Times New Roman"/>
                <w:bCs/>
                <w:color w:val="000000"/>
                <w:highlight w:val="none"/>
              </w:rPr>
              <w:t>四十六</w:t>
            </w:r>
            <w:r>
              <w:rPr>
                <w:rFonts w:hint="eastAsia" w:ascii="Times New Roman" w:hAnsi="Times New Roman" w:cs="Times New Roman"/>
                <w:bCs/>
                <w:color w:val="000000"/>
                <w:highlight w:val="none"/>
              </w:rPr>
              <w:t>、专业技术服务业</w:t>
            </w:r>
            <w:r>
              <w:rPr>
                <w:rFonts w:ascii="Times New Roman" w:hAnsi="Times New Roman" w:cs="Times New Roman"/>
                <w:bCs/>
                <w:color w:val="000000"/>
                <w:highlight w:val="none"/>
              </w:rPr>
              <w:t>-99、陆地矿产资源地质勘</w:t>
            </w:r>
            <w:r>
              <w:rPr>
                <w:rFonts w:hint="eastAsia" w:ascii="Times New Roman" w:hAnsi="Times New Roman" w:cs="Times New Roman"/>
                <w:bCs/>
                <w:color w:val="000000"/>
                <w:highlight w:val="none"/>
              </w:rPr>
              <w:t>查（含油气资源勘探）；二氧化碳地质封存</w:t>
            </w:r>
          </w:p>
        </w:tc>
        <w:tc>
          <w:tcPr>
            <w:tcW w:w="1820" w:type="dxa"/>
            <w:vAlign w:val="center"/>
          </w:tcPr>
          <w:p>
            <w:pPr>
              <w:adjustRightInd w:val="0"/>
              <w:snapToGrid w:val="0"/>
              <w:spacing w:line="240" w:lineRule="auto"/>
              <w:ind w:firstLine="0" w:firstLineChars="0"/>
              <w:jc w:val="center"/>
              <w:rPr>
                <w:spacing w:val="-6"/>
                <w:highlight w:val="none"/>
              </w:rPr>
            </w:pPr>
            <w:r>
              <w:rPr>
                <w:spacing w:val="-6"/>
                <w:highlight w:val="none"/>
              </w:rPr>
              <w:t>用地（用海）</w:t>
            </w:r>
          </w:p>
          <w:p>
            <w:pPr>
              <w:adjustRightInd w:val="0"/>
              <w:snapToGrid w:val="0"/>
              <w:spacing w:line="240" w:lineRule="auto"/>
              <w:ind w:firstLine="0" w:firstLineChars="0"/>
              <w:jc w:val="center"/>
              <w:rPr>
                <w:highlight w:val="none"/>
              </w:rPr>
            </w:pPr>
            <w:r>
              <w:rPr>
                <w:spacing w:val="-6"/>
                <w:highlight w:val="none"/>
              </w:rPr>
              <w:t>面积（m</w:t>
            </w:r>
            <w:r>
              <w:rPr>
                <w:spacing w:val="-6"/>
                <w:highlight w:val="none"/>
                <w:vertAlign w:val="superscript"/>
              </w:rPr>
              <w:t>2</w:t>
            </w:r>
            <w:r>
              <w:rPr>
                <w:spacing w:val="-6"/>
                <w:highlight w:val="none"/>
              </w:rPr>
              <w:t>）</w:t>
            </w:r>
          </w:p>
        </w:tc>
        <w:tc>
          <w:tcPr>
            <w:tcW w:w="2534" w:type="dxa"/>
            <w:vAlign w:val="center"/>
          </w:tcPr>
          <w:p>
            <w:pPr>
              <w:adjustRightInd w:val="0"/>
              <w:snapToGrid w:val="0"/>
              <w:spacing w:line="240" w:lineRule="auto"/>
              <w:ind w:firstLine="0" w:firstLineChars="0"/>
              <w:jc w:val="center"/>
              <w:rPr>
                <w:rFonts w:hint="eastAsia"/>
                <w:highlight w:val="none"/>
                <w:lang w:val="en-US" w:eastAsia="zh-CN"/>
              </w:rPr>
            </w:pPr>
            <w:r>
              <w:rPr>
                <w:rFonts w:hint="eastAsia"/>
                <w:highlight w:val="none"/>
                <w:lang w:val="en-US" w:eastAsia="zh-CN"/>
              </w:rPr>
              <w:t>勘查面积：11390000</w:t>
            </w:r>
          </w:p>
          <w:p>
            <w:pPr>
              <w:adjustRightInd w:val="0"/>
              <w:snapToGrid w:val="0"/>
              <w:spacing w:line="240" w:lineRule="auto"/>
              <w:ind w:firstLine="0" w:firstLineChars="0"/>
              <w:jc w:val="center"/>
              <w:rPr>
                <w:rFonts w:hint="default" w:eastAsia="宋体"/>
                <w:highlight w:val="none"/>
                <w:lang w:val="en-US" w:eastAsia="zh-CN"/>
              </w:rPr>
            </w:pPr>
            <w:r>
              <w:rPr>
                <w:rFonts w:hint="eastAsia"/>
                <w:highlight w:val="none"/>
                <w:lang w:val="en-US" w:eastAsia="zh-CN"/>
              </w:rPr>
              <w:t>临时占地：</w:t>
            </w:r>
            <w:r>
              <w:rPr>
                <w:rFonts w:hint="eastAsia"/>
                <w:lang w:val="en-US" w:eastAsia="zh-CN"/>
              </w:rPr>
              <w:t>3050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建设性质</w:t>
            </w:r>
          </w:p>
        </w:tc>
        <w:tc>
          <w:tcPr>
            <w:tcW w:w="2550" w:type="dxa"/>
            <w:vAlign w:val="center"/>
          </w:tcPr>
          <w:p>
            <w:pPr>
              <w:spacing w:line="240" w:lineRule="auto"/>
              <w:ind w:firstLine="0" w:firstLineChars="0"/>
              <w:jc w:val="left"/>
              <w:rPr>
                <w:highlight w:val="none"/>
              </w:rPr>
            </w:pPr>
            <w:r>
              <w:rPr>
                <w:highlight w:val="none"/>
              </w:rPr>
              <w:sym w:font="Wingdings 2" w:char="F052"/>
            </w:r>
            <w:r>
              <w:rPr>
                <w:highlight w:val="none"/>
              </w:rPr>
              <w:t>新建（迁建）</w:t>
            </w:r>
          </w:p>
          <w:p>
            <w:pPr>
              <w:spacing w:line="240" w:lineRule="auto"/>
              <w:ind w:firstLine="0" w:firstLineChars="0"/>
              <w:jc w:val="left"/>
              <w:rPr>
                <w:highlight w:val="none"/>
              </w:rPr>
            </w:pPr>
            <w:r>
              <w:rPr>
                <w:highlight w:val="none"/>
              </w:rPr>
              <w:sym w:font="Wingdings 2" w:char="F0A3"/>
            </w:r>
            <w:r>
              <w:rPr>
                <w:highlight w:val="none"/>
              </w:rPr>
              <w:t>改建</w:t>
            </w:r>
          </w:p>
          <w:p>
            <w:pPr>
              <w:spacing w:line="240" w:lineRule="auto"/>
              <w:ind w:firstLine="0" w:firstLineChars="0"/>
              <w:jc w:val="left"/>
              <w:rPr>
                <w:highlight w:val="none"/>
              </w:rPr>
            </w:pPr>
            <w:r>
              <w:rPr>
                <w:highlight w:val="none"/>
              </w:rPr>
              <w:sym w:font="Wingdings 2" w:char="F0A3"/>
            </w:r>
            <w:r>
              <w:rPr>
                <w:highlight w:val="none"/>
              </w:rPr>
              <w:t>扩建</w:t>
            </w:r>
          </w:p>
          <w:p>
            <w:pPr>
              <w:spacing w:line="240" w:lineRule="auto"/>
              <w:ind w:firstLine="0" w:firstLineChars="0"/>
              <w:jc w:val="left"/>
              <w:rPr>
                <w:highlight w:val="none"/>
              </w:rPr>
            </w:pPr>
            <w:r>
              <w:rPr>
                <w:highlight w:val="none"/>
              </w:rPr>
              <w:sym w:font="Wingdings 2" w:char="F0A3"/>
            </w:r>
            <w:r>
              <w:rPr>
                <w:highlight w:val="none"/>
              </w:rPr>
              <w:t>技术改造</w:t>
            </w:r>
          </w:p>
        </w:tc>
        <w:tc>
          <w:tcPr>
            <w:tcW w:w="1820" w:type="dxa"/>
            <w:vAlign w:val="center"/>
          </w:tcPr>
          <w:p>
            <w:pPr>
              <w:adjustRightInd w:val="0"/>
              <w:snapToGrid w:val="0"/>
              <w:spacing w:line="240" w:lineRule="auto"/>
              <w:ind w:firstLine="0" w:firstLineChars="0"/>
              <w:jc w:val="center"/>
              <w:rPr>
                <w:highlight w:val="none"/>
              </w:rPr>
            </w:pPr>
            <w:r>
              <w:rPr>
                <w:highlight w:val="none"/>
              </w:rPr>
              <w:t>建设项目</w:t>
            </w:r>
          </w:p>
          <w:p>
            <w:pPr>
              <w:adjustRightInd w:val="0"/>
              <w:snapToGrid w:val="0"/>
              <w:spacing w:line="240" w:lineRule="auto"/>
              <w:ind w:firstLine="0" w:firstLineChars="0"/>
              <w:jc w:val="center"/>
              <w:rPr>
                <w:highlight w:val="none"/>
              </w:rPr>
            </w:pPr>
            <w:r>
              <w:rPr>
                <w:highlight w:val="none"/>
              </w:rPr>
              <w:t>申报情形</w:t>
            </w:r>
          </w:p>
        </w:tc>
        <w:tc>
          <w:tcPr>
            <w:tcW w:w="2534" w:type="dxa"/>
            <w:vAlign w:val="center"/>
          </w:tcPr>
          <w:p>
            <w:pPr>
              <w:spacing w:line="240" w:lineRule="auto"/>
              <w:ind w:firstLine="0" w:firstLineChars="0"/>
              <w:jc w:val="left"/>
            </w:pPr>
            <w:r>
              <w:rPr/>
              <w:sym w:font="Wingdings 2" w:char="F052"/>
            </w:r>
            <w:r>
              <w:t>首次申报项目</w:t>
            </w:r>
          </w:p>
          <w:p>
            <w:pPr>
              <w:spacing w:line="240" w:lineRule="auto"/>
              <w:ind w:firstLine="0" w:firstLineChars="0"/>
              <w:jc w:val="left"/>
            </w:pPr>
            <w:r>
              <w:rPr/>
              <w:sym w:font="Wingdings 2" w:char="F0A3"/>
            </w:r>
            <w:r>
              <w:t>不予批准后再次申报项目</w:t>
            </w:r>
          </w:p>
          <w:p>
            <w:pPr>
              <w:spacing w:line="240" w:lineRule="auto"/>
              <w:ind w:firstLine="0" w:firstLineChars="0"/>
              <w:jc w:val="left"/>
            </w:pPr>
            <w:r>
              <w:rPr/>
              <w:sym w:font="Wingdings 2" w:char="F0A3"/>
            </w:r>
            <w:r>
              <w:t>超五年重新审核项目</w:t>
            </w:r>
          </w:p>
          <w:p>
            <w:pPr>
              <w:spacing w:line="240" w:lineRule="auto"/>
              <w:ind w:firstLine="0" w:firstLineChars="0"/>
              <w:jc w:val="left"/>
              <w:rPr>
                <w:highlight w:val="none"/>
              </w:rPr>
            </w:pPr>
            <w:r>
              <w:rPr/>
              <w:sym w:font="Wingdings 2" w:char="F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项目审批（核准/</w:t>
            </w:r>
          </w:p>
          <w:p>
            <w:pPr>
              <w:adjustRightInd w:val="0"/>
              <w:snapToGrid w:val="0"/>
              <w:spacing w:line="240" w:lineRule="auto"/>
              <w:ind w:firstLine="0" w:firstLineChars="0"/>
              <w:jc w:val="center"/>
            </w:pPr>
            <w:r>
              <w:t>备案）部门（选填）</w:t>
            </w:r>
          </w:p>
        </w:tc>
        <w:tc>
          <w:tcPr>
            <w:tcW w:w="2550" w:type="dxa"/>
            <w:vAlign w:val="center"/>
          </w:tcPr>
          <w:p>
            <w:pPr>
              <w:adjustRightInd w:val="0"/>
              <w:snapToGrid w:val="0"/>
              <w:spacing w:line="240" w:lineRule="auto"/>
              <w:ind w:firstLine="0" w:firstLineChars="0"/>
              <w:jc w:val="center"/>
              <w:rPr>
                <w:highlight w:val="none"/>
              </w:rPr>
            </w:pPr>
            <w:r>
              <w:rPr>
                <w:rFonts w:hint="eastAsia"/>
                <w:highlight w:val="none"/>
              </w:rPr>
              <w:t>/</w:t>
            </w:r>
          </w:p>
        </w:tc>
        <w:tc>
          <w:tcPr>
            <w:tcW w:w="1820" w:type="dxa"/>
            <w:vAlign w:val="center"/>
          </w:tcPr>
          <w:p>
            <w:pPr>
              <w:adjustRightInd w:val="0"/>
              <w:snapToGrid w:val="0"/>
              <w:spacing w:line="240" w:lineRule="auto"/>
              <w:ind w:firstLine="0" w:firstLineChars="0"/>
              <w:jc w:val="center"/>
              <w:rPr>
                <w:highlight w:val="none"/>
              </w:rPr>
            </w:pPr>
            <w:r>
              <w:rPr>
                <w:highlight w:val="none"/>
              </w:rPr>
              <w:t>项目审批（核准/</w:t>
            </w:r>
          </w:p>
          <w:p>
            <w:pPr>
              <w:adjustRightInd w:val="0"/>
              <w:snapToGrid w:val="0"/>
              <w:spacing w:line="240" w:lineRule="auto"/>
              <w:ind w:firstLine="0" w:firstLineChars="0"/>
              <w:jc w:val="center"/>
              <w:rPr>
                <w:highlight w:val="none"/>
              </w:rPr>
            </w:pPr>
            <w:r>
              <w:rPr>
                <w:highlight w:val="none"/>
              </w:rPr>
              <w:t>备案）文号（选填）</w:t>
            </w:r>
          </w:p>
        </w:tc>
        <w:tc>
          <w:tcPr>
            <w:tcW w:w="2534" w:type="dxa"/>
            <w:vAlign w:val="center"/>
          </w:tcPr>
          <w:p>
            <w:pPr>
              <w:adjustRightInd w:val="0"/>
              <w:snapToGrid w:val="0"/>
              <w:spacing w:line="240" w:lineRule="auto"/>
              <w:ind w:firstLine="0" w:firstLineChars="0"/>
              <w:jc w:val="center"/>
              <w:rPr>
                <w:highlight w:val="none"/>
              </w:rPr>
            </w:pPr>
            <w:r>
              <w:rPr>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总投资（万元）</w:t>
            </w:r>
          </w:p>
        </w:tc>
        <w:tc>
          <w:tcPr>
            <w:tcW w:w="2550" w:type="dxa"/>
            <w:shd w:val="clear" w:color="auto" w:fill="auto"/>
            <w:vAlign w:val="center"/>
          </w:tcPr>
          <w:p>
            <w:pPr>
              <w:adjustRightInd w:val="0"/>
              <w:snapToGrid w:val="0"/>
              <w:spacing w:line="240" w:lineRule="auto"/>
              <w:ind w:firstLine="0" w:firstLineChars="0"/>
              <w:jc w:val="center"/>
              <w:rPr>
                <w:rFonts w:hint="default" w:eastAsia="宋体"/>
                <w:highlight w:val="none"/>
                <w:lang w:val="en-US" w:eastAsia="zh-CN"/>
              </w:rPr>
            </w:pPr>
            <w:r>
              <w:rPr>
                <w:rFonts w:hint="eastAsia"/>
                <w:highlight w:val="none"/>
                <w:lang w:val="en-US" w:eastAsia="zh-CN"/>
              </w:rPr>
              <w:t>433.81</w:t>
            </w:r>
          </w:p>
        </w:tc>
        <w:tc>
          <w:tcPr>
            <w:tcW w:w="1820" w:type="dxa"/>
            <w:shd w:val="clear" w:color="auto" w:fill="auto"/>
            <w:tcMar>
              <w:top w:w="16" w:type="dxa"/>
              <w:left w:w="16" w:type="dxa"/>
              <w:right w:w="16" w:type="dxa"/>
            </w:tcMar>
            <w:vAlign w:val="center"/>
          </w:tcPr>
          <w:p>
            <w:pPr>
              <w:adjustRightInd w:val="0"/>
              <w:snapToGrid w:val="0"/>
              <w:spacing w:line="240" w:lineRule="auto"/>
              <w:ind w:firstLine="0" w:firstLineChars="0"/>
              <w:jc w:val="center"/>
              <w:rPr>
                <w:highlight w:val="none"/>
              </w:rPr>
            </w:pPr>
            <w:r>
              <w:rPr>
                <w:highlight w:val="none"/>
              </w:rPr>
              <w:t>环保投资（万元）</w:t>
            </w:r>
          </w:p>
        </w:tc>
        <w:tc>
          <w:tcPr>
            <w:tcW w:w="2534" w:type="dxa"/>
            <w:shd w:val="clear" w:color="auto" w:fill="auto"/>
            <w:vAlign w:val="center"/>
          </w:tcPr>
          <w:p>
            <w:pPr>
              <w:adjustRightInd w:val="0"/>
              <w:snapToGrid w:val="0"/>
              <w:spacing w:line="240" w:lineRule="auto"/>
              <w:ind w:firstLine="0" w:firstLineChars="0"/>
              <w:jc w:val="center"/>
              <w:rPr>
                <w:rFonts w:hint="default" w:eastAsia="宋体"/>
                <w:highlight w:val="none"/>
                <w:lang w:val="en-US" w:eastAsia="zh-CN"/>
              </w:rPr>
            </w:pPr>
            <w:r>
              <w:rPr>
                <w:rFonts w:hint="eastAsia"/>
                <w:highlight w:val="none"/>
                <w:lang w:val="en-US" w:eastAsia="zh-CN"/>
              </w:rPr>
              <w:t>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环保投资占比（%）</w:t>
            </w:r>
          </w:p>
        </w:tc>
        <w:tc>
          <w:tcPr>
            <w:tcW w:w="2550" w:type="dxa"/>
            <w:shd w:val="clear" w:color="auto" w:fill="auto"/>
            <w:vAlign w:val="center"/>
          </w:tcPr>
          <w:p>
            <w:pPr>
              <w:adjustRightInd w:val="0"/>
              <w:snapToGrid w:val="0"/>
              <w:spacing w:line="240" w:lineRule="auto"/>
              <w:ind w:firstLine="0" w:firstLineChars="0"/>
              <w:jc w:val="center"/>
              <w:rPr>
                <w:highlight w:val="none"/>
              </w:rPr>
            </w:pPr>
            <w:r>
              <w:rPr>
                <w:rFonts w:hint="eastAsia"/>
                <w:highlight w:val="none"/>
                <w:lang w:val="en-US" w:eastAsia="zh-CN"/>
              </w:rPr>
              <w:t>14.75</w:t>
            </w:r>
            <w:r>
              <w:rPr>
                <w:rFonts w:hint="eastAsia"/>
                <w:highlight w:val="none"/>
              </w:rPr>
              <w:t>%</w:t>
            </w:r>
          </w:p>
        </w:tc>
        <w:tc>
          <w:tcPr>
            <w:tcW w:w="1820" w:type="dxa"/>
            <w:shd w:val="clear" w:color="auto" w:fill="auto"/>
            <w:tcMar>
              <w:top w:w="16" w:type="dxa"/>
              <w:left w:w="16" w:type="dxa"/>
              <w:right w:w="16" w:type="dxa"/>
            </w:tcMar>
            <w:vAlign w:val="center"/>
          </w:tcPr>
          <w:p>
            <w:pPr>
              <w:adjustRightInd w:val="0"/>
              <w:snapToGrid w:val="0"/>
              <w:spacing w:line="240" w:lineRule="auto"/>
              <w:ind w:firstLine="0" w:firstLineChars="0"/>
              <w:jc w:val="center"/>
              <w:rPr>
                <w:highlight w:val="none"/>
              </w:rPr>
            </w:pPr>
            <w:r>
              <w:rPr>
                <w:highlight w:val="none"/>
              </w:rPr>
              <w:t>施工工期</w:t>
            </w:r>
          </w:p>
        </w:tc>
        <w:tc>
          <w:tcPr>
            <w:tcW w:w="2534" w:type="dxa"/>
            <w:shd w:val="clear" w:color="auto" w:fill="auto"/>
            <w:vAlign w:val="center"/>
          </w:tcPr>
          <w:p>
            <w:pPr>
              <w:adjustRightInd w:val="0"/>
              <w:snapToGrid w:val="0"/>
              <w:spacing w:line="240" w:lineRule="auto"/>
              <w:ind w:firstLine="0" w:firstLineChars="0"/>
              <w:jc w:val="center"/>
              <w:rPr>
                <w:highlight w:val="none"/>
              </w:rPr>
            </w:pPr>
            <w:r>
              <w:rPr>
                <w:rFonts w:hint="eastAsia"/>
                <w:highlight w:val="none"/>
                <w:lang w:val="en-US" w:eastAsia="zh-CN"/>
              </w:rPr>
              <w:t>1</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是否开工建设</w:t>
            </w:r>
          </w:p>
        </w:tc>
        <w:tc>
          <w:tcPr>
            <w:tcW w:w="6904" w:type="dxa"/>
            <w:gridSpan w:val="3"/>
            <w:vAlign w:val="center"/>
          </w:tcPr>
          <w:p>
            <w:pPr>
              <w:adjustRightInd w:val="0"/>
              <w:snapToGrid w:val="0"/>
              <w:spacing w:line="240" w:lineRule="auto"/>
              <w:ind w:firstLine="0" w:firstLineChars="0"/>
            </w:pPr>
            <w:r>
              <w:rPr/>
              <w:sym w:font="Wingdings 2" w:char="F052"/>
            </w:r>
            <w:r>
              <w:t>否</w:t>
            </w:r>
          </w:p>
          <w:p>
            <w:pPr>
              <w:adjustRightInd w:val="0"/>
              <w:snapToGrid w:val="0"/>
              <w:spacing w:line="240" w:lineRule="auto"/>
              <w:ind w:firstLine="0" w:firstLineChars="0"/>
              <w:rPr>
                <w:rFonts w:hint="eastAsia" w:eastAsia="宋体"/>
                <w:lang w:eastAsia="zh-CN"/>
              </w:rPr>
            </w:pPr>
            <w:r>
              <w:rPr/>
              <w:sym w:font="Wingdings 2" w:char="F0A3"/>
            </w:r>
            <w: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6904" w:type="dxa"/>
            <w:gridSpan w:val="3"/>
            <w:vAlign w:val="center"/>
          </w:tcPr>
          <w:p>
            <w:pPr>
              <w:autoSpaceDE w:val="0"/>
              <w:autoSpaceDN w:val="0"/>
              <w:adjustRightInd w:val="0"/>
              <w:snapToGrid w:val="0"/>
              <w:ind w:firstLine="480"/>
              <w:jc w:val="center"/>
              <w:rPr>
                <w:kern w:val="0"/>
              </w:rPr>
            </w:pPr>
            <w:r>
              <w:rPr>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t>规划情况</w:t>
            </w:r>
          </w:p>
        </w:tc>
        <w:tc>
          <w:tcPr>
            <w:tcW w:w="6904" w:type="dxa"/>
            <w:gridSpan w:val="3"/>
            <w:vAlign w:val="center"/>
          </w:tcPr>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规划名称：《新疆维吾尔自治区矿产资源总体规划（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审批机关：自然资源部；</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审批文件名称及文号：《关于〈新疆维吾尔自治区矿产资源总体规划（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年）〉的审查意见》（自然资函〔</w:t>
            </w:r>
            <w:r>
              <w:rPr>
                <w:rFonts w:hint="default"/>
                <w:sz w:val="21"/>
                <w:szCs w:val="21"/>
                <w:lang w:val="en-US" w:eastAsia="zh-CN"/>
              </w:rPr>
              <w:t>2022</w:t>
            </w:r>
            <w:r>
              <w:rPr>
                <w:rFonts w:hint="eastAsia"/>
                <w:sz w:val="21"/>
                <w:szCs w:val="21"/>
                <w:lang w:val="en-US" w:eastAsia="zh-CN"/>
              </w:rPr>
              <w:t>〕</w:t>
            </w:r>
            <w:r>
              <w:rPr>
                <w:rFonts w:hint="default"/>
                <w:sz w:val="21"/>
                <w:szCs w:val="21"/>
                <w:lang w:val="en-US" w:eastAsia="zh-CN"/>
              </w:rPr>
              <w:t>1092</w:t>
            </w:r>
            <w:r>
              <w:rPr>
                <w:rFonts w:hint="eastAsia"/>
                <w:sz w:val="21"/>
                <w:szCs w:val="21"/>
                <w:lang w:val="en-US" w:eastAsia="zh-CN"/>
              </w:rPr>
              <w:t>号）；</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规划名称：《巴音郭楞蒙古自治州矿产资源总体规划（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审批机关：巴州人民政府；</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规划名称：《若羌县矿产资源总体规划（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w:t>
            </w:r>
          </w:p>
          <w:p>
            <w:pPr>
              <w:autoSpaceDE w:val="0"/>
              <w:autoSpaceDN w:val="0"/>
              <w:adjustRightInd w:val="0"/>
              <w:snapToGrid w:val="0"/>
              <w:spacing w:line="240" w:lineRule="auto"/>
              <w:ind w:left="0" w:leftChars="0" w:firstLine="0" w:firstLineChars="0"/>
              <w:rPr>
                <w:kern w:val="0"/>
              </w:rPr>
            </w:pPr>
            <w:r>
              <w:rPr>
                <w:rFonts w:hint="eastAsia"/>
                <w:sz w:val="21"/>
                <w:szCs w:val="21"/>
                <w:lang w:val="en-US" w:eastAsia="zh-CN"/>
              </w:rPr>
              <w:t>审批机关：若羌县人民政府。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gridSpan w:val="2"/>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6904" w:type="dxa"/>
            <w:gridSpan w:val="3"/>
            <w:vAlign w:val="center"/>
          </w:tcPr>
          <w:p>
            <w:pPr>
              <w:autoSpaceDE w:val="0"/>
              <w:autoSpaceDN w:val="0"/>
              <w:adjustRightInd w:val="0"/>
              <w:snapToGrid w:val="0"/>
              <w:spacing w:line="240" w:lineRule="auto"/>
              <w:ind w:left="0" w:leftChars="0" w:firstLine="0" w:firstLineChars="0"/>
              <w:rPr>
                <w:rFonts w:hint="eastAsia"/>
                <w:sz w:val="21"/>
                <w:szCs w:val="21"/>
              </w:rPr>
            </w:pPr>
            <w:r>
              <w:rPr>
                <w:rFonts w:hint="eastAsia"/>
                <w:sz w:val="21"/>
                <w:szCs w:val="21"/>
                <w:lang w:val="en-US" w:eastAsia="zh-CN"/>
              </w:rPr>
              <w:t>规划环评文件名称：《新疆维吾尔自治区矿产资源总体规划（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年）环境影响报告书》；</w:t>
            </w:r>
          </w:p>
          <w:p>
            <w:pPr>
              <w:autoSpaceDE w:val="0"/>
              <w:autoSpaceDN w:val="0"/>
              <w:adjustRightInd w:val="0"/>
              <w:snapToGrid w:val="0"/>
              <w:spacing w:line="240" w:lineRule="auto"/>
              <w:ind w:left="0" w:leftChars="0" w:firstLine="0" w:firstLineChars="0"/>
              <w:rPr>
                <w:rFonts w:hint="eastAsia"/>
                <w:sz w:val="21"/>
                <w:szCs w:val="21"/>
              </w:rPr>
            </w:pPr>
            <w:r>
              <w:rPr>
                <w:rFonts w:hint="eastAsia"/>
                <w:sz w:val="21"/>
                <w:szCs w:val="21"/>
                <w:lang w:val="en-US" w:eastAsia="zh-CN"/>
              </w:rPr>
              <w:t>审查机关：生态环境部；</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审查文件名称及文号：《关于〈新疆维吾尔自治区矿产资源总体规划（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年）环境影响报告书〉的审查意见》（环审〔</w:t>
            </w:r>
            <w:r>
              <w:rPr>
                <w:rFonts w:hint="default"/>
                <w:sz w:val="21"/>
                <w:szCs w:val="21"/>
                <w:lang w:val="en-US" w:eastAsia="zh-CN"/>
              </w:rPr>
              <w:t>2022</w:t>
            </w:r>
            <w:r>
              <w:rPr>
                <w:rFonts w:hint="eastAsia"/>
                <w:sz w:val="21"/>
                <w:szCs w:val="21"/>
                <w:lang w:val="en-US" w:eastAsia="zh-CN"/>
              </w:rPr>
              <w:t>〕</w:t>
            </w:r>
            <w:r>
              <w:rPr>
                <w:rFonts w:hint="default"/>
                <w:sz w:val="21"/>
                <w:szCs w:val="21"/>
                <w:lang w:val="en-US" w:eastAsia="zh-CN"/>
              </w:rPr>
              <w:t>124</w:t>
            </w:r>
            <w:r>
              <w:rPr>
                <w:rFonts w:hint="eastAsia"/>
                <w:sz w:val="21"/>
                <w:szCs w:val="21"/>
                <w:lang w:val="en-US" w:eastAsia="zh-CN"/>
              </w:rPr>
              <w:t>号）。</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《新疆巴音郭楞蒙古自治州矿产资源规划(2021-2025年)环境影响篇章(2021年11月)》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rPr>
                <w:kern w:val="0"/>
              </w:rPr>
              <w:t>规划及规划环境</w:t>
            </w:r>
          </w:p>
          <w:p>
            <w:pPr>
              <w:autoSpaceDE w:val="0"/>
              <w:autoSpaceDN w:val="0"/>
              <w:adjustRightInd w:val="0"/>
              <w:snapToGrid w:val="0"/>
              <w:spacing w:line="240" w:lineRule="auto"/>
              <w:ind w:firstLine="0" w:firstLineChars="0"/>
              <w:jc w:val="center"/>
              <w:rPr>
                <w:kern w:val="0"/>
              </w:rPr>
            </w:pPr>
            <w:r>
              <w:rPr>
                <w:kern w:val="0"/>
              </w:rPr>
              <w:t>影响评价符合性分析</w:t>
            </w:r>
          </w:p>
        </w:tc>
        <w:tc>
          <w:tcPr>
            <w:tcW w:w="6904" w:type="dxa"/>
            <w:gridSpan w:val="3"/>
            <w:vAlign w:val="center"/>
          </w:tcPr>
          <w:p>
            <w:pPr>
              <w:spacing w:line="240" w:lineRule="auto"/>
              <w:ind w:firstLine="0" w:firstLineChars="0"/>
              <w:jc w:val="center"/>
              <w:outlineLvl w:val="2"/>
              <w:rPr>
                <w:rFonts w:hint="eastAsia"/>
                <w:b/>
                <w:sz w:val="21"/>
                <w:szCs w:val="21"/>
                <w:lang w:val="en-US" w:eastAsia="zh-CN"/>
              </w:rPr>
            </w:pPr>
            <w:r>
              <w:rPr>
                <w:rFonts w:hint="eastAsia"/>
                <w:b/>
                <w:sz w:val="21"/>
                <w:szCs w:val="21"/>
                <w:lang w:val="en-US" w:eastAsia="zh-CN"/>
              </w:rPr>
              <w:t>表1-1本项目与《新疆维吾尔自治区矿产资源总体规划（2021—2025年）》相符性分析</w:t>
            </w:r>
          </w:p>
          <w:tbl>
            <w:tblPr>
              <w:tblStyle w:val="20"/>
              <w:tblW w:w="0" w:type="auto"/>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86"/>
              <w:gridCol w:w="2078"/>
              <w:gridCol w:w="6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90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规划内容</w:t>
                  </w:r>
                </w:p>
              </w:tc>
              <w:tc>
                <w:tcPr>
                  <w:tcW w:w="2081"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本项目情况</w:t>
                  </w:r>
                </w:p>
              </w:tc>
              <w:tc>
                <w:tcPr>
                  <w:tcW w:w="695"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902" w:type="dxa"/>
                  <w:tcBorders>
                    <w:tl2br w:val="nil"/>
                    <w:tr2bl w:val="nil"/>
                  </w:tcBorders>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落实国家能源资源安全战略，结合新疆实际，合理确定重点、限制、禁止勘查开采矿种。重点勘查开采矿种：石油、天然气、页岩气、煤层气、煤、地热等能源矿产，铁、铬、锰、铜、镍、钴、铅锌、金、锂、铍、钒、钛等金属矿产，以及钾盐、萤石、硅质原料等非金属矿产。限制开采矿种：砖瓦用粘土等矿产，严格控制钨、稀土等特定保护性开采矿产。“限粘”县市禁止新设砖瓦用粘土采矿权。限制开采矿种，除严格矿业权人准入条件外，应论证资源供需形势，对开采总量进行调控，同时严格资源环境承载力论证，保护环境。合理控制国家规定实行保护性开采的特定矿种开采强度。禁止开采矿种：禁止开采砷和放射性等有毒有害物质超过规定标准的煤炭项目，砂铁、汞、可耕地砖瓦用粘土等矿产。除和田地区外其他地区禁止新设砂金开采项目，严格砂金开发项目环境影响评价。</w:t>
                  </w:r>
                </w:p>
              </w:tc>
              <w:tc>
                <w:tcPr>
                  <w:tcW w:w="2081" w:type="dxa"/>
                  <w:tcBorders>
                    <w:tl2br w:val="nil"/>
                    <w:tr2bl w:val="nil"/>
                  </w:tcBorders>
                  <w:vAlign w:val="center"/>
                </w:tcPr>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default"/>
                      <w:sz w:val="21"/>
                      <w:szCs w:val="21"/>
                      <w:lang w:val="en-US" w:eastAsia="zh-CN"/>
                    </w:rPr>
                    <w:t>本次地质勘探工作主要针对</w:t>
                  </w:r>
                  <w:r>
                    <w:rPr>
                      <w:rFonts w:hint="eastAsia"/>
                      <w:sz w:val="21"/>
                      <w:szCs w:val="21"/>
                      <w:lang w:val="en-US" w:eastAsia="zh-CN"/>
                    </w:rPr>
                    <w:t>铜金多金属矿</w:t>
                  </w:r>
                  <w:r>
                    <w:rPr>
                      <w:rFonts w:hint="default"/>
                      <w:sz w:val="21"/>
                      <w:szCs w:val="21"/>
                      <w:lang w:val="en-US" w:eastAsia="zh-CN"/>
                    </w:rPr>
                    <w:t>进行勘查，属于重点勘查开采矿种，符合《新疆维吾尔自治区矿产资源总体规划（2021—2025年）》中的规划要求。</w:t>
                  </w:r>
                </w:p>
              </w:tc>
              <w:tc>
                <w:tcPr>
                  <w:tcW w:w="695"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符合</w:t>
                  </w:r>
                </w:p>
              </w:tc>
            </w:tr>
          </w:tbl>
          <w:p>
            <w:pPr>
              <w:spacing w:line="240" w:lineRule="auto"/>
              <w:ind w:left="0" w:leftChars="0" w:firstLine="0" w:firstLineChars="0"/>
              <w:jc w:val="center"/>
              <w:outlineLvl w:val="2"/>
              <w:rPr>
                <w:rFonts w:hint="default"/>
                <w:sz w:val="21"/>
                <w:szCs w:val="21"/>
                <w:vertAlign w:val="baseline"/>
                <w:lang w:val="en-US" w:eastAsia="zh-CN"/>
              </w:rPr>
            </w:pPr>
            <w:r>
              <w:rPr>
                <w:rFonts w:hint="eastAsia"/>
                <w:b/>
                <w:sz w:val="21"/>
                <w:szCs w:val="21"/>
                <w:lang w:val="en-US" w:eastAsia="zh-CN"/>
              </w:rPr>
              <w:t>表1-2与《巴音郭楞蒙古自治州矿产资源总体规划（2021—2025年）》相符性分析</w:t>
            </w:r>
          </w:p>
          <w:tbl>
            <w:tblPr>
              <w:tblStyle w:val="20"/>
              <w:tblW w:w="0" w:type="auto"/>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59"/>
              <w:gridCol w:w="2096"/>
              <w:gridCol w:w="7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规划内容</w:t>
                  </w:r>
                </w:p>
              </w:tc>
              <w:tc>
                <w:tcPr>
                  <w:tcW w:w="210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本项目情况</w:t>
                  </w:r>
                </w:p>
              </w:tc>
              <w:tc>
                <w:tcPr>
                  <w:tcW w:w="704" w:type="dxa"/>
                  <w:tcBorders>
                    <w:tl2br w:val="nil"/>
                    <w:tr2bl w:val="nil"/>
                  </w:tcBorders>
                  <w:vAlign w:val="center"/>
                </w:tcPr>
                <w:p>
                  <w:pPr>
                    <w:spacing w:line="240" w:lineRule="auto"/>
                    <w:ind w:firstLine="0" w:firstLineChars="0"/>
                    <w:jc w:val="center"/>
                    <w:rPr>
                      <w:rFonts w:hint="default"/>
                      <w:sz w:val="21"/>
                      <w:szCs w:val="21"/>
                      <w:vertAlign w:val="baseline"/>
                      <w:lang w:val="en-US" w:eastAsia="zh-CN"/>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矿区生态保护修复：坚持尊重自然、顺应自然、保护自然，坚持节约优先、保护优先、自然恢复为主，把生态地质环境保护放在优先位置，推进矿产资源绿色勘查开发，最大限度减少对地质环境的破坏。</w:t>
                  </w:r>
                </w:p>
              </w:tc>
              <w:tc>
                <w:tcPr>
                  <w:tcW w:w="210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default"/>
                      <w:sz w:val="21"/>
                      <w:szCs w:val="21"/>
                      <w:lang w:val="en-US" w:eastAsia="zh-CN"/>
                    </w:rPr>
                    <w:t>本次地质勘探工作严格管控道路、场地、驻地及施工各环节。在满足地质勘查目的前提下，实现对地质环境的破坏最小化。项目施工时，剥离表土临时堆放，待项目结束后进行表土回填及植被恢复，尽可能地恢复施工迹地原有使用功能。</w:t>
                  </w:r>
                </w:p>
              </w:tc>
              <w:tc>
                <w:tcPr>
                  <w:tcW w:w="704" w:type="dxa"/>
                  <w:tcBorders>
                    <w:tl2br w:val="nil"/>
                    <w:tr2bl w:val="nil"/>
                  </w:tcBorders>
                  <w:vAlign w:val="center"/>
                </w:tcPr>
                <w:p>
                  <w:pPr>
                    <w:autoSpaceDE w:val="0"/>
                    <w:autoSpaceDN w:val="0"/>
                    <w:adjustRightInd w:val="0"/>
                    <w:snapToGrid w:val="0"/>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勘查项目要严格按照《绿色地质勘查工作规范》要求，将绿色勘查理念贯穿于地质勘查项目设计、实施、验收全过程，利用先进成熟的绿色勘查新理论、新方法、新技术、新工艺开展地质勘查。大力推广遥感、物探、浅钻</w:t>
                  </w:r>
                  <w:r>
                    <w:rPr>
                      <w:rFonts w:hint="default"/>
                      <w:sz w:val="21"/>
                      <w:szCs w:val="21"/>
                      <w:lang w:val="en-US" w:eastAsia="zh-CN"/>
                    </w:rPr>
                    <w:t>(</w:t>
                  </w:r>
                  <w:r>
                    <w:rPr>
                      <w:rFonts w:hint="eastAsia"/>
                      <w:sz w:val="21"/>
                      <w:szCs w:val="21"/>
                      <w:lang w:val="en-US" w:eastAsia="zh-CN"/>
                    </w:rPr>
                    <w:t>以钻代槽</w:t>
                  </w:r>
                  <w:r>
                    <w:rPr>
                      <w:rFonts w:hint="default"/>
                      <w:sz w:val="21"/>
                      <w:szCs w:val="21"/>
                      <w:lang w:val="en-US" w:eastAsia="zh-CN"/>
                    </w:rPr>
                    <w:t>)</w:t>
                  </w:r>
                  <w:r>
                    <w:rPr>
                      <w:rFonts w:hint="eastAsia"/>
                      <w:sz w:val="21"/>
                      <w:szCs w:val="21"/>
                      <w:lang w:val="en-US" w:eastAsia="zh-CN"/>
                    </w:rPr>
                    <w:t>等绿色勘查技术，鼓励采用组合式、便捷式钻探设备，减少使用对植被破坏较大的槽探、坑探、井探等勘查手段，减轻勘查活动对生态环境的扰动。总结绿色勘查实施成效及经验，形成可复制、能推广的绿色勘查新模式、新机制、新制度；积极申报绿色勘查示范项目，促进地质勘查和生态保护协调发展。</w:t>
                  </w:r>
                </w:p>
              </w:tc>
              <w:tc>
                <w:tcPr>
                  <w:tcW w:w="2102" w:type="dxa"/>
                  <w:tcBorders>
                    <w:tl2br w:val="nil"/>
                    <w:tr2bl w:val="nil"/>
                  </w:tcBorders>
                  <w:vAlign w:val="center"/>
                </w:tcPr>
                <w:p>
                  <w:pPr>
                    <w:autoSpaceDE w:val="0"/>
                    <w:autoSpaceDN w:val="0"/>
                    <w:adjustRightInd w:val="0"/>
                    <w:snapToGrid w:val="0"/>
                    <w:spacing w:line="240" w:lineRule="auto"/>
                    <w:ind w:left="0" w:leftChars="0" w:firstLine="0" w:firstLineChars="0"/>
                    <w:jc w:val="center"/>
                    <w:rPr>
                      <w:rFonts w:hint="default"/>
                      <w:sz w:val="21"/>
                      <w:szCs w:val="21"/>
                      <w:lang w:val="en-US" w:eastAsia="zh-CN"/>
                    </w:rPr>
                  </w:pPr>
                  <w:r>
                    <w:rPr>
                      <w:rFonts w:hint="default"/>
                      <w:sz w:val="21"/>
                      <w:szCs w:val="21"/>
                      <w:lang w:val="en-US" w:eastAsia="zh-CN"/>
                    </w:rPr>
                    <w:t>本项目按照《绿色地质勘查工作规范》要求，采用地质钻探等工作手段开展详查评价。通过运用高效、环保的方法、技术、设备等，在地质勘查各方面和全过程中减少或控制对生态环境的影响，开展绿色勘查，及时对开挖工程进行回填，最大限度减少人为破坏，减轻勘查活动对生态环境的扰动。</w:t>
                  </w:r>
                </w:p>
              </w:tc>
              <w:tc>
                <w:tcPr>
                  <w:tcW w:w="704" w:type="dxa"/>
                  <w:tcBorders>
                    <w:tl2br w:val="nil"/>
                    <w:tr2bl w:val="nil"/>
                  </w:tcBorders>
                  <w:vAlign w:val="center"/>
                </w:tcPr>
                <w:p>
                  <w:pPr>
                    <w:autoSpaceDE w:val="0"/>
                    <w:autoSpaceDN w:val="0"/>
                    <w:adjustRightInd w:val="0"/>
                    <w:snapToGrid w:val="0"/>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符合</w:t>
                  </w:r>
                </w:p>
              </w:tc>
            </w:tr>
          </w:tbl>
          <w:p>
            <w:pPr>
              <w:spacing w:line="240" w:lineRule="auto"/>
              <w:ind w:firstLine="0" w:firstLineChars="0"/>
              <w:jc w:val="center"/>
              <w:outlineLvl w:val="2"/>
              <w:rPr>
                <w:rFonts w:hint="eastAsia"/>
                <w:b/>
                <w:sz w:val="21"/>
                <w:szCs w:val="21"/>
              </w:rPr>
            </w:pPr>
            <w:r>
              <w:rPr>
                <w:rFonts w:hint="eastAsia"/>
                <w:b/>
                <w:sz w:val="21"/>
                <w:szCs w:val="21"/>
                <w:lang w:val="en-US" w:eastAsia="zh-CN"/>
              </w:rPr>
              <w:t>表1-3</w:t>
            </w:r>
            <w:r>
              <w:rPr>
                <w:rFonts w:hint="eastAsia"/>
                <w:b/>
                <w:sz w:val="21"/>
                <w:szCs w:val="21"/>
              </w:rPr>
              <w:t>与《新疆维吾尔自治区</w:t>
            </w:r>
            <w:r>
              <w:rPr>
                <w:rFonts w:hint="eastAsia"/>
                <w:b/>
                <w:sz w:val="21"/>
                <w:szCs w:val="21"/>
                <w:lang w:val="en-US" w:eastAsia="zh-CN"/>
              </w:rPr>
              <w:t>若羌县</w:t>
            </w:r>
            <w:r>
              <w:rPr>
                <w:rFonts w:hint="eastAsia"/>
                <w:b/>
                <w:sz w:val="21"/>
                <w:szCs w:val="21"/>
              </w:rPr>
              <w:t>矿产资源总体规划（2021～2025年）》相符性分析</w:t>
            </w:r>
          </w:p>
          <w:tbl>
            <w:tblPr>
              <w:tblStyle w:val="20"/>
              <w:tblW w:w="0" w:type="auto"/>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59"/>
              <w:gridCol w:w="2096"/>
              <w:gridCol w:w="7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规划内容</w:t>
                  </w:r>
                </w:p>
              </w:tc>
              <w:tc>
                <w:tcPr>
                  <w:tcW w:w="2102" w:type="dxa"/>
                  <w:tcBorders>
                    <w:tl2br w:val="nil"/>
                    <w:tr2bl w:val="nil"/>
                  </w:tcBorders>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本项目情况</w:t>
                  </w:r>
                </w:p>
              </w:tc>
              <w:tc>
                <w:tcPr>
                  <w:tcW w:w="704" w:type="dxa"/>
                  <w:tcBorders>
                    <w:tl2br w:val="nil"/>
                    <w:tr2bl w:val="nil"/>
                  </w:tcBorders>
                  <w:vAlign w:val="center"/>
                </w:tcPr>
                <w:p>
                  <w:pPr>
                    <w:spacing w:line="240" w:lineRule="auto"/>
                    <w:ind w:firstLine="0" w:firstLineChars="0"/>
                    <w:jc w:val="center"/>
                    <w:rPr>
                      <w:rFonts w:hint="eastAsia"/>
                      <w:sz w:val="21"/>
                      <w:szCs w:val="21"/>
                      <w:lang w:val="en-US" w:eastAsia="zh-CN"/>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3872" w:type="dxa"/>
                  <w:tcBorders>
                    <w:tl2br w:val="nil"/>
                    <w:tr2bl w:val="nil"/>
                  </w:tcBorders>
                  <w:vAlign w:val="center"/>
                </w:tcPr>
                <w:p>
                  <w:pPr>
                    <w:spacing w:line="240" w:lineRule="auto"/>
                    <w:ind w:left="0" w:leftChars="0" w:firstLine="0" w:firstLineChars="0"/>
                    <w:jc w:val="center"/>
                    <w:outlineLvl w:val="2"/>
                    <w:rPr>
                      <w:rFonts w:hint="eastAsia"/>
                      <w:b/>
                      <w:sz w:val="21"/>
                      <w:szCs w:val="21"/>
                      <w:vertAlign w:val="baseline"/>
                    </w:rPr>
                  </w:pPr>
                  <w:r>
                    <w:rPr>
                      <w:rFonts w:hint="eastAsia"/>
                      <w:sz w:val="21"/>
                      <w:szCs w:val="21"/>
                    </w:rPr>
                    <w:t>《新疆维吾尔自治区</w:t>
                  </w:r>
                  <w:r>
                    <w:rPr>
                      <w:rFonts w:hint="eastAsia"/>
                      <w:sz w:val="21"/>
                      <w:szCs w:val="21"/>
                      <w:lang w:val="en-US" w:eastAsia="zh-CN"/>
                    </w:rPr>
                    <w:t>若羌县</w:t>
                  </w:r>
                  <w:r>
                    <w:rPr>
                      <w:rFonts w:hint="eastAsia"/>
                      <w:sz w:val="21"/>
                      <w:szCs w:val="21"/>
                    </w:rPr>
                    <w:t>矿产资源总体规划（2021～2025年）》提出</w:t>
                  </w:r>
                  <w:r>
                    <w:rPr>
                      <w:rFonts w:hint="eastAsia"/>
                      <w:sz w:val="21"/>
                      <w:szCs w:val="21"/>
                      <w:lang w:val="en-US" w:eastAsia="zh-CN"/>
                    </w:rPr>
                    <w:t>重点勘查矿种：页岩气、煤、煤层气、地热等能源矿产，铁、铜、铅锌、镍、锡、金、银、锂、铍、铌、钽等金属矿产，钾盐、萤石、石英岩、脉石英等非金属矿产。</w:t>
                  </w:r>
                </w:p>
              </w:tc>
              <w:tc>
                <w:tcPr>
                  <w:tcW w:w="2102" w:type="dxa"/>
                  <w:tcBorders>
                    <w:tl2br w:val="nil"/>
                    <w:tr2bl w:val="nil"/>
                  </w:tcBorders>
                  <w:vAlign w:val="center"/>
                </w:tcPr>
                <w:p>
                  <w:pPr>
                    <w:spacing w:line="240" w:lineRule="auto"/>
                    <w:ind w:left="0" w:leftChars="0" w:firstLine="0" w:firstLineChars="0"/>
                    <w:jc w:val="center"/>
                    <w:outlineLvl w:val="2"/>
                    <w:rPr>
                      <w:rFonts w:hint="eastAsia"/>
                      <w:b/>
                      <w:sz w:val="21"/>
                      <w:szCs w:val="21"/>
                      <w:vertAlign w:val="baseline"/>
                    </w:rPr>
                  </w:pPr>
                  <w:r>
                    <w:rPr>
                      <w:rFonts w:hint="eastAsia"/>
                      <w:sz w:val="21"/>
                      <w:szCs w:val="21"/>
                      <w:lang w:val="en-US" w:eastAsia="zh-CN"/>
                    </w:rPr>
                    <w:t>本次地质勘探工作主要针对</w:t>
                  </w:r>
                  <w:r>
                    <w:rPr>
                      <w:rFonts w:hint="eastAsia"/>
                      <w:color w:val="000000"/>
                      <w:sz w:val="21"/>
                      <w:szCs w:val="21"/>
                    </w:rPr>
                    <w:t>铜</w:t>
                  </w:r>
                  <w:r>
                    <w:rPr>
                      <w:rFonts w:hint="eastAsia"/>
                      <w:color w:val="000000"/>
                      <w:sz w:val="21"/>
                      <w:szCs w:val="21"/>
                      <w:lang w:val="en-US" w:eastAsia="zh-CN"/>
                    </w:rPr>
                    <w:t>金</w:t>
                  </w:r>
                  <w:r>
                    <w:rPr>
                      <w:rFonts w:hint="eastAsia"/>
                      <w:color w:val="000000"/>
                      <w:sz w:val="21"/>
                      <w:szCs w:val="21"/>
                    </w:rPr>
                    <w:t>多金属矿</w:t>
                  </w:r>
                  <w:r>
                    <w:rPr>
                      <w:rFonts w:hint="eastAsia"/>
                      <w:sz w:val="21"/>
                      <w:szCs w:val="21"/>
                      <w:lang w:val="en-US" w:eastAsia="zh-CN"/>
                    </w:rPr>
                    <w:t>进行勘查，属于重点勘查矿种，符合《新疆维吾尔自治区若羌县矿产资源总体规划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w:t>
                  </w:r>
                  <w:r>
                    <w:rPr>
                      <w:rFonts w:hint="default"/>
                      <w:sz w:val="21"/>
                      <w:szCs w:val="21"/>
                      <w:lang w:val="en-US" w:eastAsia="zh-CN"/>
                    </w:rPr>
                    <w:t>)</w:t>
                  </w:r>
                  <w:r>
                    <w:rPr>
                      <w:rFonts w:hint="eastAsia"/>
                      <w:sz w:val="21"/>
                      <w:szCs w:val="21"/>
                      <w:lang w:val="en-US" w:eastAsia="zh-CN"/>
                    </w:rPr>
                    <w:t>》的要求。</w:t>
                  </w:r>
                </w:p>
              </w:tc>
              <w:tc>
                <w:tcPr>
                  <w:tcW w:w="704" w:type="dxa"/>
                  <w:tcBorders>
                    <w:tl2br w:val="nil"/>
                    <w:tr2bl w:val="nil"/>
                  </w:tcBorders>
                  <w:vAlign w:val="center"/>
                </w:tcPr>
                <w:p>
                  <w:pPr>
                    <w:spacing w:line="240" w:lineRule="auto"/>
                    <w:ind w:left="0" w:leftChars="0" w:firstLine="0" w:firstLineChars="0"/>
                    <w:jc w:val="center"/>
                    <w:outlineLvl w:val="2"/>
                    <w:rPr>
                      <w:rFonts w:hint="eastAsia"/>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left="0" w:leftChars="0" w:firstLine="0" w:firstLineChars="0"/>
                    <w:jc w:val="center"/>
                    <w:outlineLvl w:val="2"/>
                    <w:rPr>
                      <w:rFonts w:hint="eastAsia"/>
                      <w:b/>
                      <w:sz w:val="21"/>
                      <w:szCs w:val="21"/>
                      <w:vertAlign w:val="baseline"/>
                    </w:rPr>
                  </w:pPr>
                  <w:r>
                    <w:rPr>
                      <w:rFonts w:hint="eastAsia"/>
                      <w:sz w:val="21"/>
                      <w:szCs w:val="21"/>
                      <w:lang w:val="en-US" w:eastAsia="zh-CN"/>
                    </w:rPr>
                    <w:t>进一步完善矿山地质环境保护与治理管理体系，全面落实矿山地质环境保护与治理恢复责任制，强化矿业权人主体责任，依法履行矿山地质环境保护与土地复垦义务，严格落实矿山地质环境保护与土地复垦方案。新建、生产矿山地质环境实现“边开采、边治理”，加强对煤矿、金矿、铜矿、铁矿、钾盐矿、锂矿、玉石矿、石棉矿、水泥用石灰岩矿等矿山地质环境保护与治理规划执行情况的监督管理。加大露天矿山地质环境治理力度。完成若羌县城镇周边历史遗留废弃矿山、若羌县G315国道两侧历史遗留废弃矿山、库格铁路两侧60处历史遗留废弃矿山生态修复。</w:t>
                  </w:r>
                </w:p>
              </w:tc>
              <w:tc>
                <w:tcPr>
                  <w:tcW w:w="2102" w:type="dxa"/>
                  <w:tcBorders>
                    <w:tl2br w:val="nil"/>
                    <w:tr2bl w:val="nil"/>
                  </w:tcBorders>
                  <w:vAlign w:val="center"/>
                </w:tcPr>
                <w:p>
                  <w:pPr>
                    <w:spacing w:line="240" w:lineRule="auto"/>
                    <w:ind w:left="0" w:leftChars="0" w:firstLine="0" w:firstLineChars="0"/>
                    <w:jc w:val="center"/>
                    <w:outlineLvl w:val="2"/>
                    <w:rPr>
                      <w:rFonts w:hint="eastAsia"/>
                      <w:b/>
                      <w:sz w:val="21"/>
                      <w:szCs w:val="21"/>
                      <w:vertAlign w:val="baseline"/>
                    </w:rPr>
                  </w:pPr>
                  <w:r>
                    <w:rPr>
                      <w:rFonts w:hint="eastAsia"/>
                      <w:sz w:val="21"/>
                      <w:szCs w:val="21"/>
                      <w:lang w:val="en-US" w:eastAsia="zh-CN"/>
                    </w:rPr>
                    <w:t>本项目勘查期占地为生活营地以及勘探作业占地，属于临时占地。生活营地与勘探区人员活动会造成表层土壤过于紧实，降低土壤的通透性和渗水性，对后期植物的生长会造成不良影响。待项目勘探期结束后，拆除临时生活营地，恢复原有地貌。</w:t>
                  </w:r>
                </w:p>
              </w:tc>
              <w:tc>
                <w:tcPr>
                  <w:tcW w:w="704" w:type="dxa"/>
                  <w:tcBorders>
                    <w:tl2br w:val="nil"/>
                    <w:tr2bl w:val="nil"/>
                  </w:tcBorders>
                  <w:vAlign w:val="center"/>
                </w:tcPr>
                <w:p>
                  <w:pPr>
                    <w:spacing w:line="240" w:lineRule="auto"/>
                    <w:ind w:left="0" w:leftChars="0" w:firstLine="0" w:firstLineChars="0"/>
                    <w:jc w:val="center"/>
                    <w:outlineLvl w:val="2"/>
                    <w:rPr>
                      <w:rFonts w:hint="eastAsia"/>
                      <w:sz w:val="21"/>
                      <w:szCs w:val="21"/>
                      <w:lang w:val="en-US" w:eastAsia="zh-CN"/>
                    </w:rPr>
                  </w:pPr>
                  <w:r>
                    <w:rPr>
                      <w:rFonts w:hint="eastAsia"/>
                      <w:sz w:val="21"/>
                      <w:szCs w:val="21"/>
                      <w:lang w:val="en-US" w:eastAsia="zh-CN"/>
                    </w:rPr>
                    <w:t>符合</w:t>
                  </w:r>
                </w:p>
              </w:tc>
            </w:tr>
          </w:tbl>
          <w:p>
            <w:pPr>
              <w:spacing w:line="240" w:lineRule="auto"/>
              <w:ind w:firstLine="0" w:firstLineChars="0"/>
              <w:jc w:val="center"/>
              <w:outlineLvl w:val="2"/>
              <w:rPr>
                <w:rFonts w:hint="eastAsia"/>
                <w:b/>
                <w:sz w:val="21"/>
                <w:szCs w:val="21"/>
                <w:lang w:val="en-US" w:eastAsia="zh-CN"/>
              </w:rPr>
            </w:pPr>
            <w:r>
              <w:rPr>
                <w:rFonts w:hint="eastAsia"/>
                <w:b/>
                <w:sz w:val="21"/>
                <w:szCs w:val="21"/>
                <w:lang w:val="en-US" w:eastAsia="zh-CN"/>
              </w:rPr>
              <w:t>表1-4与《新疆维吾尔自治区矿产资源总体规划（2021—2025年）环境影响报告书》及审查意见的符合性分析</w:t>
            </w:r>
          </w:p>
          <w:tbl>
            <w:tblPr>
              <w:tblStyle w:val="20"/>
              <w:tblW w:w="0" w:type="auto"/>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152"/>
              <w:gridCol w:w="2865"/>
              <w:gridCol w:w="64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default"/>
                      <w:b/>
                      <w:sz w:val="21"/>
                      <w:szCs w:val="21"/>
                      <w:vertAlign w:val="baseline"/>
                      <w:lang w:val="en-US" w:eastAsia="zh-CN"/>
                    </w:rPr>
                  </w:pPr>
                  <w:r>
                    <w:rPr>
                      <w:rFonts w:hint="eastAsia"/>
                      <w:sz w:val="21"/>
                      <w:szCs w:val="21"/>
                      <w:lang w:val="en-US" w:eastAsia="zh-CN"/>
                    </w:rPr>
                    <w:t>规划内容</w:t>
                  </w:r>
                </w:p>
              </w:tc>
              <w:tc>
                <w:tcPr>
                  <w:tcW w:w="2102" w:type="dxa"/>
                  <w:tcBorders>
                    <w:tl2br w:val="nil"/>
                    <w:tr2bl w:val="nil"/>
                  </w:tcBorders>
                  <w:vAlign w:val="center"/>
                </w:tcPr>
                <w:p>
                  <w:pPr>
                    <w:spacing w:line="240" w:lineRule="auto"/>
                    <w:ind w:firstLine="0" w:firstLineChars="0"/>
                    <w:jc w:val="center"/>
                    <w:rPr>
                      <w:rFonts w:hint="default"/>
                      <w:b/>
                      <w:sz w:val="21"/>
                      <w:szCs w:val="21"/>
                      <w:vertAlign w:val="baseline"/>
                      <w:lang w:val="en-US" w:eastAsia="zh-CN"/>
                    </w:rPr>
                  </w:pPr>
                  <w:r>
                    <w:rPr>
                      <w:rFonts w:hint="eastAsia"/>
                      <w:sz w:val="21"/>
                      <w:szCs w:val="21"/>
                      <w:lang w:val="en-US" w:eastAsia="zh-CN"/>
                    </w:rPr>
                    <w:t>本项目情况</w:t>
                  </w:r>
                </w:p>
              </w:tc>
              <w:tc>
                <w:tcPr>
                  <w:tcW w:w="704" w:type="dxa"/>
                  <w:tcBorders>
                    <w:tl2br w:val="nil"/>
                    <w:tr2bl w:val="nil"/>
                  </w:tcBorders>
                  <w:vAlign w:val="center"/>
                </w:tcPr>
                <w:p>
                  <w:pPr>
                    <w:spacing w:line="240" w:lineRule="auto"/>
                    <w:ind w:firstLine="0" w:firstLineChars="0"/>
                    <w:jc w:val="center"/>
                    <w:rPr>
                      <w:rFonts w:hint="default"/>
                      <w:b/>
                      <w:sz w:val="21"/>
                      <w:szCs w:val="21"/>
                      <w:vertAlign w:val="baseline"/>
                      <w:lang w:val="en-US" w:eastAsia="zh-CN"/>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210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本项目不存在与自然保护区、森林公园、世界遗产地等空间重叠，项目区属于一般管控单元，符合生态保护红线要求。</w:t>
                  </w:r>
                </w:p>
              </w:tc>
              <w:tc>
                <w:tcPr>
                  <w:tcW w:w="704"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387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210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每个钻孔采用防渗膜塑料布及支架组装成简易沉淀池，每个规模为5m</w:t>
                  </w:r>
                  <w:r>
                    <w:rPr>
                      <w:rFonts w:hint="default"/>
                      <w:sz w:val="21"/>
                      <w:szCs w:val="21"/>
                      <w:vertAlign w:val="superscript"/>
                      <w:lang w:val="en-US" w:eastAsia="zh-CN"/>
                    </w:rPr>
                    <w:t>3</w:t>
                  </w:r>
                  <w:r>
                    <w:rPr>
                      <w:rFonts w:hint="default"/>
                      <w:sz w:val="21"/>
                      <w:szCs w:val="21"/>
                      <w:lang w:val="en-US" w:eastAsia="zh-CN"/>
                    </w:rPr>
                    <w:t>，生产废水经沉淀后循环使用；生活污水经化粪池处理后用于荒漠灌溉。不会影响区域水环境质量。</w:t>
                  </w:r>
                </w:p>
              </w:tc>
              <w:tc>
                <w:tcPr>
                  <w:tcW w:w="704"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审查意见中指出：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210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eastAsia"/>
                      <w:sz w:val="21"/>
                      <w:szCs w:val="21"/>
                      <w:lang w:val="en-US" w:eastAsia="zh-CN"/>
                    </w:rPr>
                    <w:t>本项目已取得所在区域的探矿权，</w:t>
                  </w:r>
                  <w:r>
                    <w:rPr>
                      <w:rFonts w:hint="default"/>
                      <w:sz w:val="21"/>
                      <w:szCs w:val="21"/>
                      <w:lang w:val="en-US" w:eastAsia="zh-CN"/>
                    </w:rPr>
                    <w:t>探矿证号：</w:t>
                  </w:r>
                  <w:r>
                    <w:rPr>
                      <w:rFonts w:hint="eastAsia"/>
                      <w:sz w:val="21"/>
                      <w:szCs w:val="21"/>
                      <w:lang w:val="en-US" w:eastAsia="zh-CN"/>
                    </w:rPr>
                    <w:t>T6500002008123010022949。项目涉及塔里木河国家级水土流失重点预防区，不涉及生物多样性保护优先区域、国家重点生态功能区、国家重要生态功能区、水源涵养区。符合审查意见相关要求。</w:t>
                  </w:r>
                </w:p>
              </w:tc>
              <w:tc>
                <w:tcPr>
                  <w:tcW w:w="704"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eastAsia"/>
                      <w:sz w:val="21"/>
                      <w:szCs w:val="21"/>
                      <w:lang w:val="en-US" w:eastAsia="zh-CN"/>
                    </w:rPr>
                    <w:t>符合</w:t>
                  </w:r>
                </w:p>
              </w:tc>
            </w:tr>
          </w:tbl>
          <w:p>
            <w:pPr>
              <w:autoSpaceDE w:val="0"/>
              <w:autoSpaceDN w:val="0"/>
              <w:adjustRightInd w:val="0"/>
              <w:snapToGrid w:val="0"/>
              <w:ind w:left="0" w:leftChars="0" w:firstLine="0" w:firstLineChars="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0" w:type="dxa"/>
            <w:vAlign w:val="center"/>
          </w:tcPr>
          <w:p>
            <w:pPr>
              <w:autoSpaceDE w:val="0"/>
              <w:autoSpaceDN w:val="0"/>
              <w:adjustRightInd w:val="0"/>
              <w:snapToGrid w:val="0"/>
              <w:spacing w:line="240" w:lineRule="auto"/>
              <w:ind w:firstLine="0" w:firstLineChars="0"/>
              <w:rPr>
                <w:kern w:val="0"/>
              </w:rPr>
            </w:pPr>
            <w:r>
              <w:rPr>
                <w:rFonts w:hint="eastAsia" w:ascii="宋体" w:hAnsi="宋体" w:cs="宋体"/>
                <w:kern w:val="0"/>
                <w:szCs w:val="21"/>
              </w:rPr>
              <w:t>其他符合性分析</w:t>
            </w:r>
          </w:p>
        </w:tc>
        <w:tc>
          <w:tcPr>
            <w:tcW w:w="8350" w:type="dxa"/>
            <w:gridSpan w:val="4"/>
          </w:tcPr>
          <w:p>
            <w:pPr>
              <w:pStyle w:val="15"/>
              <w:ind w:firstLine="482"/>
              <w:jc w:val="both"/>
            </w:pPr>
            <w:r>
              <w:t>1</w:t>
            </w:r>
            <w:r>
              <w:rPr>
                <w:rFonts w:hint="eastAsia"/>
              </w:rPr>
              <w:t>.</w:t>
            </w:r>
            <w:r>
              <w:t>产业政策符合性</w:t>
            </w:r>
          </w:p>
          <w:p>
            <w:pPr>
              <w:ind w:firstLine="480"/>
            </w:pPr>
            <w:r>
              <w:rPr>
                <w:rFonts w:hint="eastAsia"/>
                <w:snapToGrid w:val="0"/>
                <w:lang w:val="en-US" w:eastAsia="zh-CN"/>
              </w:rPr>
              <w:t>本项目为陆地矿产资源地质勘查项目，已取得所在区域的探矿权，探矿证号：T6500002008123010022949。</w:t>
            </w:r>
            <w:r>
              <w:rPr>
                <w:snapToGrid w:val="0"/>
              </w:rPr>
              <w:t>根据</w:t>
            </w:r>
            <w:r>
              <w:rPr>
                <w:rFonts w:ascii="宋体" w:hAnsi="宋体"/>
                <w:color w:val="000000"/>
                <w:szCs w:val="22"/>
              </w:rPr>
              <w:t>《产业结构调整指导目录（</w:t>
            </w:r>
            <w:r>
              <w:t>20</w:t>
            </w:r>
            <w:r>
              <w:rPr>
                <w:rFonts w:hint="eastAsia"/>
                <w:lang w:val="en-US" w:eastAsia="zh-CN"/>
              </w:rPr>
              <w:t>24</w:t>
            </w:r>
            <w:r>
              <w:t>年</w:t>
            </w:r>
            <w:r>
              <w:rPr>
                <w:rFonts w:ascii="宋体" w:hAnsi="宋体"/>
                <w:color w:val="000000"/>
                <w:szCs w:val="22"/>
              </w:rPr>
              <w:t>本）》</w:t>
            </w:r>
            <w:r>
              <w:rPr>
                <w:snapToGrid w:val="0"/>
              </w:rPr>
              <w:t>，</w:t>
            </w:r>
            <w:r>
              <w:rPr>
                <w:rFonts w:hint="eastAsia"/>
                <w:snapToGrid w:val="0"/>
              </w:rPr>
              <w:t>本项目为固体矿产地质勘探，不属于鼓励类、限制类、淘汰类项目，为允许类。</w:t>
            </w:r>
            <w:r>
              <w:rPr>
                <w:snapToGrid w:val="0"/>
              </w:rPr>
              <w:t>因此其建设符合国家产业政策要求。</w:t>
            </w:r>
            <w:r>
              <w:rPr>
                <w:rFonts w:hint="eastAsia"/>
                <w:snapToGrid w:val="0"/>
                <w:lang w:val="en-US" w:eastAsia="zh-CN"/>
              </w:rPr>
              <w:t>本项目为铜金多金属矿勘探项目，不在《新疆维吾尔自治区</w:t>
            </w:r>
            <w:r>
              <w:rPr>
                <w:rFonts w:hint="default"/>
                <w:snapToGrid w:val="0"/>
                <w:lang w:val="en-US" w:eastAsia="zh-CN"/>
              </w:rPr>
              <w:t>28</w:t>
            </w:r>
            <w:r>
              <w:rPr>
                <w:rFonts w:hint="eastAsia"/>
                <w:snapToGrid w:val="0"/>
                <w:lang w:val="en-US" w:eastAsia="zh-CN"/>
              </w:rPr>
              <w:t>个国家重点生态功能区县（市）产业准入负面清单（试行）》产业准入负面清单的禁止类和限制类中。综上所述，本项目符合产业政策。</w:t>
            </w:r>
          </w:p>
          <w:p>
            <w:pPr>
              <w:pStyle w:val="15"/>
              <w:ind w:firstLine="482"/>
              <w:jc w:val="both"/>
            </w:pPr>
            <w:r>
              <w:t>2</w:t>
            </w:r>
            <w:r>
              <w:rPr>
                <w:rFonts w:hint="eastAsia"/>
              </w:rPr>
              <w:t>.</w:t>
            </w:r>
            <w:r>
              <w:rPr>
                <w:rFonts w:hint="eastAsia"/>
                <w:lang w:eastAsia="zh-CN"/>
              </w:rPr>
              <w:t>生态环境分区管控</w:t>
            </w:r>
            <w:r>
              <w:t>符合性</w:t>
            </w:r>
          </w:p>
          <w:p>
            <w:pPr>
              <w:pStyle w:val="15"/>
              <w:ind w:firstLine="482"/>
              <w:jc w:val="both"/>
            </w:pPr>
            <w:r>
              <w:rPr>
                <w:rFonts w:hint="eastAsia" w:ascii="Times New Roman" w:hAnsi="Times New Roman" w:cs="Times New Roman"/>
                <w:b/>
                <w:bCs/>
                <w:sz w:val="24"/>
                <w:szCs w:val="32"/>
                <w:lang w:eastAsia="zh-CN"/>
              </w:rPr>
              <w:t>2.1《新疆维吾尔自治区生态环境分区管控方案》符合性分析</w:t>
            </w:r>
          </w:p>
          <w:p>
            <w:pPr>
              <w:ind w:firstLine="480"/>
            </w:pPr>
            <w:r>
              <w:rPr>
                <w:rFonts w:hint="eastAsia"/>
                <w:lang w:val="en-US" w:eastAsia="zh-CN"/>
              </w:rPr>
              <w:t>根据《关于印发〈新疆维吾尔自治区生态环境分区管控动态更新成果〉的通知》（新环环评发〔2024〕157号）。项目与自治区符合性分析见下表。</w:t>
            </w:r>
          </w:p>
          <w:p>
            <w:pPr>
              <w:pStyle w:val="28"/>
              <w:spacing w:before="120"/>
            </w:pPr>
            <w:r>
              <w:rPr>
                <w:rFonts w:hint="eastAsia"/>
              </w:rPr>
              <w:t>表</w:t>
            </w:r>
            <w:r>
              <w:t>1</w:t>
            </w:r>
            <w:r>
              <w:rPr>
                <w:rFonts w:hint="eastAsia"/>
                <w:lang w:val="en-US" w:eastAsia="zh-CN"/>
              </w:rPr>
              <w:t>-5</w:t>
            </w:r>
            <w:r>
              <w:rPr>
                <w:rFonts w:hint="eastAsia"/>
              </w:rPr>
              <w:t>与新疆维吾尔自治区</w:t>
            </w:r>
            <w:r>
              <w:rPr>
                <w:rFonts w:hint="eastAsia"/>
                <w:lang w:eastAsia="zh-CN"/>
              </w:rPr>
              <w:t>生态环境分区管控</w:t>
            </w:r>
            <w:r>
              <w:rPr>
                <w:rFonts w:hint="eastAsia"/>
              </w:rPr>
              <w:t>符合性分析</w:t>
            </w:r>
          </w:p>
          <w:tbl>
            <w:tblPr>
              <w:tblStyle w:val="19"/>
              <w:tblW w:w="497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331"/>
              <w:gridCol w:w="652"/>
              <w:gridCol w:w="5045"/>
              <w:gridCol w:w="1399"/>
              <w:gridCol w:w="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09" w:type="pct"/>
                  <w:gridSpan w:val="2"/>
                  <w:vAlign w:val="center"/>
                </w:tcPr>
                <w:p>
                  <w:pPr>
                    <w:pStyle w:val="26"/>
                    <w:rPr>
                      <w:rFonts w:hint="eastAsia" w:eastAsia="宋体"/>
                      <w:lang w:val="en-US" w:eastAsia="zh-CN"/>
                    </w:rPr>
                  </w:pPr>
                  <w:r>
                    <w:rPr>
                      <w:rFonts w:hint="eastAsia"/>
                      <w:lang w:val="en-US" w:eastAsia="zh-CN"/>
                    </w:rPr>
                    <w:t>管控维度</w:t>
                  </w:r>
                </w:p>
              </w:tc>
              <w:tc>
                <w:tcPr>
                  <w:tcW w:w="3126" w:type="pct"/>
                  <w:vAlign w:val="center"/>
                </w:tcPr>
                <w:p>
                  <w:pPr>
                    <w:pStyle w:val="26"/>
                  </w:pPr>
                  <w:r>
                    <w:rPr>
                      <w:rFonts w:hint="eastAsia"/>
                      <w:lang w:val="en-US" w:eastAsia="zh-CN"/>
                    </w:rPr>
                    <w:t>管控</w:t>
                  </w:r>
                  <w:r>
                    <w:rPr>
                      <w:rFonts w:hint="eastAsia"/>
                    </w:rPr>
                    <w:t>要求</w:t>
                  </w:r>
                </w:p>
              </w:tc>
              <w:tc>
                <w:tcPr>
                  <w:tcW w:w="867" w:type="pct"/>
                  <w:vAlign w:val="center"/>
                </w:tcPr>
                <w:p>
                  <w:pPr>
                    <w:pStyle w:val="26"/>
                    <w:rPr>
                      <w:rFonts w:hint="eastAsia" w:eastAsia="宋体"/>
                      <w:lang w:val="en-US" w:eastAsia="zh-CN"/>
                    </w:rPr>
                  </w:pPr>
                  <w:r>
                    <w:rPr>
                      <w:rFonts w:hint="eastAsia"/>
                    </w:rPr>
                    <w:t>本项目</w:t>
                  </w:r>
                  <w:r>
                    <w:rPr>
                      <w:rFonts w:hint="eastAsia"/>
                      <w:lang w:val="en-US" w:eastAsia="zh-CN"/>
                    </w:rPr>
                    <w:t>情况</w:t>
                  </w:r>
                </w:p>
              </w:tc>
              <w:tc>
                <w:tcPr>
                  <w:tcW w:w="396" w:type="pct"/>
                  <w:vAlign w:val="center"/>
                </w:tcPr>
                <w:p>
                  <w:pPr>
                    <w:pStyle w:val="26"/>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6"/>
                    <w:rPr>
                      <w:rFonts w:hint="default"/>
                      <w:lang w:val="en-US"/>
                    </w:rPr>
                  </w:pPr>
                  <w:r>
                    <w:rPr>
                      <w:rFonts w:hint="eastAsia"/>
                      <w:lang w:val="en-US" w:eastAsia="zh-CN"/>
                    </w:rPr>
                    <w:t>A1空间布局</w:t>
                  </w:r>
                </w:p>
              </w:tc>
              <w:tc>
                <w:tcPr>
                  <w:tcW w:w="404" w:type="pct"/>
                  <w:vMerge w:val="restart"/>
                  <w:vAlign w:val="center"/>
                </w:tcPr>
                <w:p>
                  <w:pPr>
                    <w:pStyle w:val="26"/>
                    <w:rPr>
                      <w:rFonts w:hint="default"/>
                      <w:lang w:val="en-US" w:eastAsia="zh-CN"/>
                    </w:rPr>
                  </w:pPr>
                  <w:r>
                    <w:rPr>
                      <w:rFonts w:hint="eastAsia"/>
                      <w:lang w:val="en-US" w:eastAsia="zh-CN"/>
                    </w:rPr>
                    <w:t>A1.1禁止开发建设的活动</w:t>
                  </w:r>
                </w:p>
              </w:tc>
              <w:tc>
                <w:tcPr>
                  <w:tcW w:w="3126" w:type="pct"/>
                  <w:vAlign w:val="top"/>
                </w:tcPr>
                <w:p>
                  <w:pPr>
                    <w:pStyle w:val="36"/>
                    <w:spacing w:before="10" w:line="263"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〔A1.1-1〕禁止新建、扩建《产业结构调整指导目录（2024年本）》中淘汰类项目。禁止引入《市场准入负面清单（2022年版）》禁止准入类事项。</w:t>
                  </w:r>
                </w:p>
              </w:tc>
              <w:tc>
                <w:tcPr>
                  <w:tcW w:w="867" w:type="pct"/>
                  <w:vMerge w:val="restart"/>
                  <w:vAlign w:val="center"/>
                </w:tcPr>
                <w:p>
                  <w:pPr>
                    <w:pStyle w:val="26"/>
                    <w:rPr>
                      <w:rFonts w:hint="default" w:eastAsia="宋体"/>
                      <w:lang w:val="en-US" w:eastAsia="zh-CN"/>
                    </w:rPr>
                  </w:pPr>
                  <w:r>
                    <w:rPr>
                      <w:rFonts w:hint="eastAsia"/>
                      <w:lang w:val="en-US" w:eastAsia="zh-CN"/>
                    </w:rPr>
                    <w:t>本项目为陆地矿产资源地质勘查项目</w:t>
                  </w:r>
                  <w:r>
                    <w:rPr>
                      <w:rStyle w:val="23"/>
                      <w:rFonts w:hint="eastAsia"/>
                      <w:lang w:val="en-US" w:eastAsia="zh-CN"/>
                    </w:rPr>
                    <w:t>，属于《产业结构调整指导目录(2024年本)》鼓励类项目，不属于《市场准入负面清单(2022年版)》禁止准入类事项，项目区不涉及湿地。</w:t>
                  </w:r>
                </w:p>
              </w:tc>
              <w:tc>
                <w:tcPr>
                  <w:tcW w:w="396" w:type="pct"/>
                  <w:vAlign w:val="center"/>
                </w:tcPr>
                <w:p>
                  <w:pPr>
                    <w:pStyle w:val="26"/>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12" w:line="243" w:lineRule="auto"/>
                    <w:ind w:left="0" w:leftChars="0" w:right="3"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〔A1.1-2〕禁止建设不符合国家和自治区环境保护标准的项目。</w:t>
                  </w:r>
                </w:p>
              </w:tc>
              <w:tc>
                <w:tcPr>
                  <w:tcW w:w="867" w:type="pct"/>
                  <w:vMerge w:val="continue"/>
                  <w:vAlign w:val="center"/>
                </w:tcPr>
                <w:p>
                  <w:pPr>
                    <w:pStyle w:val="26"/>
                  </w:pP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14" w:line="259" w:lineRule="auto"/>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〔A1.1-3〕禁止在饮用水水源保护区、风景名胜区、自然保护区的核心区和缓冲区、城镇居民区、文化教育科学研究区等人口集中区域以及法律法规规定的其他禁止养殖区域建设畜禽养殖场、养殖小区。</w:t>
                  </w:r>
                </w:p>
              </w:tc>
              <w:tc>
                <w:tcPr>
                  <w:tcW w:w="867" w:type="pct"/>
                  <w:vMerge w:val="continue"/>
                  <w:vAlign w:val="center"/>
                </w:tcPr>
                <w:p>
                  <w:pPr>
                    <w:pStyle w:val="26"/>
                  </w:pP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16" w:line="246"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〔A1.1-4〕禁止在水源涵养区、地下水源、饮用水源、自然保护区、风景名胜区、森林公园、重要湿地及人群密集区等生态敏感区域内进行煤炭、石油、天然气开发。</w:t>
                  </w:r>
                </w:p>
              </w:tc>
              <w:tc>
                <w:tcPr>
                  <w:tcW w:w="867" w:type="pct"/>
                  <w:vMerge w:val="continue"/>
                  <w:vAlign w:val="center"/>
                </w:tcPr>
                <w:p>
                  <w:pPr>
                    <w:pStyle w:val="26"/>
                  </w:pP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17" w:line="259" w:lineRule="auto"/>
                    <w:ind w:left="0" w:leftChars="0" w:right="1"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-5〕禁止下列破坏湿地及其生态功能的行为：（一）开（围）垦、排干自然湿地，永久性截断自然湿地水源；（二）擅自填埋自然湿地，擅自采砂、采矿、取土；（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w:t>
                  </w:r>
                </w:p>
              </w:tc>
              <w:tc>
                <w:tcPr>
                  <w:tcW w:w="867" w:type="pct"/>
                  <w:vMerge w:val="continue"/>
                  <w:vAlign w:val="center"/>
                </w:tcPr>
                <w:p>
                  <w:pPr>
                    <w:pStyle w:val="26"/>
                  </w:pP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5" w:line="258"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-6〕禁止在自治区行政区域内引进能（水）耗不符合相关国家标准中准入值要求且污染物排放和环境风险防控不符合国家（地方）标准及有关产业准入条件的高污染（排放）、高能（水）耗、高环境风险的工业项目。</w:t>
                  </w:r>
                </w:p>
              </w:tc>
              <w:tc>
                <w:tcPr>
                  <w:tcW w:w="867" w:type="pct"/>
                  <w:vMerge w:val="restart"/>
                  <w:vAlign w:val="center"/>
                </w:tcPr>
                <w:p>
                  <w:pPr>
                    <w:pStyle w:val="26"/>
                    <w:rPr>
                      <w:rFonts w:hint="default" w:eastAsia="宋体"/>
                      <w:lang w:val="en-US" w:eastAsia="zh-CN"/>
                    </w:rPr>
                  </w:pPr>
                  <w:r>
                    <w:rPr>
                      <w:rFonts w:hint="eastAsia"/>
                      <w:lang w:val="en-US" w:eastAsia="zh-CN"/>
                    </w:rPr>
                    <w:t>本项目不属于工业项目，不涉及危险化学品、不涉及重金属。</w:t>
                  </w: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12"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-7〕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厂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867" w:type="pct"/>
                  <w:vMerge w:val="continue"/>
                  <w:vAlign w:val="center"/>
                </w:tcPr>
                <w:p>
                  <w:pPr>
                    <w:pStyle w:val="26"/>
                  </w:pP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1" w:line="250" w:lineRule="auto"/>
                    <w:ind w:left="0" w:leftChars="0" w:firstLine="0" w:firstLineChars="0"/>
                    <w:jc w:val="both"/>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〔A1.1-8〕严格执行危险化学品“禁限控”目录，新建危险化学品生产项目必须进入一般或较低安全风险的化工园区（与其他行业生产装置配套建设的项目除外），引导其他石化化工项目在化工园区发展。</w:t>
                  </w:r>
                  <w:r>
                    <w:rPr>
                      <w:rFonts w:hint="eastAsia" w:ascii="Times New Roman" w:hAnsi="Times New Roman" w:cs="Times New Roman"/>
                      <w:kern w:val="2"/>
                      <w:sz w:val="21"/>
                      <w:szCs w:val="22"/>
                      <w:lang w:val="en-US" w:eastAsia="zh-CN" w:bidi="ar-SA"/>
                    </w:rPr>
                    <w:t xml:space="preserve">   </w:t>
                  </w:r>
                </w:p>
              </w:tc>
              <w:tc>
                <w:tcPr>
                  <w:tcW w:w="867" w:type="pct"/>
                  <w:vMerge w:val="continue"/>
                  <w:vAlign w:val="center"/>
                </w:tcPr>
                <w:p>
                  <w:pPr>
                    <w:pStyle w:val="26"/>
                  </w:pP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7"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-9〕严禁新建自治区《禁止、控制和限制危险化学品目录》中淘汰类、禁止类危险化学品化工项目。严格执行生态保护红线、永久基本农田管控要求，禁止新（改、扩）建化工项目违规占用生态保护红线和永久基本农田。在塔里木河、伊犁河、额尔齐斯河干流及主要支流岸线1公里范围内，除提升安全、环保、节能、智能化、产品质量水平的技术改造项目外，严格禁止新建、扩建化工项目，不得布局新的化工园区（含化工集中区）。</w:t>
                  </w:r>
                </w:p>
              </w:tc>
              <w:tc>
                <w:tcPr>
                  <w:tcW w:w="867" w:type="pct"/>
                  <w:vMerge w:val="continue"/>
                  <w:vAlign w:val="center"/>
                </w:tcPr>
                <w:p>
                  <w:pPr>
                    <w:pStyle w:val="26"/>
                  </w:pP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-10〕推动涉重金属产业集中优化发展，禁止新建用汞的电石法（聚）氯乙烯生产工艺，新建、扩建的重有色金属冶炼、电镀、制革企业优先选择布设在依法合规设立并依法开展规划环境影响评价的产业园区。</w:t>
                  </w:r>
                </w:p>
              </w:tc>
              <w:tc>
                <w:tcPr>
                  <w:tcW w:w="867" w:type="pct"/>
                  <w:vMerge w:val="continue"/>
                  <w:vAlign w:val="center"/>
                </w:tcPr>
                <w:p>
                  <w:pPr>
                    <w:pStyle w:val="26"/>
                  </w:pPr>
                </w:p>
              </w:tc>
              <w:tc>
                <w:tcPr>
                  <w:tcW w:w="396" w:type="pct"/>
                  <w:vAlign w:val="center"/>
                </w:tcPr>
                <w:p>
                  <w:pPr>
                    <w:pStyle w:val="26"/>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-11〕国务院有关部门和青藏高原县级以上地方人民政府应当建立健全青藏高原雪山冰川冻土保护制度，加强对雪山冰川冻土的监测预警和系统保护。青藏高原省级人民政府应当将大型冰帽冰川、小规模冰川群等划入生态保护红线，对重要雪山冰川实施封禁保护，采取有效措施，严格控制人为扰动。青藏高原省级人民政府应当划定冻土区保护范围，加强对多年冻土区和中深季节冻土区的保护，严格控制多年冻土区资源开发，严格审批多年冻土区城镇规划和交通、管线、输变电等重大工程项目。青藏高原省级人民政府应当开展雪山冰川冻土与周边生态系统的协同保护，维持有利于雪山冰川冻土保护的自然生态环境。</w:t>
                  </w:r>
                </w:p>
              </w:tc>
              <w:tc>
                <w:tcPr>
                  <w:tcW w:w="867" w:type="pct"/>
                  <w:vAlign w:val="center"/>
                </w:tcPr>
                <w:p>
                  <w:pPr>
                    <w:pStyle w:val="26"/>
                    <w:rPr>
                      <w:rFonts w:hint="default" w:eastAsia="宋体"/>
                      <w:lang w:val="en-US" w:eastAsia="zh-CN"/>
                    </w:rPr>
                  </w:pPr>
                  <w:r>
                    <w:rPr>
                      <w:rFonts w:hint="eastAsia"/>
                      <w:lang w:val="en-US" w:eastAsia="zh-CN"/>
                    </w:rPr>
                    <w:t>本项目位于青藏高原北缘，不涉及生态保护红线。</w:t>
                  </w:r>
                </w:p>
              </w:tc>
              <w:tc>
                <w:tcPr>
                  <w:tcW w:w="396" w:type="pct"/>
                  <w:vAlign w:val="center"/>
                </w:tcPr>
                <w:p>
                  <w:pPr>
                    <w:pStyle w:val="26"/>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restart"/>
                  <w:vAlign w:val="center"/>
                </w:tcPr>
                <w:p>
                  <w:pPr>
                    <w:pStyle w:val="26"/>
                    <w:rPr>
                      <w:rFonts w:hint="default" w:eastAsia="宋体"/>
                      <w:lang w:val="en-US" w:eastAsia="zh-CN"/>
                    </w:rPr>
                  </w:pPr>
                  <w:r>
                    <w:rPr>
                      <w:rFonts w:hint="eastAsia"/>
                      <w:lang w:val="en-US" w:eastAsia="zh-CN"/>
                    </w:rPr>
                    <w:t>A2.1限制开发建设的活动</w:t>
                  </w:r>
                </w:p>
              </w:tc>
              <w:tc>
                <w:tcPr>
                  <w:tcW w:w="3126" w:type="pct"/>
                  <w:vAlign w:val="top"/>
                </w:tcPr>
                <w:p>
                  <w:pPr>
                    <w:pStyle w:val="36"/>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〔A1.2-1〕严格控制缺水地区、水污染严重区域和敏感区域高耗水、高污染行业发展。</w:t>
                  </w:r>
                </w:p>
              </w:tc>
              <w:tc>
                <w:tcPr>
                  <w:tcW w:w="867" w:type="pct"/>
                  <w:vAlign w:val="center"/>
                </w:tcPr>
                <w:p>
                  <w:pPr>
                    <w:pStyle w:val="26"/>
                    <w:rPr>
                      <w:rFonts w:hint="default"/>
                      <w:lang w:val="en-US" w:eastAsia="zh-CN"/>
                    </w:rPr>
                  </w:pPr>
                  <w:r>
                    <w:rPr>
                      <w:rFonts w:hint="eastAsia"/>
                      <w:lang w:val="en-US" w:eastAsia="zh-CN"/>
                    </w:rPr>
                    <w:t>本项目不属于水污染严重区域和敏感区域高耗水、高污染行业发展。</w:t>
                  </w:r>
                </w:p>
              </w:tc>
              <w:tc>
                <w:tcPr>
                  <w:tcW w:w="396" w:type="pct"/>
                  <w:vAlign w:val="center"/>
                </w:tcPr>
                <w:p>
                  <w:pPr>
                    <w:pStyle w:val="26"/>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5" w:line="257"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867" w:type="pct"/>
                  <w:vAlign w:val="center"/>
                </w:tcPr>
                <w:p>
                  <w:pPr>
                    <w:pStyle w:val="26"/>
                    <w:rPr>
                      <w:rFonts w:hint="default"/>
                      <w:lang w:val="en-US" w:eastAsia="zh-CN"/>
                    </w:rPr>
                  </w:pPr>
                  <w:r>
                    <w:rPr>
                      <w:rFonts w:hint="eastAsia"/>
                      <w:lang w:val="en-US" w:eastAsia="zh-CN"/>
                    </w:rPr>
                    <w:t>本项目不占用耕地、林地</w:t>
                  </w:r>
                </w:p>
              </w:tc>
              <w:tc>
                <w:tcPr>
                  <w:tcW w:w="396" w:type="pct"/>
                  <w:vAlign w:val="center"/>
                </w:tcPr>
                <w:p>
                  <w:pPr>
                    <w:pStyle w:val="26"/>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1"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pStyle w:val="26"/>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〔A1.2-4〕严格控制建设项目占用湿地。因国家和自治区重点建设工程、基础设施建设，以及重点公益性项目建设，确需占用湿地的，应当按照有关法律法规规定的权限和程序办理批准手续。</w:t>
                  </w:r>
                </w:p>
              </w:tc>
              <w:tc>
                <w:tcPr>
                  <w:tcW w:w="867" w:type="pct"/>
                  <w:vAlign w:val="center"/>
                </w:tcPr>
                <w:p>
                  <w:pPr>
                    <w:pStyle w:val="26"/>
                    <w:rPr>
                      <w:rFonts w:hint="default"/>
                      <w:lang w:val="en-US" w:eastAsia="zh-CN"/>
                    </w:rPr>
                  </w:pPr>
                  <w:r>
                    <w:rPr>
                      <w:rFonts w:hint="eastAsia"/>
                      <w:lang w:val="en-US" w:eastAsia="zh-CN"/>
                    </w:rPr>
                    <w:t>本项目不占用湿地</w:t>
                  </w:r>
                </w:p>
              </w:tc>
              <w:tc>
                <w:tcPr>
                  <w:tcW w:w="396" w:type="pct"/>
                  <w:vAlign w:val="center"/>
                </w:tcPr>
                <w:p>
                  <w:pPr>
                    <w:pStyle w:val="26"/>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2" w:line="249"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〔A1.2-5〕严格管控自然保护地范围内非生态活动，稳妥推进核心区内居民、耕地有序退出，矿权依法依规退出。</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pStyle w:val="26"/>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restart"/>
                  <w:vAlign w:val="center"/>
                </w:tcPr>
                <w:p>
                  <w:pPr>
                    <w:pStyle w:val="26"/>
                    <w:rPr>
                      <w:rFonts w:hint="default" w:eastAsia="宋体"/>
                      <w:lang w:val="en-US" w:eastAsia="zh-CN"/>
                    </w:rPr>
                  </w:pPr>
                  <w:r>
                    <w:rPr>
                      <w:rFonts w:hint="eastAsia"/>
                      <w:lang w:val="en-US" w:eastAsia="zh-CN"/>
                    </w:rPr>
                    <w:t>A1.3不符合空间布局要求活动的退出要求</w:t>
                  </w:r>
                </w:p>
              </w:tc>
              <w:tc>
                <w:tcPr>
                  <w:tcW w:w="3126" w:type="pct"/>
                  <w:vAlign w:val="top"/>
                </w:tcPr>
                <w:p>
                  <w:pPr>
                    <w:pStyle w:val="36"/>
                    <w:spacing w:before="5" w:line="249" w:lineRule="auto"/>
                    <w:ind w:left="0" w:leftChars="0" w:right="1"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〔A1.3-1〕任何单位和个人不得在水源涵养区、饮用水水源保护区内和河流、湖泊、水库周围建设重化工、涉重金属等工业污染项目；对已建成的工业污染项目，当地人民政府应当组织限期搬迁。</w:t>
                  </w:r>
                </w:p>
              </w:tc>
              <w:tc>
                <w:tcPr>
                  <w:tcW w:w="867" w:type="pct"/>
                  <w:vAlign w:val="center"/>
                </w:tcPr>
                <w:p>
                  <w:pPr>
                    <w:pStyle w:val="26"/>
                    <w:rPr>
                      <w:rFonts w:hint="default"/>
                      <w:lang w:val="en-US" w:eastAsia="zh-CN"/>
                    </w:rPr>
                  </w:pPr>
                  <w:r>
                    <w:rPr>
                      <w:rFonts w:hint="eastAsia"/>
                      <w:lang w:val="en-US" w:eastAsia="zh-CN"/>
                    </w:rPr>
                    <w:t>本项目为陆地矿产资源地质勘查项目，不属于高污染项目</w:t>
                  </w:r>
                </w:p>
              </w:tc>
              <w:tc>
                <w:tcPr>
                  <w:tcW w:w="396" w:type="pct"/>
                  <w:vAlign w:val="center"/>
                </w:tcPr>
                <w:p>
                  <w:pPr>
                    <w:pStyle w:val="26"/>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3" w:line="256" w:lineRule="auto"/>
                    <w:ind w:left="0" w:leftChars="0" w:right="8"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〔A1.3-2〕对不符合国家产业政策、严重污染水环境的生产项目全部予以取缔。</w:t>
                  </w:r>
                </w:p>
              </w:tc>
              <w:tc>
                <w:tcPr>
                  <w:tcW w:w="867" w:type="pct"/>
                  <w:vAlign w:val="center"/>
                </w:tcPr>
                <w:p>
                  <w:pPr>
                    <w:pStyle w:val="26"/>
                    <w:rPr>
                      <w:rFonts w:hint="default"/>
                      <w:lang w:val="en-US" w:eastAsia="zh-CN"/>
                    </w:rPr>
                  </w:pPr>
                  <w:r>
                    <w:rPr>
                      <w:rFonts w:hint="eastAsia"/>
                      <w:lang w:val="en-US" w:eastAsia="zh-CN"/>
                    </w:rPr>
                    <w:t>本项目不属于高污染项目</w:t>
                  </w:r>
                </w:p>
              </w:tc>
              <w:tc>
                <w:tcPr>
                  <w:tcW w:w="396" w:type="pct"/>
                  <w:vAlign w:val="center"/>
                </w:tcPr>
                <w:p>
                  <w:pPr>
                    <w:pStyle w:val="26"/>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pStyle w:val="26"/>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〔A1.3-4〕城市建成区、重点流域内已建成投产化工企业和危险化学品生产企业应加快退城入园，搬入化工园区前企业不应实施改扩建工程扩大生产规模。</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pStyle w:val="26"/>
                    <w:rPr>
                      <w:rFonts w:hint="default"/>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restart"/>
                  <w:vAlign w:val="center"/>
                </w:tcPr>
                <w:p>
                  <w:pPr>
                    <w:pStyle w:val="26"/>
                    <w:rPr>
                      <w:rFonts w:hint="default" w:eastAsia="宋体"/>
                      <w:lang w:val="en-US" w:eastAsia="zh-CN"/>
                    </w:rPr>
                  </w:pPr>
                  <w:r>
                    <w:rPr>
                      <w:rFonts w:hint="eastAsia"/>
                      <w:lang w:val="en-US" w:eastAsia="zh-CN"/>
                    </w:rPr>
                    <w:t>A1.4其他布局要求</w:t>
                  </w:r>
                </w:p>
              </w:tc>
              <w:tc>
                <w:tcPr>
                  <w:tcW w:w="3126" w:type="pct"/>
                  <w:vAlign w:val="top"/>
                </w:tcPr>
                <w:p>
                  <w:pPr>
                    <w:pStyle w:val="36"/>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867" w:type="pct"/>
                  <w:vAlign w:val="center"/>
                </w:tcPr>
                <w:p>
                  <w:pPr>
                    <w:pStyle w:val="2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〔A1.4-2〕新建、扩建石化、化工、焦化、有色金属冶炼、平板玻璃项目应布设在依法合规设立并经规划环评的产业园区。</w:t>
                  </w:r>
                </w:p>
              </w:tc>
              <w:tc>
                <w:tcPr>
                  <w:tcW w:w="867" w:type="pct"/>
                  <w:vAlign w:val="center"/>
                </w:tcPr>
                <w:p>
                  <w:pPr>
                    <w:pStyle w:val="2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pPr>
                </w:p>
              </w:tc>
              <w:tc>
                <w:tcPr>
                  <w:tcW w:w="404" w:type="pct"/>
                  <w:vMerge w:val="continue"/>
                  <w:vAlign w:val="center"/>
                </w:tcPr>
                <w:p>
                  <w:pPr>
                    <w:pStyle w:val="26"/>
                  </w:pPr>
                </w:p>
              </w:tc>
              <w:tc>
                <w:tcPr>
                  <w:tcW w:w="3126" w:type="pct"/>
                  <w:vAlign w:val="top"/>
                </w:tcPr>
                <w:p>
                  <w:pPr>
                    <w:pStyle w:val="36"/>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867" w:type="pct"/>
                  <w:vAlign w:val="center"/>
                </w:tcPr>
                <w:p>
                  <w:pPr>
                    <w:pStyle w:val="2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6"/>
                    <w:rPr>
                      <w:rFonts w:hint="default" w:eastAsia="宋体"/>
                      <w:lang w:val="en-US" w:eastAsia="zh-CN"/>
                    </w:rPr>
                  </w:pPr>
                  <w:r>
                    <w:rPr>
                      <w:rFonts w:hint="eastAsia"/>
                      <w:lang w:val="en-US" w:eastAsia="zh-CN"/>
                    </w:rPr>
                    <w:t>A2污染物排放管控</w:t>
                  </w:r>
                </w:p>
              </w:tc>
              <w:tc>
                <w:tcPr>
                  <w:tcW w:w="404" w:type="pct"/>
                  <w:vMerge w:val="restart"/>
                  <w:vAlign w:val="center"/>
                </w:tcPr>
                <w:p>
                  <w:pPr>
                    <w:pStyle w:val="26"/>
                    <w:rPr>
                      <w:rFonts w:hint="default" w:eastAsia="宋体"/>
                      <w:lang w:val="en-US" w:eastAsia="zh-CN"/>
                    </w:rPr>
                  </w:pPr>
                  <w:r>
                    <w:rPr>
                      <w:rFonts w:hint="eastAsia"/>
                      <w:lang w:val="en-US" w:eastAsia="zh-CN"/>
                    </w:rPr>
                    <w:t>A2.1污染物削减/代替要求</w:t>
                  </w:r>
                </w:p>
              </w:tc>
              <w:tc>
                <w:tcPr>
                  <w:tcW w:w="3126" w:type="pct"/>
                  <w:vAlign w:val="top"/>
                </w:tcPr>
                <w:p>
                  <w:pPr>
                    <w:pStyle w:val="36"/>
                    <w:spacing w:before="6"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-1〕新、改、扩建重点行业建设项目应符合“三线一单”、产业政策、区域环评、规划环评和行业环境准入管控要求。重点区域的新、改、扩建重点行业建设项目应遵循重点重金属污染物排放“减量替代”原则。</w:t>
                  </w:r>
                </w:p>
              </w:tc>
              <w:tc>
                <w:tcPr>
                  <w:tcW w:w="867" w:type="pct"/>
                  <w:vAlign w:val="center"/>
                </w:tcPr>
                <w:p>
                  <w:pPr>
                    <w:pStyle w:val="26"/>
                    <w:rPr>
                      <w:rFonts w:hint="default"/>
                      <w:lang w:val="en-US" w:eastAsia="zh-CN"/>
                    </w:rPr>
                  </w:pPr>
                  <w:r>
                    <w:rPr>
                      <w:rFonts w:hint="eastAsia"/>
                      <w:lang w:val="en-US" w:eastAsia="zh-CN"/>
                    </w:rPr>
                    <w:t>本项目符合若羌县国土规划要求，项目不涉及总量指标</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4" w:line="249"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〔A2.1-2〕以石化、化工、涂装、医药、包装印刷、油品储运销等行业领域为重点，安全高效推进挥发性有机物综合治理，实施原辅材料和产品源头替代工程。</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6"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26"/>
                    <w:rPr>
                      <w:rFonts w:hint="eastAsia"/>
                      <w:lang w:val="en-US" w:eastAsia="zh-CN"/>
                    </w:rPr>
                  </w:pPr>
                  <w:r>
                    <w:rPr>
                      <w:rFonts w:hint="eastAsia"/>
                      <w:lang w:val="en-US" w:eastAsia="zh-CN"/>
                    </w:rPr>
                    <w:t>勘探过程中产生的粉尘通过洒水抑尘的方式降低排放，对环境空气质量影响较小。</w:t>
                  </w:r>
                  <w:r>
                    <w:rPr>
                      <w:rFonts w:hint="eastAsia" w:ascii="宋体" w:hAnsi="宋体"/>
                      <w:snapToGrid w:val="0"/>
                      <w:color w:val="000000"/>
                      <w:kern w:val="0"/>
                      <w:sz w:val="21"/>
                      <w:szCs w:val="21"/>
                    </w:rPr>
                    <w:t>施工营地内设置一定数量的垃圾桶，施工中产生的废料、生活垃圾、钻孔</w:t>
                  </w:r>
                  <w:r>
                    <w:rPr>
                      <w:rFonts w:hint="eastAsia" w:ascii="宋体" w:hAnsi="宋体"/>
                      <w:snapToGrid w:val="0"/>
                      <w:color w:val="000000"/>
                      <w:kern w:val="0"/>
                      <w:sz w:val="21"/>
                      <w:szCs w:val="21"/>
                      <w:lang w:val="en-US" w:eastAsia="zh-CN"/>
                    </w:rPr>
                    <w:t>岩屑、废包装物</w:t>
                  </w:r>
                  <w:r>
                    <w:rPr>
                      <w:rFonts w:hint="eastAsia" w:ascii="宋体" w:hAnsi="宋体"/>
                      <w:snapToGrid w:val="0"/>
                      <w:color w:val="000000"/>
                      <w:kern w:val="0"/>
                      <w:sz w:val="21"/>
                      <w:szCs w:val="21"/>
                    </w:rPr>
                    <w:t>等固体废物及时清理，分类存储，回收利用，定期进行现场处置及外运。</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3" w:line="256" w:lineRule="auto"/>
                    <w:ind w:left="0" w:leftChars="0" w:right="193"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-4〕严控建材、铸造、冶炼等行业无组织排放，推进石化、化工、涂装、医药、包装印刷、油品储运销等行业项目挥发性有机物（VOCs）防治。严格有色金属冶炼、石油加工、化工、焦化等行业项目的土壤、地下水污染防治措施要求。推进工业园区和企业集群建设涉VOCs“绿岛”项目，统筹规划建设一批集中涂装中心、活性炭集中处理中心、溶剂回收中心等，实现VOCs集中高效处理。</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restart"/>
                  <w:vAlign w:val="center"/>
                </w:tcPr>
                <w:p>
                  <w:pPr>
                    <w:pStyle w:val="26"/>
                    <w:rPr>
                      <w:rFonts w:hint="default"/>
                      <w:lang w:val="en-US" w:eastAsia="zh-CN"/>
                    </w:rPr>
                  </w:pPr>
                  <w:r>
                    <w:rPr>
                      <w:rFonts w:hint="eastAsia"/>
                      <w:lang w:val="en-US" w:eastAsia="zh-CN"/>
                    </w:rPr>
                    <w:t>A2.2污染控制措施要求</w:t>
                  </w:r>
                </w:p>
              </w:tc>
              <w:tc>
                <w:tcPr>
                  <w:tcW w:w="3126" w:type="pct"/>
                  <w:vAlign w:val="top"/>
                </w:tcPr>
                <w:p>
                  <w:pPr>
                    <w:pStyle w:val="36"/>
                    <w:spacing w:before="8"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〔A2.2-4〕强化用水定额管理。推进地下水超采综合治理。开展河湖生态流量（水量）确定工作，强化生态用水保障。</w:t>
                  </w:r>
                </w:p>
              </w:tc>
              <w:tc>
                <w:tcPr>
                  <w:tcW w:w="867" w:type="pct"/>
                  <w:vAlign w:val="center"/>
                </w:tcPr>
                <w:p>
                  <w:pPr>
                    <w:pStyle w:val="26"/>
                    <w:rPr>
                      <w:rFonts w:hint="default"/>
                      <w:lang w:val="en-US" w:eastAsia="zh-CN"/>
                    </w:rPr>
                  </w:pPr>
                  <w:r>
                    <w:rPr>
                      <w:rFonts w:hint="eastAsia"/>
                      <w:lang w:val="en-US" w:eastAsia="zh-CN"/>
                    </w:rPr>
                    <w:t>本项目不采用地下水</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867" w:type="pct"/>
                  <w:vAlign w:val="center"/>
                </w:tcPr>
                <w:p>
                  <w:pPr>
                    <w:pStyle w:val="26"/>
                    <w:rPr>
                      <w:rFonts w:hint="eastAsia"/>
                      <w:lang w:val="en-US" w:eastAsia="zh-CN"/>
                    </w:rPr>
                  </w:pPr>
                  <w:r>
                    <w:rPr>
                      <w:rFonts w:hint="eastAsia"/>
                      <w:lang w:val="en-US" w:eastAsia="zh-CN"/>
                    </w:rPr>
                    <w:t>本项目每个钻孔采用防渗膜塑料布及支架组装成简易沉淀池，每个规模为5m</w:t>
                  </w:r>
                  <w:r>
                    <w:rPr>
                      <w:rFonts w:hint="eastAsia"/>
                      <w:vertAlign w:val="superscript"/>
                      <w:lang w:val="en-US" w:eastAsia="zh-CN"/>
                    </w:rPr>
                    <w:t>3</w:t>
                  </w:r>
                  <w:r>
                    <w:rPr>
                      <w:rFonts w:hint="eastAsia"/>
                      <w:lang w:val="en-US" w:eastAsia="zh-CN"/>
                    </w:rPr>
                    <w:t>，生产废水经沉淀后循环使用；生活污水经化粪池处理后用于荒漠灌溉。</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-7〕强化重点区域地下水环境风险管控，对化学品生产企业、工业集聚区、尾矿库、矿山开采区、危险废物处置场、垃圾填埋场等地下水污染源及周边区域，逐步开展地下水环境状况调查评估，加强风险管控。</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〔A2.2-8〕严控土壤重金属污染，加强油（气）田开发土壤污染防治，以历史遗留工业企业污染场地为重点，开展土壤污染风险管控与修复工程。</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6"/>
                    <w:rPr>
                      <w:rFonts w:hint="default"/>
                      <w:lang w:val="en-US" w:eastAsia="zh-CN"/>
                    </w:rPr>
                  </w:pPr>
                  <w:r>
                    <w:rPr>
                      <w:rFonts w:hint="eastAsia"/>
                      <w:lang w:val="en-US" w:eastAsia="zh-CN"/>
                    </w:rPr>
                    <w:t>A3环境风险防控</w:t>
                  </w:r>
                </w:p>
              </w:tc>
              <w:tc>
                <w:tcPr>
                  <w:tcW w:w="404" w:type="pct"/>
                  <w:vMerge w:val="restart"/>
                  <w:vAlign w:val="center"/>
                </w:tcPr>
                <w:p>
                  <w:pPr>
                    <w:pStyle w:val="26"/>
                    <w:rPr>
                      <w:rFonts w:hint="eastAsia"/>
                      <w:lang w:val="en-US" w:eastAsia="zh-CN"/>
                    </w:rPr>
                  </w:pPr>
                  <w:r>
                    <w:rPr>
                      <w:rFonts w:hint="eastAsia"/>
                      <w:lang w:val="en-US" w:eastAsia="zh-CN"/>
                    </w:rPr>
                    <w:t>A3.1人居环境要求</w:t>
                  </w: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〔A3.1-1〕建立和完善重污染天气兵地联合应急预案、预报预警应急机制和会商联动机制。“乌一昌一石”区域内可能影响相邻行政区域大气环境的项目，兵地间、城市间必须相互征求意见。</w:t>
                  </w:r>
                </w:p>
              </w:tc>
              <w:tc>
                <w:tcPr>
                  <w:tcW w:w="867" w:type="pct"/>
                  <w:vAlign w:val="center"/>
                </w:tcPr>
                <w:p>
                  <w:pPr>
                    <w:pStyle w:val="26"/>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〔A3.1-3〕强化重污染天气监测预报预警能力，建立和完善重污染天气兵地联合应急预案、预警应急机制和会商联动机制，加强轻、中度污染天气管控。</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restart"/>
                  <w:vAlign w:val="center"/>
                </w:tcPr>
                <w:p>
                  <w:pPr>
                    <w:pStyle w:val="26"/>
                    <w:rPr>
                      <w:rFonts w:hint="default"/>
                      <w:lang w:val="en-US" w:eastAsia="zh-CN"/>
                    </w:rPr>
                  </w:pPr>
                  <w:r>
                    <w:rPr>
                      <w:rFonts w:hint="eastAsia"/>
                      <w:lang w:val="en-US" w:eastAsia="zh-CN"/>
                    </w:rPr>
                    <w:t>3.2联防联控要求</w:t>
                  </w: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-1〕提升饮用水安全保障水平。以县级及以上集中式饮用水水源地为重点，推进饮用水水源保护区规范化建设，统筹推进备用水源或应急水源建设。单一水源供水的重点城市于2025年底前基本完成备用水源或应急水源建设，有条件的地区开展兵地互为备用水源建设。梯次推进农村集中式饮用水水源保护区划定，到2025年，完成乡镇级集中式饮用水水源保护区划定与勘界立标。开展“千吨万人”农村饮用水水源保护区环境风险排查整治，加强农村水源水质监测，依法清理饮用水水源保护区内违法建筑和排污口，实施从水源到水龙头全过程监管。强化饮用水水源保护区环境应急管理，完善重大突发环境事件的物资和技术储备。针对汇水区、补给区存在兵地跨界的，建立统一的饮用水水源应急和执法机制，共享应急物资。</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〔A3.2-2〕依法推行农用地分类管理制度，强化受污染耕地安全利用和风险管控。因地制宜制定实施安全利用方案，鼓励采取种植结构调整等措施，确保受污染耕地全部实现安全利用。</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-4〕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6"/>
                    <w:rPr>
                      <w:rFonts w:hint="default"/>
                      <w:lang w:val="en-US" w:eastAsia="zh-CN"/>
                    </w:rPr>
                  </w:pPr>
                  <w:r>
                    <w:rPr>
                      <w:rFonts w:hint="eastAsia"/>
                      <w:lang w:val="en-US" w:eastAsia="zh-CN"/>
                    </w:rPr>
                    <w:t>A4资源利用要求</w:t>
                  </w:r>
                </w:p>
              </w:tc>
              <w:tc>
                <w:tcPr>
                  <w:tcW w:w="404" w:type="pct"/>
                  <w:vMerge w:val="restart"/>
                  <w:vAlign w:val="center"/>
                </w:tcPr>
                <w:p>
                  <w:pPr>
                    <w:pStyle w:val="26"/>
                    <w:rPr>
                      <w:rFonts w:hint="default"/>
                      <w:lang w:val="en-US" w:eastAsia="zh-CN"/>
                    </w:rPr>
                  </w:pPr>
                  <w:r>
                    <w:rPr>
                      <w:rFonts w:hint="eastAsia"/>
                      <w:lang w:val="en-US" w:eastAsia="zh-CN"/>
                    </w:rPr>
                    <w:t>A4.1水资源</w:t>
                  </w: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〔A4.1-1〕自治区用水总量2025年、2030年控制在国家下达的指标内。</w:t>
                  </w:r>
                </w:p>
              </w:tc>
              <w:tc>
                <w:tcPr>
                  <w:tcW w:w="867" w:type="pct"/>
                  <w:vAlign w:val="center"/>
                </w:tcPr>
                <w:p>
                  <w:pPr>
                    <w:pStyle w:val="36"/>
                    <w:spacing w:before="1" w:line="251" w:lineRule="auto"/>
                    <w:ind w:left="0" w:leftChars="0" w:right="49" w:rightChars="0" w:firstLine="0" w:firstLineChars="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本项目施工期有少量生活用水和施工用水，用水总量符合指标要求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〔A4.1-2〕加大城镇污水再生利用工程建设力度，推进区域再生水循环利用，到2025年，城市生活污水再生利用率力争达到60%。</w:t>
                  </w:r>
                </w:p>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〔A4.1-3〕加强农村水利基础设施建设，推进农村供水保障工程，农村自来水普及率、集中供水率分别达到99.3%、99.7%。</w:t>
                  </w:r>
                </w:p>
              </w:tc>
              <w:tc>
                <w:tcPr>
                  <w:tcW w:w="867" w:type="pct"/>
                  <w:vAlign w:val="center"/>
                </w:tcPr>
                <w:p>
                  <w:pPr>
                    <w:pStyle w:val="26"/>
                    <w:rPr>
                      <w:rFonts w:hint="eastAsia"/>
                      <w:lang w:val="en-US" w:eastAsia="zh-CN"/>
                    </w:rPr>
                  </w:pPr>
                  <w:r>
                    <w:rPr>
                      <w:rFonts w:hint="eastAsia"/>
                      <w:lang w:val="en-US" w:eastAsia="zh-CN"/>
                    </w:rPr>
                    <w:t>本项目生活</w:t>
                  </w:r>
                  <w:r>
                    <w:rPr>
                      <w:rFonts w:hint="eastAsia" w:eastAsia="宋体"/>
                      <w:lang w:val="en-US" w:eastAsia="zh-CN"/>
                    </w:rPr>
                    <w:t>污水经化粪池处理后用于荒漠灌溉</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〔A4.1-4〕地下水资源利用实行总量控制和水位控制。取用地下水资源，应当按照国家和自治区有关规定申请取水许可。地下水利用应当以浅层地下水为主。</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Align w:val="center"/>
                </w:tcPr>
                <w:p>
                  <w:pPr>
                    <w:pStyle w:val="26"/>
                    <w:rPr>
                      <w:rFonts w:hint="default"/>
                      <w:lang w:val="en-US" w:eastAsia="zh-CN"/>
                    </w:rPr>
                  </w:pPr>
                  <w:r>
                    <w:rPr>
                      <w:rFonts w:hint="eastAsia"/>
                      <w:lang w:val="en-US" w:eastAsia="zh-CN"/>
                    </w:rPr>
                    <w:t>A4.2土地资源</w:t>
                  </w: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〔A4.2-1〕土地资源上线指标控制在最终批复的国土空间规划控制指标内。</w:t>
                  </w:r>
                </w:p>
              </w:tc>
              <w:tc>
                <w:tcPr>
                  <w:tcW w:w="867" w:type="pct"/>
                  <w:vAlign w:val="center"/>
                </w:tcPr>
                <w:p>
                  <w:pPr>
                    <w:pStyle w:val="26"/>
                    <w:rPr>
                      <w:rFonts w:hint="eastAsia"/>
                      <w:lang w:val="en-US" w:eastAsia="zh-CN"/>
                    </w:rPr>
                  </w:pPr>
                  <w:r>
                    <w:rPr>
                      <w:rFonts w:hint="eastAsia"/>
                      <w:lang w:val="en-US" w:eastAsia="zh-CN"/>
                    </w:rPr>
                    <w:t>本项目土地资源上线指标符合要求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restart"/>
                  <w:vAlign w:val="center"/>
                </w:tcPr>
                <w:p>
                  <w:pPr>
                    <w:pStyle w:val="26"/>
                    <w:rPr>
                      <w:rFonts w:hint="default"/>
                      <w:lang w:val="en-US" w:eastAsia="zh-CN"/>
                    </w:rPr>
                  </w:pPr>
                  <w:r>
                    <w:rPr>
                      <w:rFonts w:hint="eastAsia"/>
                      <w:lang w:val="en-US" w:eastAsia="zh-CN"/>
                    </w:rPr>
                    <w:t>A4.3能源利用</w:t>
                  </w: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〔A4.3-1〕单位地区生产总值二氧化碳排放降低水平完成国家下达指标。</w:t>
                  </w:r>
                </w:p>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〔A4.3-2〕到2025年，自治区万元国内生产总值能耗比2020年下降14.5%。</w:t>
                  </w:r>
                </w:p>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〔A4.3-3〕到2025年，非化石能源占一次能源消费比重达18%以上。</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〔A4.3-4〕鼓励使用清洁能源或电厂热力、工业余热等替代锅炉、炉窑燃料用煤。</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〔A4.3-5〕以碳达峰碳中和工作为引领，着力提高能源资源利用效率。引导重点行业深入实施清洁生产改造，钢铁、建材、石油化工等重点行业以及其他行业重点用能单位持续开展节能降耗。</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〔A4.3-6〕深入推进碳达峰碳中和行动。推动能源清洁低碳转型，加强能耗“双控”管理，优化能源消费结构。新增原料用能不纳入能源消费总量控制。持续推进散煤整治。</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Align w:val="center"/>
                </w:tcPr>
                <w:p>
                  <w:pPr>
                    <w:pStyle w:val="26"/>
                    <w:rPr>
                      <w:rFonts w:hint="default"/>
                      <w:lang w:val="en-US" w:eastAsia="zh-CN"/>
                    </w:rPr>
                  </w:pPr>
                  <w:r>
                    <w:rPr>
                      <w:rFonts w:hint="eastAsia"/>
                      <w:lang w:val="en-US" w:eastAsia="zh-CN"/>
                    </w:rPr>
                    <w:t>A4.4禁燃区要求</w:t>
                  </w: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〔A4.4-1〕在禁燃区内，禁止销售、燃用高污染燃料；禁止新建、扩建燃用高污染燃料的设施。已建成的，应当在规定期限内改用清洁能源。</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restart"/>
                  <w:vAlign w:val="center"/>
                </w:tcPr>
                <w:p>
                  <w:pPr>
                    <w:pStyle w:val="26"/>
                    <w:rPr>
                      <w:rFonts w:hint="default"/>
                      <w:lang w:val="en-US" w:eastAsia="zh-CN"/>
                    </w:rPr>
                  </w:pPr>
                  <w:r>
                    <w:rPr>
                      <w:rFonts w:hint="eastAsia"/>
                      <w:lang w:val="en-US" w:eastAsia="zh-CN"/>
                    </w:rPr>
                    <w:t>A4.5资源综合利用</w:t>
                  </w: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867" w:type="pct"/>
                  <w:vMerge w:val="restart"/>
                  <w:vAlign w:val="center"/>
                </w:tcPr>
                <w:p>
                  <w:pPr>
                    <w:pStyle w:val="26"/>
                    <w:rPr>
                      <w:rFonts w:hint="eastAsia"/>
                      <w:lang w:val="en-US" w:eastAsia="zh-CN"/>
                    </w:rPr>
                  </w:pPr>
                  <w:r>
                    <w:rPr>
                      <w:rFonts w:hint="eastAsia"/>
                      <w:color w:val="000000"/>
                      <w:sz w:val="21"/>
                      <w:szCs w:val="22"/>
                    </w:rPr>
                    <w:t>本项目采取了有效的污染防治措施；施工营地内设置一定数量的垃圾桶，施工中产生的废料、生活垃圾、钻孔渣土等固体废物及时清理，分类存储，回收利用，定期进行现场处置及外运。</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-2〕推动工业固废按元素价值综合开发利用，加快推进尾矿（共伴生矿）、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867" w:type="pct"/>
                  <w:vMerge w:val="continue"/>
                  <w:vAlign w:val="center"/>
                </w:tcPr>
                <w:p>
                  <w:pPr>
                    <w:pStyle w:val="26"/>
                    <w:rPr>
                      <w:rFonts w:hint="eastAsia"/>
                      <w:lang w:val="en-US" w:eastAsia="zh-CN"/>
                    </w:rPr>
                  </w:pP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-3〕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6"/>
                    <w:rPr>
                      <w:rFonts w:hint="eastAsia"/>
                      <w:lang w:val="en-US" w:eastAsia="zh-CN"/>
                    </w:rPr>
                  </w:pPr>
                </w:p>
              </w:tc>
              <w:tc>
                <w:tcPr>
                  <w:tcW w:w="404" w:type="pct"/>
                  <w:vMerge w:val="continue"/>
                  <w:vAlign w:val="center"/>
                </w:tcPr>
                <w:p>
                  <w:pPr>
                    <w:pStyle w:val="26"/>
                    <w:rPr>
                      <w:rFonts w:hint="eastAsia"/>
                      <w:lang w:val="en-US" w:eastAsia="zh-CN"/>
                    </w:rPr>
                  </w:pPr>
                </w:p>
              </w:tc>
              <w:tc>
                <w:tcPr>
                  <w:tcW w:w="3126" w:type="pct"/>
                  <w:vAlign w:val="top"/>
                </w:tcPr>
                <w:p>
                  <w:pPr>
                    <w:pStyle w:val="36"/>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-4〕发展生态种植、生态养殖，建立农业循环经济发展模式，促进农业固体废物综合利用。鼓励和引导农民采用增施有机肥秸秆还田、种植绿肥等技术，持续减少化肥农药使用比例。加大畜禽粪污和秸秆资源化利用先进技术和新型市场模式的集成推广，推动形成长效运行机制。</w:t>
                  </w:r>
                </w:p>
              </w:tc>
              <w:tc>
                <w:tcPr>
                  <w:tcW w:w="867" w:type="pct"/>
                  <w:vAlign w:val="center"/>
                </w:tcPr>
                <w:p>
                  <w:pPr>
                    <w:pStyle w:val="26"/>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bl>
          <w:p>
            <w:pPr>
              <w:pStyle w:val="28"/>
              <w:spacing w:before="120"/>
            </w:pPr>
            <w:r>
              <w:rPr>
                <w:rFonts w:hint="eastAsia"/>
              </w:rPr>
              <w:t>表</w:t>
            </w:r>
            <w:r>
              <w:t>1</w:t>
            </w:r>
            <w:r>
              <w:rPr>
                <w:rFonts w:hint="eastAsia"/>
              </w:rPr>
              <w:t>-7本项目与天山南坡片区总体管控要求符合性分析一览表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5"/>
              <w:gridCol w:w="4378"/>
              <w:gridCol w:w="1928"/>
              <w:gridCol w:w="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restar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天山南坡片区总体管控要求</w:t>
                  </w: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管控要求</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本项目</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本项目不在托木尔峰和天山南坡中段冰雪水源及生物多样性保护生态功能区</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snapToGrid w:val="0"/>
                      <w:color w:val="000000"/>
                      <w:kern w:val="0"/>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snapToGrid w:val="0"/>
                      <w:color w:val="000000"/>
                      <w:kern w:val="0"/>
                      <w:sz w:val="21"/>
                      <w:szCs w:val="21"/>
                    </w:rPr>
                    <w:t>本项目不涉及油气勘探开发</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推进塔里木河流域用水结构调整，维护塔里木河、博斯腾湖基本生态用水</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本项目不涉及塔里木河、博斯腾湖生态用水</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加强塔里木河流域水环境风险管控。加大博斯腾湖污染源头达标排放治理和监督力度，实施博斯腾湖综合治理。</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加强油（气）资源开发区土壤环境污染综合整治。强化涉重金属行业污染防控与工业废物处理处置。</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本项目不涉及油气开发，不涉及重金属排放</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bl>
          <w:p>
            <w:pPr>
              <w:pStyle w:val="36"/>
              <w:spacing w:before="34" w:line="385" w:lineRule="auto"/>
              <w:ind w:left="29" w:firstLine="475"/>
              <w:rPr>
                <w:rFonts w:hint="eastAsia" w:ascii="Times New Roman" w:hAnsi="Times New Roman" w:eastAsia="宋体" w:cs="Times New Roman"/>
                <w:b/>
                <w:bCs/>
                <w:kern w:val="2"/>
                <w:sz w:val="24"/>
                <w:szCs w:val="32"/>
                <w:lang w:val="en-US" w:eastAsia="zh-CN" w:bidi="ar-SA"/>
              </w:rPr>
            </w:pPr>
            <w:r>
              <w:rPr>
                <w:rFonts w:hint="eastAsia" w:ascii="Times New Roman" w:hAnsi="Times New Roman" w:eastAsia="宋体" w:cs="Times New Roman"/>
                <w:b/>
                <w:bCs/>
                <w:kern w:val="2"/>
                <w:sz w:val="24"/>
                <w:szCs w:val="32"/>
                <w:lang w:val="en-US" w:eastAsia="zh-CN" w:bidi="ar-SA"/>
              </w:rPr>
              <w:t>2.2本项目与巴音郭楞蒙古自治州生态环境分区管控方案符合性分析</w:t>
            </w:r>
          </w:p>
          <w:p>
            <w:pPr>
              <w:pStyle w:val="36"/>
              <w:spacing w:before="34" w:line="385" w:lineRule="auto"/>
              <w:ind w:left="29" w:firstLine="475"/>
              <w:rPr>
                <w:rFonts w:hint="eastAsia"/>
                <w:spacing w:val="-6"/>
                <w:sz w:val="24"/>
                <w:szCs w:val="24"/>
                <w:lang w:val="en-US" w:eastAsia="zh-CN"/>
              </w:rPr>
            </w:pPr>
            <w:r>
              <w:rPr>
                <w:spacing w:val="-3"/>
                <w:sz w:val="24"/>
                <w:szCs w:val="24"/>
              </w:rPr>
              <w:t>本工程建设地点位于新疆维吾尔自治区若羌县，根据《巴音郭楞蒙</w:t>
            </w:r>
            <w:r>
              <w:rPr>
                <w:spacing w:val="1"/>
                <w:sz w:val="24"/>
                <w:szCs w:val="24"/>
              </w:rPr>
              <w:t>古自治州生态环境分区管控动态更新成果（</w:t>
            </w:r>
            <w:r>
              <w:rPr>
                <w:rFonts w:ascii="Times New Roman" w:hAnsi="Times New Roman" w:eastAsia="Times New Roman" w:cs="Times New Roman"/>
                <w:spacing w:val="1"/>
                <w:sz w:val="24"/>
                <w:szCs w:val="24"/>
              </w:rPr>
              <w:t>2023</w:t>
            </w:r>
            <w:r>
              <w:rPr>
                <w:spacing w:val="1"/>
                <w:sz w:val="24"/>
                <w:szCs w:val="24"/>
              </w:rPr>
              <w:t>年）》</w:t>
            </w:r>
            <w:r>
              <w:rPr>
                <w:spacing w:val="-2"/>
                <w:sz w:val="24"/>
                <w:szCs w:val="24"/>
              </w:rPr>
              <w:t>（巴政办发〔</w:t>
            </w:r>
            <w:r>
              <w:rPr>
                <w:rFonts w:ascii="Times New Roman" w:hAnsi="Times New Roman" w:eastAsia="Times New Roman" w:cs="Times New Roman"/>
                <w:spacing w:val="-2"/>
                <w:sz w:val="24"/>
                <w:szCs w:val="24"/>
              </w:rPr>
              <w:t>2024</w:t>
            </w:r>
            <w:r>
              <w:rPr>
                <w:spacing w:val="-2"/>
                <w:sz w:val="24"/>
                <w:szCs w:val="24"/>
              </w:rPr>
              <w:t>〕</w:t>
            </w:r>
            <w:r>
              <w:rPr>
                <w:rFonts w:ascii="Times New Roman" w:hAnsi="Times New Roman" w:eastAsia="Times New Roman" w:cs="Times New Roman"/>
                <w:spacing w:val="-2"/>
                <w:sz w:val="24"/>
                <w:szCs w:val="24"/>
              </w:rPr>
              <w:t>32</w:t>
            </w:r>
            <w:r>
              <w:rPr>
                <w:spacing w:val="-2"/>
                <w:sz w:val="24"/>
                <w:szCs w:val="24"/>
              </w:rPr>
              <w:t>号</w:t>
            </w:r>
            <w:r>
              <w:rPr>
                <w:spacing w:val="12"/>
                <w:sz w:val="24"/>
                <w:szCs w:val="24"/>
              </w:rPr>
              <w:t>），</w:t>
            </w:r>
            <w:r>
              <w:rPr>
                <w:spacing w:val="-2"/>
                <w:sz w:val="24"/>
                <w:szCs w:val="24"/>
              </w:rPr>
              <w:t>本工程所在环境管控单元管控要求详见</w:t>
            </w:r>
            <w:r>
              <w:rPr>
                <w:spacing w:val="-6"/>
                <w:sz w:val="24"/>
                <w:szCs w:val="24"/>
              </w:rPr>
              <w:t>下表。</w:t>
            </w:r>
          </w:p>
          <w:p>
            <w:pPr>
              <w:adjustRightInd w:val="0"/>
              <w:snapToGrid w:val="0"/>
              <w:spacing w:line="240" w:lineRule="auto"/>
              <w:ind w:firstLine="0" w:firstLineChars="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w:t>
            </w:r>
            <w:r>
              <w:rPr>
                <w:rFonts w:hint="eastAsia" w:cs="Times New Roman"/>
                <w:b/>
                <w:kern w:val="0"/>
                <w:sz w:val="21"/>
                <w:szCs w:val="20"/>
                <w:lang w:val="en-US" w:eastAsia="zh-CN" w:bidi="ar-SA"/>
              </w:rPr>
              <w:t>1-8</w:t>
            </w:r>
            <w:r>
              <w:rPr>
                <w:rFonts w:hint="eastAsia" w:ascii="Times New Roman" w:hAnsi="Times New Roman" w:eastAsia="宋体" w:cs="Times New Roman"/>
                <w:b/>
                <w:kern w:val="0"/>
                <w:sz w:val="21"/>
                <w:szCs w:val="20"/>
                <w:lang w:val="en-US" w:eastAsia="zh-CN" w:bidi="ar-SA"/>
              </w:rPr>
              <w:t>巴音郭楞蒙古自治州生态环境准入清单符合性分析</w:t>
            </w:r>
          </w:p>
          <w:tbl>
            <w:tblPr>
              <w:tblStyle w:val="20"/>
              <w:tblW w:w="0" w:type="auto"/>
              <w:tblInd w:w="-11"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5"/>
              <w:gridCol w:w="518"/>
              <w:gridCol w:w="3569"/>
              <w:gridCol w:w="2526"/>
              <w:gridCol w:w="7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环境管控单元编码</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default" w:ascii="Times New Roman" w:hAnsi="Times New Roman" w:cs="Times New Roman"/>
                      <w:snapToGrid w:val="0"/>
                      <w:color w:val="000000"/>
                      <w:kern w:val="0"/>
                      <w:sz w:val="21"/>
                      <w:szCs w:val="21"/>
                    </w:rPr>
                    <w:t>ZH65282430001</w:t>
                  </w:r>
                </w:p>
              </w:tc>
              <w:tc>
                <w:tcPr>
                  <w:tcW w:w="2526"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本工程情况</w:t>
                  </w:r>
                </w:p>
              </w:tc>
              <w:tc>
                <w:tcPr>
                  <w:tcW w:w="716"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相符性分析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环境管控单元名称</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若羌县一般管控区</w:t>
                  </w:r>
                </w:p>
              </w:tc>
              <w:tc>
                <w:tcPr>
                  <w:tcW w:w="252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71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环境管控单元类别</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一般管控单元</w:t>
                  </w:r>
                </w:p>
              </w:tc>
              <w:tc>
                <w:tcPr>
                  <w:tcW w:w="252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71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775"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管控要求</w:t>
                  </w: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空间布局约束</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1.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2.金属和非金属矿山采选企业新建、改建、扩建执行《新疆维吾尔自治区重点行业生态环境准入条件（2024年）》相关要求。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本项目位于新疆若羌县东南120°方向，直线距离为100-140千米。隶属新疆巴音郭楞蒙古自治州若羌县依吞布拉克镇管辖。项目采用了边开挖、边回填、边复垦的勘探方式减少水土流失，勘探过程中产生的粉尘通过洒水抑尘的方式降低排放，对环境空气质量影响较小，不会降低区域环境空气质量，不属于严重污染大气环境的项目。</w:t>
                  </w:r>
                </w:p>
              </w:tc>
              <w:tc>
                <w:tcPr>
                  <w:tcW w:w="716" w:type="dxa"/>
                  <w:tcBorders>
                    <w:tl2br w:val="nil"/>
                    <w:tr2bl w:val="nil"/>
                  </w:tcBorders>
                  <w:vAlign w:val="center"/>
                </w:tcPr>
                <w:p>
                  <w:pPr>
                    <w:spacing w:line="240" w:lineRule="auto"/>
                    <w:ind w:firstLine="0" w:firstLineChars="0"/>
                    <w:jc w:val="center"/>
                    <w:rPr>
                      <w:rFonts w:hint="default"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污染物排放管控</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1.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勘探过程中产生的粉尘通过洒水抑尘的方式降低排放，对环境空气质量影响较小，不会降低区域环境空气质量，勘查期颗粒物执行《大气污染物综合排放标准》（GB16297）中颗粒物无组织排放浓度限值，施工营地内设置一定数量的垃圾桶，施工中产生的废料、生活垃圾、钻孔渣土等固体废物及时清理，分类存储，回收利用，定期进行现场处置及外运。符合该管控单元的污染物排放管控要求。</w:t>
                  </w:r>
                </w:p>
              </w:tc>
              <w:tc>
                <w:tcPr>
                  <w:tcW w:w="716" w:type="dxa"/>
                  <w:tcBorders>
                    <w:tl2br w:val="nil"/>
                    <w:tr2bl w:val="nil"/>
                  </w:tcBorders>
                  <w:vAlign w:val="center"/>
                </w:tcPr>
                <w:p>
                  <w:pPr>
                    <w:spacing w:line="240" w:lineRule="auto"/>
                    <w:ind w:firstLine="0" w:firstLineChars="0"/>
                    <w:jc w:val="center"/>
                    <w:rPr>
                      <w:rFonts w:hint="default"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518" w:type="dxa"/>
                  <w:tcBorders>
                    <w:tl2br w:val="nil"/>
                    <w:tr2bl w:val="nil"/>
                  </w:tcBorders>
                  <w:shd w:val="clear" w:color="auto" w:fill="auto"/>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环境风险防控</w:t>
                  </w:r>
                </w:p>
              </w:tc>
              <w:tc>
                <w:tcPr>
                  <w:tcW w:w="3569" w:type="dxa"/>
                  <w:tcBorders>
                    <w:tl2br w:val="nil"/>
                    <w:tr2bl w:val="nil"/>
                  </w:tcBorders>
                  <w:shd w:val="clear" w:color="auto" w:fill="auto"/>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1.加强对矿山、油田等矿产资源开采影响区域内未利用地的环境监管，发现土壤污染问题的，要坚决查处，并及时督促有关单位采取有效防治措施消除或减轻污染。</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项目不涉及重点流域、饮用水源等环境敏感区域，勘查期建立健全的环境管理制度，防范环境污染事故发生。符合该管控单元环境风险防控要求。</w:t>
                  </w:r>
                </w:p>
              </w:tc>
              <w:tc>
                <w:tcPr>
                  <w:tcW w:w="716" w:type="dxa"/>
                  <w:tcBorders>
                    <w:tl2br w:val="nil"/>
                    <w:tr2bl w:val="nil"/>
                  </w:tcBorders>
                  <w:vAlign w:val="center"/>
                </w:tcPr>
                <w:p>
                  <w:pPr>
                    <w:spacing w:line="240" w:lineRule="auto"/>
                    <w:ind w:firstLine="0" w:firstLineChars="0"/>
                    <w:jc w:val="center"/>
                    <w:rPr>
                      <w:rFonts w:hint="default"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资源利用效率</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1.废石综合回用、尾矿砂利用率参考《新疆维吾尔自治区重点行业生态环境准入条件（2024年）》等相关文件要求。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本项目产生的土石方在勘探期结束后全部回填至开挖地。符合该管控单元资源利用效率要求。</w:t>
                  </w:r>
                </w:p>
              </w:tc>
              <w:tc>
                <w:tcPr>
                  <w:tcW w:w="716" w:type="dxa"/>
                  <w:tcBorders>
                    <w:tl2br w:val="nil"/>
                    <w:tr2bl w:val="nil"/>
                  </w:tcBorders>
                  <w:vAlign w:val="center"/>
                </w:tcPr>
                <w:p>
                  <w:pPr>
                    <w:spacing w:line="240" w:lineRule="auto"/>
                    <w:ind w:firstLine="0" w:firstLineChars="0"/>
                    <w:jc w:val="center"/>
                    <w:rPr>
                      <w:rFonts w:hint="default"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符合</w:t>
                  </w:r>
                </w:p>
              </w:tc>
            </w:tr>
          </w:tbl>
          <w:p>
            <w:pPr>
              <w:pStyle w:val="15"/>
              <w:ind w:firstLine="482"/>
            </w:pPr>
            <w:r>
              <w:rPr>
                <w:rFonts w:hint="eastAsia"/>
              </w:rPr>
              <w:t>3.与自治区、巴州环境保护规划的符合性分析</w:t>
            </w:r>
          </w:p>
          <w:p>
            <w:pPr>
              <w:spacing w:before="120" w:beforeLines="50" w:line="240" w:lineRule="auto"/>
              <w:ind w:firstLine="0" w:firstLineChars="0"/>
              <w:jc w:val="center"/>
              <w:textAlignment w:val="center"/>
              <w:rPr>
                <w:b/>
                <w:color w:val="000000"/>
                <w:sz w:val="21"/>
              </w:rPr>
            </w:pPr>
            <w:r>
              <w:rPr>
                <w:rFonts w:hint="eastAsia"/>
                <w:b/>
                <w:color w:val="000000"/>
                <w:sz w:val="21"/>
                <w:szCs w:val="22"/>
              </w:rPr>
              <w:t>表</w:t>
            </w:r>
            <w:r>
              <w:rPr>
                <w:b/>
                <w:color w:val="000000"/>
                <w:sz w:val="21"/>
                <w:szCs w:val="22"/>
              </w:rPr>
              <w:t>1</w:t>
            </w:r>
            <w:r>
              <w:rPr>
                <w:rFonts w:hint="eastAsia"/>
                <w:b/>
                <w:color w:val="000000"/>
                <w:sz w:val="21"/>
                <w:szCs w:val="22"/>
                <w:lang w:val="en-US" w:eastAsia="zh-CN"/>
              </w:rPr>
              <w:t>-9</w:t>
            </w:r>
            <w:r>
              <w:rPr>
                <w:rFonts w:hint="eastAsia"/>
                <w:b/>
                <w:color w:val="000000"/>
                <w:sz w:val="21"/>
                <w:szCs w:val="22"/>
              </w:rPr>
              <w:t>环境规划符合性分析</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13"/>
              <w:gridCol w:w="3000"/>
              <w:gridCol w:w="2465"/>
              <w:gridCol w:w="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bookmarkStart w:id="0" w:name="_Hlk97245357"/>
                  <w:r>
                    <w:rPr>
                      <w:rFonts w:hint="eastAsia"/>
                      <w:color w:val="000000"/>
                      <w:sz w:val="21"/>
                      <w:szCs w:val="22"/>
                    </w:rPr>
                    <w:t>规划</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规划要求</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本项目情况</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新疆维吾尔自治区国民经济和社会发展第十四个五年规划和</w:t>
                  </w:r>
                  <w:r>
                    <w:rPr>
                      <w:color w:val="000000"/>
                      <w:sz w:val="21"/>
                      <w:szCs w:val="22"/>
                    </w:rPr>
                    <w:t>2035</w:t>
                  </w:r>
                  <w:r>
                    <w:rPr>
                      <w:rFonts w:hint="eastAsia"/>
                      <w:color w:val="000000"/>
                      <w:sz w:val="21"/>
                      <w:szCs w:val="22"/>
                    </w:rPr>
                    <w:t>年远景目标纲要</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按照“深化北疆东疆，加快南疆勘查”的总体思路，开展重点成矿区带地质调查和矿产勘查，做好矿产资源开发利用储备。贯彻新发展理念，建设绿色矿山，实现可持续发展。</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本项目为固体矿产地质勘探，符合新疆维吾尔自治区国民经济和社会发展第十四个五年规划和</w:t>
                  </w:r>
                  <w:r>
                    <w:rPr>
                      <w:color w:val="000000"/>
                      <w:sz w:val="21"/>
                      <w:szCs w:val="22"/>
                    </w:rPr>
                    <w:t>2035</w:t>
                  </w:r>
                  <w:r>
                    <w:rPr>
                      <w:rFonts w:hint="eastAsia"/>
                      <w:color w:val="000000"/>
                      <w:sz w:val="21"/>
                      <w:szCs w:val="22"/>
                    </w:rPr>
                    <w:t>年远景目标纲要。</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巴音郭楞蒙古自治州国民经济和社会发展第十四个五年规划和二〇三五年远景目标纲要</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加强矿产资源循环利用，大力推进绿色矿山和绿色矿区发展示范区建设；推动绿色矿山建设，加大矿山开采修复治理，实现“边开采、边治理”；加强防风固沙绿化工程建设，加强扬尘、露天矿山综合治理；</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本项目主要为固体矿产地质勘探，符合巴音郭楞蒙古自治州国民经济和社会发展第十四个五年规划和二〇三五年远景目标纲要</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若羌县国民经济和社会发展第十四个五年规划和</w:t>
                  </w:r>
                  <w:r>
                    <w:rPr>
                      <w:color w:val="000000"/>
                      <w:sz w:val="21"/>
                      <w:szCs w:val="22"/>
                    </w:rPr>
                    <w:t>2035</w:t>
                  </w:r>
                  <w:r>
                    <w:rPr>
                      <w:rFonts w:hint="eastAsia"/>
                      <w:color w:val="000000"/>
                      <w:sz w:val="21"/>
                      <w:szCs w:val="22"/>
                    </w:rPr>
                    <w:t>年远景目标</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加快发展现代产业体系，推动钢铁、矿山等传统产业改造升级，着力壮大农产品加工业，创新培育新能源新材料战略新兴产业，加快发展特色旅游、医疗康养、商贸物流等现代服务业，以工业化理念推动农业现代化。</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本项目主要为固体矿产地质勘探，符合若羌县国民经济和社会发展第十四个五年规划和</w:t>
                  </w:r>
                  <w:r>
                    <w:rPr>
                      <w:color w:val="000000"/>
                      <w:sz w:val="21"/>
                      <w:szCs w:val="22"/>
                    </w:rPr>
                    <w:t>2035</w:t>
                  </w:r>
                  <w:r>
                    <w:rPr>
                      <w:rFonts w:hint="eastAsia"/>
                      <w:color w:val="000000"/>
                      <w:sz w:val="21"/>
                      <w:szCs w:val="22"/>
                    </w:rPr>
                    <w:t>年远景目标</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新疆生态环境保护</w:t>
                  </w:r>
                  <w:r>
                    <w:rPr>
                      <w:color w:val="000000"/>
                      <w:sz w:val="21"/>
                      <w:szCs w:val="22"/>
                    </w:rPr>
                    <w:t>“</w:t>
                  </w:r>
                  <w:r>
                    <w:rPr>
                      <w:rFonts w:hint="eastAsia"/>
                      <w:color w:val="000000"/>
                      <w:sz w:val="21"/>
                      <w:szCs w:val="22"/>
                    </w:rPr>
                    <w:t>十四五</w:t>
                  </w:r>
                  <w:r>
                    <w:rPr>
                      <w:color w:val="000000"/>
                      <w:sz w:val="21"/>
                      <w:szCs w:val="22"/>
                    </w:rPr>
                    <w:t>”</w:t>
                  </w:r>
                  <w:r>
                    <w:rPr>
                      <w:rFonts w:hint="eastAsia"/>
                      <w:color w:val="000000"/>
                      <w:sz w:val="21"/>
                      <w:szCs w:val="22"/>
                    </w:rPr>
                    <w:t>规划</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全面推进绿色矿山建设，规范绿色矿山第三方评估，推广矿产资源节约与综合利用先进技术；充分运用新型、高效的防尘、降尘、除尘技术，加强矿山粉尘治理。</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本项目主要为固体矿产地质勘探，在严格落实各项污染防治措施的前提下，项目建设对环境影响较小。项目符合新疆生态环境保护</w:t>
                  </w:r>
                  <w:r>
                    <w:rPr>
                      <w:color w:val="000000"/>
                      <w:sz w:val="21"/>
                      <w:szCs w:val="22"/>
                    </w:rPr>
                    <w:t>“</w:t>
                  </w:r>
                  <w:r>
                    <w:rPr>
                      <w:rFonts w:hint="eastAsia"/>
                      <w:color w:val="000000"/>
                      <w:sz w:val="21"/>
                      <w:szCs w:val="22"/>
                    </w:rPr>
                    <w:t>十四五</w:t>
                  </w:r>
                  <w:r>
                    <w:rPr>
                      <w:color w:val="000000"/>
                      <w:sz w:val="21"/>
                      <w:szCs w:val="22"/>
                    </w:rPr>
                    <w:t>”</w:t>
                  </w:r>
                  <w:r>
                    <w:rPr>
                      <w:rFonts w:hint="eastAsia"/>
                      <w:color w:val="000000"/>
                      <w:sz w:val="21"/>
                      <w:szCs w:val="22"/>
                    </w:rPr>
                    <w:t>规划。</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新疆维吾尔自治区环境保护条例</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shd w:val="clear" w:color="auto" w:fill="FFFFFF"/>
                    </w:rPr>
                    <w:t>第四十七条矿产资源勘探、开发单位，应当对矿产资源勘探、开发产生的尾矿、煤矸石、粉煤灰、冶炼渣以及脱硫、脱硝、除尘等产生的固体废物的堆存场所进行整治，完善防扬散、防流失、防渗漏等设施；造成环境污染的，应当采取有效措施进行生态修复；</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采取了有效的污染防治措施；施工营地内设置一定数量的垃圾桶，施工中产生的废料、生活垃圾、钻孔渣土等固体废物及时清理，分类存储，回收利用，定期进行现场处置及外运。项目符合新疆维吾尔自治区环境保护条例。</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新疆维吾尔自治区生态功能区划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保护托木尔峰自然景观、保护高山冰川、保护野生动物；保护森林和草原、草地减牧、森林禁伐、禁猎、加强保护区管理；合理利用天然草地，维护自然景观和生物多样性</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评价区域属于帕米尔-昆仑山-阿尔金山荒漠干旱草原生态区-V3阿尔金山荒漠草原生物多样性保护生态亚区-76.阿尔金山荒漠草原及野骆驼保护生态功能区，项目区域不涉及托木尔峰自然景观、冰川等区域；周边无野生动植物保护区域；符合新疆维吾尔自治区生态功能区划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新疆维吾尔自治区主体功能区规划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根据主体功能区开发的理念，结合新疆独特的自然地理状况和新时期跨越式发展的需要，本规划将新疆国土空间划分为重点开发、限制开发和禁止开发区域；按开发内容，分为城市化地区、农产品主产区和重点生态功能区</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本项目位于若羌县，属于天山南坡产业带重点开发区域，本项目为固体矿产地质勘探，符合新疆维吾尔自治区主体功能区规划空间管控要求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关于重点区域执行大气污染物特别排放限值的公告</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自治区大气污染防治重点区域内的火电、钢铁、水泥、石化行业和燃煤锅炉执行大气污染物特别排放限值，对重点区域和重点行业的污染物排放标准进行了更严格的约束和规定，二氧化硫及氮氧化物排放将减少一半以上。</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本项目位于若羌县，不在大气污染防治重点区域。</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《新疆维吾尔自治区矿产资源总体规划（2021-2025）》</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到2025年，矿产资源勘查开发科技创新能力不断增强，矿产资源勘查开发与保护格局更加优化，支撑保障国家“三基地一通道”和能源资源接替基地建设更加有力。矿业发展质量显著提升，矿业权市场更加健全、更加活跃，矿山生态环境质量持续提升，矿山安全根基稳固，初步形成资源、经济、环境、社会效益协调统一的矿业高质量发展新格局。</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本项目为固体矿产地质勘探，整体符合《新疆维吾尔自治区矿产资源总体规划（2021-2025）》总体目标要求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《新疆维吾尔自治区重点行业环境准入条件（2024年）》</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color w:val="000000"/>
                      <w:sz w:val="21"/>
                      <w:szCs w:val="22"/>
                      <w:shd w:val="clear" w:color="auto" w:fill="FFFFFF"/>
                    </w:rPr>
                    <w:t>禁止在自然保护区、世界自然遗产地、风景名胜区、自然公园（森林公园、地质公园、湿地公园、沙漠公园等）、重要湿地、饮用水水源保护区等依法划定禁止开发建设的环境敏感区</w:t>
                  </w:r>
                  <w:r>
                    <w:rPr>
                      <w:rFonts w:hint="eastAsia"/>
                      <w:color w:val="000000"/>
                      <w:sz w:val="21"/>
                      <w:szCs w:val="22"/>
                      <w:shd w:val="clear" w:color="auto" w:fill="FFFFFF"/>
                    </w:rPr>
                    <w:t>及其他</w:t>
                  </w:r>
                  <w:r>
                    <w:rPr>
                      <w:color w:val="000000"/>
                      <w:sz w:val="21"/>
                      <w:szCs w:val="22"/>
                      <w:shd w:val="clear" w:color="auto" w:fill="FFFFFF"/>
                    </w:rPr>
                    <w:t>法律法规规章禁止的区域进行污染环境的任何开发活动。</w:t>
                  </w:r>
                </w:p>
              </w:tc>
              <w:tc>
                <w:tcPr>
                  <w:tcW w:w="1520" w:type="pct"/>
                  <w:vAlign w:val="center"/>
                </w:tcPr>
                <w:p>
                  <w:pPr>
                    <w:spacing w:line="240" w:lineRule="auto"/>
                    <w:ind w:firstLine="0" w:firstLineChars="0"/>
                    <w:jc w:val="center"/>
                    <w:textAlignment w:val="center"/>
                    <w:rPr>
                      <w:color w:val="000000"/>
                      <w:sz w:val="21"/>
                      <w:szCs w:val="22"/>
                    </w:rPr>
                  </w:pPr>
                  <w:r>
                    <w:rPr>
                      <w:color w:val="000000"/>
                      <w:sz w:val="21"/>
                      <w:szCs w:val="22"/>
                    </w:rPr>
                    <w:t>根据现场勘查，勘探区不涉及自然保护区、世界自然遗产地、风景名胜区、森林公园、地质公园、重要湿地、饮用水水源保护区等重点保护区域，因此本项目选址符合《新疆维吾尔自治区重点行业生态环境准入条件（2024年）》的相关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《中华人民共和国草原法》</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第五十五条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tc>
              <w:tc>
                <w:tcPr>
                  <w:tcW w:w="1520" w:type="pct"/>
                  <w:vAlign w:val="center"/>
                </w:tcPr>
                <w:p>
                  <w:pPr>
                    <w:spacing w:line="240" w:lineRule="auto"/>
                    <w:ind w:firstLine="0" w:firstLineChars="0"/>
                    <w:jc w:val="center"/>
                    <w:textAlignment w:val="center"/>
                    <w:rPr>
                      <w:color w:val="000000"/>
                      <w:szCs w:val="22"/>
                    </w:rPr>
                  </w:pPr>
                  <w:r>
                    <w:rPr>
                      <w:rFonts w:hint="eastAsia"/>
                      <w:color w:val="000000"/>
                      <w:sz w:val="21"/>
                      <w:szCs w:val="22"/>
                      <w:shd w:val="clear" w:color="auto" w:fill="FFFFFF"/>
                    </w:rPr>
                    <w:t>本项目属于地质勘探活动，普查区外交通较为方便，若羌县－依吞布拉克镇－茫崖镇有铁路线路，到矿区有简易道路车辆可以行驶，可供探矿期临时使用。</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《新疆巴音郭楞蒙古自治州矿产资源总体规划（2</w:t>
                  </w:r>
                  <w:r>
                    <w:rPr>
                      <w:color w:val="000000"/>
                      <w:sz w:val="21"/>
                      <w:szCs w:val="22"/>
                    </w:rPr>
                    <w:t>021-2025</w:t>
                  </w:r>
                  <w:r>
                    <w:rPr>
                      <w:rFonts w:hint="eastAsia"/>
                      <w:color w:val="000000"/>
                      <w:sz w:val="21"/>
                      <w:szCs w:val="22"/>
                    </w:rPr>
                    <w:t>年）》</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总体目标：积极开展煤、煤层气，黑色、有色、稀有、贵金属、非金属等矿的调查评价和基础地质调查研究，主要矿产资源保障能力显著提高。产业资源开发布局及开采总量管控趋于合理。绿色矿业发展格局基本形成，矿山生态环境保护与治理恢复取得新进展。矿产资源管理水平不断提升。</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rPr>
                    <w:t>本项目属于铜多金属矿勘探工程，符合《新疆巴音郭楞蒙古自治州矿产资源总体规划（2</w:t>
                  </w:r>
                  <w:r>
                    <w:rPr>
                      <w:color w:val="000000"/>
                      <w:sz w:val="21"/>
                      <w:szCs w:val="22"/>
                    </w:rPr>
                    <w:t>021-2025</w:t>
                  </w:r>
                  <w:r>
                    <w:rPr>
                      <w:rFonts w:hint="eastAsia"/>
                      <w:color w:val="000000"/>
                      <w:sz w:val="21"/>
                      <w:szCs w:val="22"/>
                    </w:rPr>
                    <w:t>年）》中总体目标。</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《巴音郭楞蒙古自治州生态环境“十四五”规划》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坚持绿水青山就是金山银山、冰天雪地也是金山银山的理念，坚持山水林田湖草沙系统治理，坚持人与自然和谐共生，协同推进经济高质量发展和生态环境高水平保护，突出精准治污、科学治污、依法治污，深入打好污染防治攻坚战，落实减污降碳总要求，着力推进碳达峰行动，加快推动绿色低碳发展，加强生物多样性保护，推进生态环境治理体系和治理能力现代化</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本项目为铜</w:t>
                  </w:r>
                  <w:r>
                    <w:rPr>
                      <w:rFonts w:hint="eastAsia"/>
                      <w:color w:val="000000"/>
                      <w:sz w:val="21"/>
                      <w:szCs w:val="22"/>
                      <w:lang w:val="en-US" w:eastAsia="zh-CN"/>
                    </w:rPr>
                    <w:t>金</w:t>
                  </w:r>
                  <w:r>
                    <w:rPr>
                      <w:rFonts w:hint="eastAsia"/>
                      <w:color w:val="000000"/>
                      <w:sz w:val="21"/>
                      <w:szCs w:val="22"/>
                    </w:rPr>
                    <w:t>多金属矿勘探工程，</w:t>
                  </w:r>
                  <w:r>
                    <w:rPr>
                      <w:rFonts w:hint="eastAsia"/>
                      <w:color w:val="000000"/>
                      <w:sz w:val="21"/>
                      <w:szCs w:val="22"/>
                      <w:shd w:val="clear" w:color="auto" w:fill="FFFFFF"/>
                    </w:rPr>
                    <w:t>属于地质勘探活动，工作体量</w:t>
                  </w:r>
                  <w:r>
                    <w:rPr>
                      <w:rFonts w:hint="eastAsia"/>
                      <w:color w:val="000000"/>
                      <w:sz w:val="21"/>
                      <w:szCs w:val="22"/>
                    </w:rPr>
                    <w:t>较小，探矿期较短，工程结束后影响随着消除，符合《巴音郭楞蒙古自治州生态环境“十四五”规划》相关要求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《矿山生态环境保护与污染防治技术政策》</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矿产资源的开发应贯彻“污染防治与生态环境保护并重，生态环境保护与生态环境建设并举；以及预防为主、防治结合、过程控制、综合治理”的指导方针。矿产资源的开发应推行循环经济的“污染物减量、资源再利用和循环利用”的技术原则。</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shd w:val="clear" w:color="auto" w:fill="FFFFFF"/>
                    </w:rPr>
                    <w:t>本项目属于矿产资源勘查项目，不涉及矿产资源的开采，勘探区采用了边开挖、边回填、边复垦的勘探方式，探槽开挖的临时弃土就地堆放在探槽一侧，工程完成后立即回填。符合《矿山生态环境保护与污染防治技术政策》的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自然资源部、国家林草局《关于〈在新一轮找矿突破战略行动中全面实施绿色勘查〉的通知》</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地质勘查全行业要深入学习贯彻习近平生态文明思想，牢固树立和践行“绿水青山就是金山银山”的理念，全面实施绿色勘查，严格执行绿色勘查有关标准规范，全面提升绿色勘查技术方法、装备水平，高质量完成新一轮找矿突破战略行动目标。</w:t>
                  </w:r>
                </w:p>
              </w:tc>
              <w:tc>
                <w:tcPr>
                  <w:tcW w:w="1520" w:type="pct"/>
                  <w:vAlign w:val="center"/>
                </w:tcPr>
                <w:p>
                  <w:pPr>
                    <w:spacing w:line="240" w:lineRule="auto"/>
                    <w:ind w:firstLine="0" w:firstLineChars="0"/>
                    <w:jc w:val="center"/>
                    <w:textAlignment w:val="center"/>
                    <w:rPr>
                      <w:rFonts w:hint="eastAsia" w:eastAsia="宋体"/>
                      <w:color w:val="000000"/>
                      <w:sz w:val="21"/>
                      <w:szCs w:val="22"/>
                      <w:shd w:val="clear" w:color="auto" w:fill="FFFFFF"/>
                      <w:lang w:val="en-US" w:eastAsia="zh-CN"/>
                    </w:rPr>
                  </w:pPr>
                  <w:r>
                    <w:rPr>
                      <w:rFonts w:hint="eastAsia"/>
                      <w:color w:val="000000"/>
                      <w:sz w:val="21"/>
                      <w:szCs w:val="22"/>
                      <w:shd w:val="clear" w:color="auto" w:fill="FFFFFF"/>
                      <w:lang w:val="en-US" w:eastAsia="zh-CN"/>
                    </w:rPr>
                    <w:t>本项目在地质勘查工作中，通过合理选择有利于生态环境保护的技术方法、手段和设备等，在道路施工和场地平整、驻地建设、勘查施工、环境修复等方面实施管控，在满足地质勘查目的前提下，实现对生态环境扰动最小化，推动地质勘查绿色高质量发展。</w:t>
                  </w:r>
                </w:p>
              </w:tc>
              <w:tc>
                <w:tcPr>
                  <w:tcW w:w="386"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新出让的探矿权，要将矿业权人绿色勘查义务在合同中载明，并在勘查实施方案评审中，对绿色勘查措施进行严格把关，促进矿业权人落实绿色勘查各项规定和要求。</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lang w:val="en-US" w:eastAsia="zh-CN"/>
                    </w:rPr>
                    <w:t>本项目坚持绿色勘查原则。工作全过程始终坚持绿色发展理念和生态环境保护的原则。</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各地要严格落实好生态环境保护有关规定和要求，勘查工作结束后，项目承担单位要及时撤除各项设施，严格按照废弃物清理有关国家标准清理施工现场各种废物、垃圾等，严格按照绿色勘查有关标准规范和勘查实施方案要求处理新建道路、施工产生的坑、沟等，严格按照森林、草原、湿地、防沙治沙有关法律法规和标准规范在规定时间内做好复绿、复植等。</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在勘查结束后按照相关要求撤除各项设施，清理施工现场各种废物、垃圾，及时对开挖工程进行回填，开展植被恢复工作，最大限度减少人为破坏。坚持因地制宜。基于勘查区植被覆盖情况，自然修复能力等差异情况，采用适宜的勘查手段、环境保护和恢复措施，分类实施绿色勘查。</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地勘单位和矿山企业要在新一轮找矿突破战略行动有关地质勘查项目实施中，优先采用遥感、物探、化探等对环境影响小的地质勘查方法，必要的坑探、槽探、钻探、硐探要符合绿色勘查有关标准规范。在森林、草原、湿地地区尽可能减少使用坑探、槽探，鼓励使用以钻代槽、一基多孔等探矿手段。</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本项目施工布置及施工遵循“从已知到未知，由表及里，由浅入深，由稀到密”原则。前期充分收集已有地质资料，运用地理信息系统（GIS）、遥感（RS）等技术，进行综合分析和研究，优化勘查工作布局，减少不必要的勘查活动对环境的影响。采用地质、槽探、钻探等工作手段开展详查评价。通过运用高效、环保的方法、技术、设备等，在地质勘查各方面和全过程中减少或控制对生态环境的影响。</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lang w:val="en-US" w:eastAsia="zh-CN"/>
                    </w:rPr>
                    <w:t>《绿色地质勘查工作规范》（</w:t>
                  </w:r>
                  <w:r>
                    <w:rPr>
                      <w:rFonts w:hint="default"/>
                      <w:color w:val="000000"/>
                      <w:sz w:val="21"/>
                      <w:szCs w:val="22"/>
                      <w:lang w:val="en-US" w:eastAsia="zh-CN"/>
                    </w:rPr>
                    <w:t>DZ/T0374-2021</w:t>
                  </w:r>
                  <w:r>
                    <w:rPr>
                      <w:rFonts w:hint="eastAsia"/>
                      <w:color w:val="000000"/>
                      <w:sz w:val="21"/>
                      <w:szCs w:val="22"/>
                      <w:lang w:val="en-US" w:eastAsia="zh-CN"/>
                    </w:rPr>
                    <w:t>）</w:t>
                  </w:r>
                </w:p>
              </w:tc>
              <w:tc>
                <w:tcPr>
                  <w:tcW w:w="1850" w:type="pct"/>
                  <w:vAlign w:val="center"/>
                </w:tcPr>
                <w:p>
                  <w:pPr>
                    <w:spacing w:line="240" w:lineRule="auto"/>
                    <w:ind w:firstLine="0" w:firstLineChars="0"/>
                    <w:jc w:val="center"/>
                    <w:textAlignment w:val="center"/>
                    <w:rPr>
                      <w:rFonts w:hint="eastAsia"/>
                      <w:color w:val="000000"/>
                      <w:sz w:val="21"/>
                      <w:szCs w:val="22"/>
                      <w:shd w:val="clear" w:color="auto" w:fill="FFFFFF"/>
                    </w:rPr>
                  </w:pPr>
                  <w:r>
                    <w:rPr>
                      <w:rFonts w:hint="eastAsia"/>
                      <w:color w:val="000000"/>
                      <w:sz w:val="21"/>
                      <w:szCs w:val="22"/>
                      <w:shd w:val="clear" w:color="auto" w:fill="FFFFFF"/>
                      <w:lang w:val="en-US" w:eastAsia="zh-CN"/>
                    </w:rPr>
                    <w:t>编制地质勘查设计前，应就地质勘查工作部署对水、大气、声、土壤、野生动植物、自然遗迹和人文遗迹等的环境影响进行分析，确定主要的环境影响因素，制定环境保护、环境修复措施，编制经费预算，作为绿色勘查内容体现在勘查设计中，可以单独成章，也可以融入到相关章节</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lang w:val="en-US" w:eastAsia="zh-CN"/>
                    </w:rPr>
                    <w:t>本项目在地质勘查前，编制了环境影响评价文件，其中对环境保护相关内容进行了分析，并制定对应环保措施，符合要求</w:t>
                  </w:r>
                </w:p>
              </w:tc>
              <w:tc>
                <w:tcPr>
                  <w:tcW w:w="386" w:type="pct"/>
                  <w:vAlign w:val="center"/>
                </w:tcPr>
                <w:p>
                  <w:pPr>
                    <w:spacing w:line="240" w:lineRule="auto"/>
                    <w:ind w:firstLine="0" w:firstLineChars="0"/>
                    <w:jc w:val="center"/>
                    <w:textAlignment w:val="center"/>
                    <w:rPr>
                      <w:rFonts w:hint="eastAsia" w:eastAsia="宋体"/>
                      <w:color w:val="000000"/>
                      <w:sz w:val="21"/>
                      <w:szCs w:val="22"/>
                      <w:lang w:val="en-US" w:eastAsia="zh-CN"/>
                    </w:rPr>
                  </w:pPr>
                  <w:r>
                    <w:rPr>
                      <w:rFonts w:hint="eastAsia"/>
                      <w:color w:val="000000"/>
                      <w:sz w:val="21"/>
                      <w:szCs w:val="22"/>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rFonts w:hint="eastAsia"/>
                      <w:color w:val="000000"/>
                      <w:sz w:val="21"/>
                      <w:szCs w:val="22"/>
                      <w:lang w:val="en-US" w:eastAsia="zh-CN"/>
                    </w:rPr>
                  </w:pPr>
                  <w:r>
                    <w:rPr>
                      <w:rFonts w:hint="eastAsia"/>
                      <w:color w:val="000000"/>
                      <w:sz w:val="21"/>
                      <w:szCs w:val="22"/>
                      <w:lang w:val="en-US" w:eastAsia="zh-CN"/>
                    </w:rPr>
                    <w:t>《关于印发新疆维吾尔自治区28个国家重点生态功能区县（市）产业准入负面清单（试行）的通知》新发改规划〔2017〕891号</w:t>
                  </w:r>
                </w:p>
              </w:tc>
              <w:tc>
                <w:tcPr>
                  <w:tcW w:w="1850" w:type="pct"/>
                  <w:vAlign w:val="center"/>
                </w:tcPr>
                <w:p>
                  <w:pPr>
                    <w:spacing w:line="240" w:lineRule="auto"/>
                    <w:ind w:firstLine="0" w:firstLineChars="0"/>
                    <w:jc w:val="center"/>
                    <w:textAlignment w:val="center"/>
                    <w:rPr>
                      <w:rFonts w:hint="eastAsia"/>
                      <w:color w:val="000000"/>
                      <w:sz w:val="21"/>
                      <w:szCs w:val="22"/>
                      <w:shd w:val="clear" w:color="auto" w:fill="FFFFFF"/>
                      <w:lang w:val="en-US" w:eastAsia="zh-CN"/>
                    </w:rPr>
                  </w:pPr>
                  <w:r>
                    <w:rPr>
                      <w:rFonts w:hint="eastAsia"/>
                      <w:color w:val="000000"/>
                      <w:sz w:val="21"/>
                      <w:szCs w:val="22"/>
                      <w:shd w:val="clear" w:color="auto" w:fill="FFFFFF"/>
                      <w:lang w:val="en-US" w:eastAsia="zh-CN"/>
                    </w:rPr>
                    <w:t>若羌县地处阿尔金草原荒漠化防治国家重点生态功能区。本负面清单涉及国民经济6门类13大类17中类21小类。其中禁止类涉及国民经济3门类6大类8中类9小类；限制类涉及国民经济5门类8大类9中类12小类。</w:t>
                  </w:r>
                </w:p>
              </w:tc>
              <w:tc>
                <w:tcPr>
                  <w:tcW w:w="1520" w:type="pct"/>
                  <w:vAlign w:val="center"/>
                </w:tcPr>
                <w:p>
                  <w:pPr>
                    <w:spacing w:line="240" w:lineRule="auto"/>
                    <w:ind w:firstLine="0" w:firstLineChars="0"/>
                    <w:jc w:val="center"/>
                    <w:textAlignment w:val="center"/>
                    <w:rPr>
                      <w:rFonts w:hint="eastAsia"/>
                      <w:color w:val="000000"/>
                      <w:sz w:val="21"/>
                      <w:szCs w:val="22"/>
                      <w:shd w:val="clear" w:color="auto" w:fill="FFFFFF"/>
                      <w:lang w:val="en-US" w:eastAsia="zh-CN"/>
                    </w:rPr>
                  </w:pPr>
                  <w:r>
                    <w:rPr>
                      <w:rFonts w:hint="eastAsia"/>
                      <w:color w:val="000000"/>
                      <w:sz w:val="21"/>
                      <w:szCs w:val="22"/>
                      <w:shd w:val="clear" w:color="auto" w:fill="FFFFFF"/>
                      <w:lang w:val="en-US" w:eastAsia="zh-CN"/>
                    </w:rPr>
                    <w:t>本项目为固体矿产地质勘探，不属于若羌县产业准入负面清单。</w:t>
                  </w:r>
                </w:p>
              </w:tc>
              <w:tc>
                <w:tcPr>
                  <w:tcW w:w="386" w:type="pct"/>
                  <w:vAlign w:val="center"/>
                </w:tcPr>
                <w:p>
                  <w:pPr>
                    <w:spacing w:line="240" w:lineRule="auto"/>
                    <w:ind w:firstLine="0" w:firstLineChars="0"/>
                    <w:jc w:val="center"/>
                    <w:textAlignment w:val="center"/>
                    <w:rPr>
                      <w:rFonts w:hint="default"/>
                      <w:color w:val="000000"/>
                      <w:sz w:val="21"/>
                      <w:szCs w:val="22"/>
                      <w:lang w:val="en-US" w:eastAsia="zh-CN"/>
                    </w:rPr>
                  </w:pPr>
                  <w:r>
                    <w:rPr>
                      <w:rFonts w:hint="eastAsia"/>
                      <w:color w:val="000000"/>
                      <w:sz w:val="21"/>
                      <w:szCs w:val="22"/>
                      <w:lang w:val="en-US" w:eastAsia="zh-CN"/>
                    </w:rPr>
                    <w:t>符合</w:t>
                  </w:r>
                </w:p>
              </w:tc>
            </w:tr>
            <w:bookmarkEnd w:id="0"/>
          </w:tbl>
          <w:p>
            <w:pPr>
              <w:ind w:firstLine="0" w:firstLineChars="0"/>
              <w:rPr>
                <w:b/>
                <w:color w:val="000000"/>
              </w:rPr>
            </w:pPr>
          </w:p>
        </w:tc>
      </w:tr>
    </w:tbl>
    <w:p>
      <w:pPr>
        <w:rPr>
          <w:rFonts w:hint="eastAsia"/>
          <w:snapToGrid w:val="0"/>
        </w:rPr>
      </w:pPr>
      <w:r>
        <w:rPr>
          <w:rFonts w:hint="eastAsia"/>
          <w:snapToGrid w:val="0"/>
        </w:rPr>
        <w:br w:type="page"/>
      </w:r>
    </w:p>
    <w:p>
      <w:pPr>
        <w:pStyle w:val="2"/>
        <w:rPr>
          <w:snapToGrid w:val="0"/>
        </w:rPr>
      </w:pPr>
      <w:r>
        <w:rPr>
          <w:rFonts w:hint="eastAsia"/>
          <w:snapToGrid w:val="0"/>
        </w:rPr>
        <w:t>二、建设内容</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spacing w:line="240" w:lineRule="auto"/>
              <w:ind w:firstLine="0" w:firstLineChars="0"/>
              <w:jc w:val="center"/>
            </w:pPr>
            <w:r>
              <w:rPr>
                <w:rFonts w:hint="eastAsia"/>
              </w:rPr>
              <w:t>地</w:t>
            </w:r>
          </w:p>
          <w:p>
            <w:pPr>
              <w:spacing w:line="240" w:lineRule="auto"/>
              <w:ind w:firstLine="0" w:firstLineChars="0"/>
              <w:jc w:val="center"/>
            </w:pPr>
            <w:r>
              <w:rPr>
                <w:rFonts w:hint="eastAsia"/>
              </w:rPr>
              <w:t>理</w:t>
            </w:r>
          </w:p>
          <w:p>
            <w:pPr>
              <w:spacing w:line="240" w:lineRule="auto"/>
              <w:ind w:firstLine="0" w:firstLineChars="0"/>
              <w:jc w:val="center"/>
            </w:pPr>
            <w:r>
              <w:rPr>
                <w:rFonts w:hint="eastAsia"/>
              </w:rPr>
              <w:t>位</w:t>
            </w:r>
          </w:p>
          <w:p>
            <w:pPr>
              <w:spacing w:line="240" w:lineRule="auto"/>
              <w:ind w:firstLine="0" w:firstLineChars="0"/>
              <w:jc w:val="center"/>
            </w:pPr>
            <w:r>
              <w:rPr>
                <w:rFonts w:hint="eastAsia"/>
              </w:rPr>
              <w:t>置</w:t>
            </w:r>
          </w:p>
        </w:tc>
        <w:tc>
          <w:tcPr>
            <w:tcW w:w="4753" w:type="pct"/>
          </w:tcPr>
          <w:p>
            <w:pPr>
              <w:ind w:firstLine="480"/>
            </w:pPr>
            <w:r>
              <w:rPr>
                <w:rFonts w:hint="eastAsia"/>
                <w:lang w:eastAsia="zh-CN"/>
              </w:rPr>
              <w:t>项目区位于</w:t>
            </w:r>
            <w:r>
              <w:rPr>
                <w:rFonts w:hint="eastAsia"/>
                <w:lang w:val="en-US" w:eastAsia="zh-CN"/>
              </w:rPr>
              <w:t>新疆若羌县东南120°方向，直线距离为100-140千米。勘查区隶属新疆巴音郭楞蒙古自治州若羌县依吞布拉克镇管辖。</w:t>
            </w:r>
            <w:r>
              <w:rPr>
                <w:rFonts w:hint="eastAsia"/>
              </w:rPr>
              <w:t>勘查范围中心点坐标：</w:t>
            </w:r>
            <w:r>
              <w:rPr>
                <w:rFonts w:hint="eastAsia"/>
                <w:highlight w:val="none"/>
              </w:rPr>
              <w:t>89°37'55.2123"</w:t>
            </w:r>
            <w:r>
              <w:rPr>
                <w:rFonts w:hint="eastAsia"/>
                <w:highlight w:val="none"/>
                <w:lang w:eastAsia="zh-CN"/>
              </w:rPr>
              <w:t>E，38°19'00.2935"N</w:t>
            </w:r>
            <w:r>
              <w:rPr>
                <w:rFonts w:hint="eastAsia"/>
                <w:lang w:eastAsia="zh-CN"/>
              </w:rPr>
              <w:t>。</w:t>
            </w:r>
            <w:r>
              <w:rPr>
                <w:rFonts w:hint="eastAsia"/>
              </w:rPr>
              <w:t>根据建设单位取得的探矿证（探矿证号：</w:t>
            </w:r>
            <w:r>
              <w:rPr>
                <w:rFonts w:hint="eastAsia"/>
                <w:lang w:val="en-US" w:eastAsia="zh-CN"/>
              </w:rPr>
              <w:t>T6500002008123010022949</w:t>
            </w:r>
            <w:r>
              <w:rPr>
                <w:rFonts w:hint="eastAsia"/>
              </w:rPr>
              <w:t>），项目探矿范围拐点坐标如下表所示，地理位置图见</w:t>
            </w:r>
            <w:r>
              <w:rPr>
                <w:rFonts w:hint="eastAsia"/>
                <w:lang w:eastAsia="zh-CN"/>
              </w:rPr>
              <w:t>《</w:t>
            </w:r>
            <w:r>
              <w:rPr>
                <w:rFonts w:hint="eastAsia"/>
              </w:rPr>
              <w:t>附图1</w:t>
            </w:r>
            <w:r>
              <w:rPr>
                <w:rFonts w:hint="eastAsia"/>
                <w:lang w:val="en-US" w:eastAsia="zh-CN"/>
              </w:rPr>
              <w:t>项目区地理位置图》</w:t>
            </w:r>
            <w:r>
              <w:rPr>
                <w:rFonts w:hint="eastAsia"/>
              </w:rPr>
              <w:t>。</w:t>
            </w:r>
          </w:p>
          <w:p>
            <w:pPr>
              <w:pStyle w:val="28"/>
              <w:spacing w:before="120"/>
            </w:pPr>
            <w:r>
              <w:t>表2.1本项目</w:t>
            </w:r>
            <w:r>
              <w:rPr>
                <w:rFonts w:hint="eastAsia"/>
              </w:rPr>
              <w:t>探矿权范围拐点坐标</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7"/>
              <w:gridCol w:w="3562"/>
              <w:gridCol w:w="3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Merge w:val="restart"/>
                  <w:vAlign w:val="center"/>
                </w:tcPr>
                <w:p>
                  <w:pPr>
                    <w:pStyle w:val="26"/>
                  </w:pPr>
                  <w:r>
                    <w:rPr>
                      <w:rFonts w:hint="eastAsia"/>
                    </w:rPr>
                    <w:t>拐点序号</w:t>
                  </w:r>
                </w:p>
              </w:tc>
              <w:tc>
                <w:tcPr>
                  <w:tcW w:w="4265" w:type="pct"/>
                  <w:gridSpan w:val="2"/>
                  <w:vAlign w:val="center"/>
                </w:tcPr>
                <w:p>
                  <w:pPr>
                    <w:pStyle w:val="26"/>
                  </w:pPr>
                  <w:r>
                    <w:rPr>
                      <w:rFonts w:hint="eastAsia"/>
                    </w:rPr>
                    <w:t>地理坐标（CGCS2000坐标系）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Merge w:val="continue"/>
                  <w:vAlign w:val="center"/>
                </w:tcPr>
                <w:p>
                  <w:pPr>
                    <w:pStyle w:val="26"/>
                  </w:pPr>
                </w:p>
              </w:tc>
              <w:tc>
                <w:tcPr>
                  <w:tcW w:w="2131" w:type="pct"/>
                  <w:vAlign w:val="center"/>
                </w:tcPr>
                <w:p>
                  <w:pPr>
                    <w:widowControl/>
                    <w:spacing w:line="240" w:lineRule="auto"/>
                    <w:ind w:firstLine="0" w:firstLineChars="0"/>
                    <w:jc w:val="center"/>
                    <w:textAlignment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经度</w:t>
                  </w:r>
                </w:p>
              </w:tc>
              <w:tc>
                <w:tcPr>
                  <w:tcW w:w="2133" w:type="pct"/>
                  <w:vAlign w:val="center"/>
                </w:tcPr>
                <w:p>
                  <w:pPr>
                    <w:widowControl/>
                    <w:spacing w:line="240" w:lineRule="auto"/>
                    <w:ind w:firstLine="0" w:firstLineChars="0"/>
                    <w:jc w:val="center"/>
                    <w:textAlignment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1</w:t>
                  </w:r>
                </w:p>
              </w:tc>
              <w:tc>
                <w:tcPr>
                  <w:tcW w:w="3562" w:type="dxa"/>
                  <w:vAlign w:val="top"/>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89°36′14″</w:t>
                  </w:r>
                </w:p>
              </w:tc>
              <w:tc>
                <w:tcPr>
                  <w:tcW w:w="3566" w:type="dxa"/>
                  <w:vAlign w:val="top"/>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2</w:t>
                  </w:r>
                </w:p>
              </w:tc>
              <w:tc>
                <w:tcPr>
                  <w:tcW w:w="3562" w:type="dxa"/>
                  <w:vAlign w:val="top"/>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89°37′30″</w:t>
                  </w:r>
                </w:p>
              </w:tc>
              <w:tc>
                <w:tcPr>
                  <w:tcW w:w="3566" w:type="dxa"/>
                  <w:vAlign w:val="top"/>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w:t>
                  </w:r>
                </w:p>
              </w:tc>
              <w:tc>
                <w:tcPr>
                  <w:tcW w:w="3562" w:type="dxa"/>
                  <w:vAlign w:val="top"/>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89°37′59″</w:t>
                  </w:r>
                </w:p>
              </w:tc>
              <w:tc>
                <w:tcPr>
                  <w:tcW w:w="3566" w:type="dxa"/>
                  <w:vAlign w:val="top"/>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4</w:t>
                  </w:r>
                </w:p>
              </w:tc>
              <w:tc>
                <w:tcPr>
                  <w:tcW w:w="3562" w:type="dxa"/>
                  <w:vAlign w:val="top"/>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89°37′59″</w:t>
                  </w:r>
                </w:p>
              </w:tc>
              <w:tc>
                <w:tcPr>
                  <w:tcW w:w="3566" w:type="dxa"/>
                  <w:vAlign w:val="top"/>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38°19′30″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5</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89°39′20″</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38°19′30″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6</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89°39′20″</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38°19′03″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7</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89°38′03″</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89°36′14″</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val="en-US" w:eastAsia="zh-CN" w:bidi="ar"/>
                    </w:rPr>
                  </w:pPr>
                  <w:r>
                    <w:rPr>
                      <w:rFonts w:hint="eastAsia" w:eastAsia="仿宋_GB2312" w:cs="Times New Roman"/>
                      <w:color w:val="000000"/>
                      <w:kern w:val="0"/>
                      <w:sz w:val="21"/>
                      <w:szCs w:val="21"/>
                      <w:lang w:val="en-US" w:eastAsia="zh-CN" w:bidi="ar"/>
                    </w:rPr>
                    <w:t>9</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89°37′32″</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38°19′31″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eastAsia="仿宋_GB2312" w:cs="Times New Roman"/>
                      <w:color w:val="000000"/>
                      <w:kern w:val="0"/>
                      <w:sz w:val="21"/>
                      <w:szCs w:val="21"/>
                      <w:lang w:val="en-US" w:eastAsia="zh-CN" w:bidi="ar"/>
                    </w:rPr>
                    <w:t>10</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89°37′32″</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eastAsia="仿宋_GB2312" w:cs="Times New Roman"/>
                      <w:color w:val="000000"/>
                      <w:kern w:val="0"/>
                      <w:sz w:val="21"/>
                      <w:szCs w:val="21"/>
                      <w:lang w:val="en-US" w:eastAsia="zh-CN" w:bidi="ar"/>
                    </w:rPr>
                    <w:t>11</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89°36′35″</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eastAsia="仿宋_GB2312" w:cs="Times New Roman"/>
                      <w:color w:val="000000"/>
                      <w:kern w:val="0"/>
                      <w:sz w:val="21"/>
                      <w:szCs w:val="21"/>
                      <w:lang w:val="en-US" w:eastAsia="zh-CN" w:bidi="ar"/>
                    </w:rPr>
                    <w:t>12</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89°36′14″</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38°21′05″</w:t>
                  </w:r>
                </w:p>
              </w:tc>
            </w:tr>
          </w:tbl>
          <w:p>
            <w:pPr>
              <w:ind w:firstLine="482"/>
              <w:rPr>
                <w:b/>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spacing w:line="240" w:lineRule="auto"/>
              <w:ind w:firstLine="0" w:firstLineChars="0"/>
              <w:jc w:val="center"/>
            </w:pPr>
            <w:r>
              <w:rPr>
                <w:rFonts w:hint="eastAsia"/>
              </w:rPr>
              <w:t>项</w:t>
            </w:r>
          </w:p>
          <w:p>
            <w:pPr>
              <w:spacing w:line="240" w:lineRule="auto"/>
              <w:ind w:firstLine="0" w:firstLineChars="0"/>
              <w:jc w:val="center"/>
            </w:pPr>
            <w:r>
              <w:rPr>
                <w:rFonts w:hint="eastAsia"/>
              </w:rPr>
              <w:t>目</w:t>
            </w:r>
          </w:p>
          <w:p>
            <w:pPr>
              <w:spacing w:line="240" w:lineRule="auto"/>
              <w:ind w:firstLine="0" w:firstLineChars="0"/>
              <w:jc w:val="center"/>
            </w:pPr>
            <w:r>
              <w:rPr>
                <w:rFonts w:hint="eastAsia"/>
              </w:rPr>
              <w:t>组</w:t>
            </w:r>
          </w:p>
          <w:p>
            <w:pPr>
              <w:spacing w:line="240" w:lineRule="auto"/>
              <w:ind w:firstLine="0" w:firstLineChars="0"/>
              <w:jc w:val="center"/>
            </w:pPr>
            <w:r>
              <w:rPr>
                <w:rFonts w:hint="eastAsia"/>
              </w:rPr>
              <w:t>成</w:t>
            </w:r>
          </w:p>
          <w:p>
            <w:pPr>
              <w:spacing w:line="240" w:lineRule="auto"/>
              <w:ind w:firstLine="0" w:firstLineChars="0"/>
              <w:jc w:val="center"/>
            </w:pPr>
            <w:r>
              <w:rPr>
                <w:rFonts w:hint="eastAsia"/>
              </w:rPr>
              <w:t>及</w:t>
            </w:r>
          </w:p>
          <w:p>
            <w:pPr>
              <w:spacing w:line="240" w:lineRule="auto"/>
              <w:ind w:firstLine="0" w:firstLineChars="0"/>
              <w:jc w:val="center"/>
            </w:pPr>
            <w:r>
              <w:rPr>
                <w:rFonts w:hint="eastAsia"/>
              </w:rPr>
              <w:t>规</w:t>
            </w:r>
          </w:p>
          <w:p>
            <w:pPr>
              <w:spacing w:line="240" w:lineRule="auto"/>
              <w:ind w:firstLine="0" w:firstLineChars="0"/>
              <w:jc w:val="center"/>
            </w:pPr>
            <w:r>
              <w:rPr>
                <w:rFonts w:hint="eastAsia"/>
              </w:rPr>
              <w:t>模</w:t>
            </w:r>
          </w:p>
        </w:tc>
        <w:tc>
          <w:tcPr>
            <w:tcW w:w="4753" w:type="pct"/>
          </w:tcPr>
          <w:p>
            <w:pPr>
              <w:pStyle w:val="15"/>
              <w:ind w:firstLine="482"/>
              <w:rPr>
                <w:color w:val="000000"/>
              </w:rPr>
            </w:pPr>
            <w:r>
              <w:rPr>
                <w:rFonts w:hint="eastAsia"/>
                <w:color w:val="000000"/>
              </w:rPr>
              <w:t>1.</w:t>
            </w:r>
            <w:r>
              <w:rPr>
                <w:rFonts w:hint="eastAsia"/>
                <w:lang w:bidi="ar"/>
              </w:rPr>
              <w:t>项目基本概况</w:t>
            </w:r>
          </w:p>
          <w:p>
            <w:pPr>
              <w:ind w:firstLine="480"/>
            </w:pPr>
            <w:r>
              <w:rPr>
                <w:rFonts w:hint="eastAsia"/>
              </w:rPr>
              <w:t>（</w:t>
            </w:r>
            <w:r>
              <w:t>1</w:t>
            </w:r>
            <w:r>
              <w:rPr>
                <w:rFonts w:hint="eastAsia"/>
              </w:rPr>
              <w:t>）项目名称：</w:t>
            </w:r>
            <w:r>
              <w:rPr>
                <w:rFonts w:hint="eastAsia"/>
                <w:lang w:val="en-US" w:eastAsia="zh-CN"/>
              </w:rPr>
              <w:t>新疆若羌县曼达勒克山一带铜金多金属矿详查项目</w:t>
            </w:r>
            <w:r>
              <w:rPr>
                <w:rFonts w:hint="eastAsia"/>
              </w:rPr>
              <w:t>；</w:t>
            </w:r>
          </w:p>
          <w:p>
            <w:pPr>
              <w:ind w:firstLine="480"/>
            </w:pPr>
            <w:r>
              <w:rPr>
                <w:rFonts w:hint="eastAsia"/>
              </w:rPr>
              <w:t>（</w:t>
            </w:r>
            <w:r>
              <w:t>2</w:t>
            </w:r>
            <w:r>
              <w:rPr>
                <w:rFonts w:hint="eastAsia"/>
              </w:rPr>
              <w:t>）项目性质：新建；</w:t>
            </w:r>
          </w:p>
          <w:p>
            <w:pPr>
              <w:ind w:firstLine="480"/>
            </w:pPr>
            <w:r>
              <w:rPr>
                <w:rFonts w:hint="eastAsia"/>
              </w:rPr>
              <w:t>（</w:t>
            </w:r>
            <w:r>
              <w:t>3</w:t>
            </w:r>
            <w:r>
              <w:rPr>
                <w:rFonts w:hint="eastAsia"/>
              </w:rPr>
              <w:t>）建设单位：</w:t>
            </w:r>
            <w:r>
              <w:rPr>
                <w:rFonts w:hint="eastAsia"/>
                <w:lang w:val="en-US" w:eastAsia="zh-CN"/>
              </w:rPr>
              <w:t>巴州天山</w:t>
            </w:r>
            <w:r>
              <w:rPr>
                <w:rFonts w:hint="eastAsia"/>
              </w:rPr>
              <w:t>地质矿业有限责任公司；</w:t>
            </w:r>
          </w:p>
          <w:p>
            <w:pPr>
              <w:ind w:firstLine="480"/>
            </w:pPr>
            <w:r>
              <w:rPr>
                <w:rFonts w:hint="eastAsia"/>
              </w:rPr>
              <w:t>（</w:t>
            </w:r>
            <w:r>
              <w:t>4</w:t>
            </w:r>
            <w:r>
              <w:rPr>
                <w:rFonts w:hint="eastAsia"/>
              </w:rPr>
              <w:t>）建设地点：项目区</w:t>
            </w:r>
            <w:r>
              <w:rPr>
                <w:rFonts w:hint="eastAsia"/>
                <w:lang w:eastAsia="zh-CN"/>
              </w:rPr>
              <w:t>位于</w:t>
            </w:r>
            <w:r>
              <w:rPr>
                <w:rFonts w:hint="eastAsia"/>
                <w:lang w:val="en-US" w:eastAsia="zh-CN"/>
              </w:rPr>
              <w:t>新疆若羌县东南120°方向，直线距离为100-140千米。勘查区隶属新疆巴音郭楞蒙古自治州若羌县依吞布拉克镇管辖。</w:t>
            </w:r>
          </w:p>
          <w:p>
            <w:pPr>
              <w:ind w:firstLine="480"/>
            </w:pPr>
            <w:r>
              <w:rPr>
                <w:rFonts w:hint="eastAsia"/>
              </w:rPr>
              <w:t>（5）探矿权有效期：</w:t>
            </w:r>
            <w:r>
              <w:t>202</w:t>
            </w:r>
            <w:r>
              <w:rPr>
                <w:rFonts w:hint="eastAsia"/>
              </w:rPr>
              <w:t>1</w:t>
            </w:r>
            <w:r>
              <w:t>年</w:t>
            </w:r>
            <w:r>
              <w:rPr>
                <w:rFonts w:hint="eastAsia"/>
                <w:lang w:val="en-US" w:eastAsia="zh-CN"/>
              </w:rPr>
              <w:t>9</w:t>
            </w:r>
            <w:r>
              <w:rPr>
                <w:rFonts w:hint="eastAsia"/>
              </w:rPr>
              <w:t>月</w:t>
            </w:r>
            <w:r>
              <w:rPr>
                <w:rFonts w:hint="eastAsia"/>
                <w:lang w:val="en-US" w:eastAsia="zh-CN"/>
              </w:rPr>
              <w:t>24</w:t>
            </w:r>
            <w:r>
              <w:rPr>
                <w:rFonts w:hint="eastAsia"/>
              </w:rPr>
              <w:t>日</w:t>
            </w:r>
            <w:r>
              <w:t>至2026年</w:t>
            </w:r>
            <w:r>
              <w:rPr>
                <w:rFonts w:hint="eastAsia"/>
                <w:lang w:val="en-US" w:eastAsia="zh-CN"/>
              </w:rPr>
              <w:t>9</w:t>
            </w:r>
            <w:r>
              <w:t>月</w:t>
            </w:r>
            <w:r>
              <w:rPr>
                <w:rFonts w:hint="eastAsia"/>
                <w:lang w:val="en-US" w:eastAsia="zh-CN"/>
              </w:rPr>
              <w:t>24</w:t>
            </w:r>
            <w:r>
              <w:t>日</w:t>
            </w:r>
          </w:p>
          <w:p>
            <w:pPr>
              <w:ind w:firstLine="480"/>
            </w:pPr>
            <w:r>
              <w:rPr>
                <w:rFonts w:hint="eastAsia"/>
              </w:rPr>
              <w:t>（6）</w:t>
            </w:r>
            <w:r>
              <w:t>工程投资：</w:t>
            </w:r>
            <w:r>
              <w:rPr>
                <w:rFonts w:hint="eastAsia"/>
                <w:lang w:val="en-US" w:eastAsia="zh-CN"/>
              </w:rPr>
              <w:t>433.81</w:t>
            </w:r>
            <w:r>
              <w:t>万元</w:t>
            </w:r>
          </w:p>
          <w:p>
            <w:pPr>
              <w:ind w:firstLine="480"/>
              <w:rPr>
                <w:vertAlign w:val="superscript"/>
              </w:rPr>
            </w:pPr>
            <w:r>
              <w:rPr>
                <w:rFonts w:hint="eastAsia"/>
              </w:rPr>
              <w:t>（7）勘查面积：</w:t>
            </w:r>
            <w:r>
              <w:rPr>
                <w:rFonts w:hint="eastAsia"/>
                <w:lang w:val="en-US" w:eastAsia="zh-CN"/>
              </w:rPr>
              <w:t>11.39km</w:t>
            </w:r>
            <w:r>
              <w:rPr>
                <w:vertAlign w:val="superscript"/>
              </w:rPr>
              <w:t>2</w:t>
            </w:r>
          </w:p>
          <w:p>
            <w:pPr>
              <w:ind w:firstLine="482"/>
              <w:rPr>
                <w:b/>
                <w:bCs/>
              </w:rPr>
            </w:pPr>
            <w:r>
              <w:rPr>
                <w:rFonts w:hint="eastAsia"/>
                <w:b/>
                <w:bCs/>
              </w:rPr>
              <w:t>2</w:t>
            </w:r>
            <w:r>
              <w:rPr>
                <w:b/>
                <w:bCs/>
              </w:rPr>
              <w:t>.</w:t>
            </w:r>
            <w:r>
              <w:rPr>
                <w:rFonts w:hint="eastAsia"/>
                <w:b/>
                <w:bCs/>
              </w:rPr>
              <w:t>建设内容及规模</w:t>
            </w:r>
          </w:p>
          <w:p>
            <w:pPr>
              <w:ind w:firstLine="482"/>
              <w:rPr>
                <w:b/>
                <w:bCs/>
              </w:rPr>
            </w:pPr>
            <w:r>
              <w:rPr>
                <w:rFonts w:hint="eastAsia"/>
                <w:b/>
                <w:bCs/>
              </w:rPr>
              <w:t>2</w:t>
            </w:r>
            <w:r>
              <w:rPr>
                <w:b/>
                <w:bCs/>
              </w:rPr>
              <w:t>.1</w:t>
            </w:r>
            <w:r>
              <w:rPr>
                <w:rFonts w:hint="eastAsia"/>
                <w:b/>
                <w:bCs/>
              </w:rPr>
              <w:t>以往区域地质工作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勘查区位于阿尔金山脉西段北缘，自然地理及气候条件极其恶劣。2010年以前仅开展过1∶100、1∶25万不同比例尺的区调、化探、物探、遥感以及1∶5万航磁等工作。最近几年，部分区域相继开展了1∶5万区域地质矿产调查及少量的矿产专项调查评价工作。进入二十一世纪随着国家西部大开发战略的实施，该区的地质研究和矿产调查、评价工作进入了一个新的历史阶段（表2-</w:t>
            </w:r>
            <w:r>
              <w:rPr>
                <w:rFonts w:hint="eastAsia" w:cs="Times New Roman"/>
                <w:lang w:val="en-US" w:eastAsia="zh-CN"/>
              </w:rPr>
              <w:t>2</w:t>
            </w:r>
            <w:r>
              <w:rPr>
                <w:rFonts w:hint="eastAsia" w:ascii="Times New Roman" w:hAnsi="Times New Roman" w:eastAsia="宋体" w:cs="Times New Roman"/>
                <w:lang w:val="en-US" w:eastAsia="zh-CN"/>
              </w:rPr>
              <w:t>）。</w:t>
            </w:r>
          </w:p>
          <w:p>
            <w:pPr>
              <w:pStyle w:val="34"/>
              <w:jc w:val="center"/>
              <w:rPr>
                <w:rFonts w:ascii="Times New Roman" w:cs="Times New Roman"/>
                <w:b/>
                <w:bCs/>
                <w:sz w:val="21"/>
                <w:szCs w:val="21"/>
              </w:rPr>
            </w:pPr>
            <w:r>
              <w:rPr>
                <w:rFonts w:ascii="Times New Roman" w:cs="Times New Roman"/>
                <w:b/>
                <w:bCs/>
                <w:sz w:val="21"/>
                <w:szCs w:val="21"/>
              </w:rPr>
              <w:t>表2-</w:t>
            </w:r>
            <w:r>
              <w:rPr>
                <w:rFonts w:hint="eastAsia" w:ascii="Times New Roman" w:cs="Times New Roman"/>
                <w:b/>
                <w:bCs/>
                <w:sz w:val="21"/>
                <w:szCs w:val="21"/>
                <w:lang w:val="en-US" w:eastAsia="zh-CN"/>
              </w:rPr>
              <w:t>2</w:t>
            </w:r>
            <w:r>
              <w:rPr>
                <w:rFonts w:ascii="Times New Roman" w:cs="Times New Roman"/>
                <w:b/>
                <w:bCs/>
                <w:sz w:val="21"/>
                <w:szCs w:val="21"/>
              </w:rPr>
              <w:t>区域地质研究史</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33"/>
              <w:gridCol w:w="1988"/>
              <w:gridCol w:w="3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4"/>
                    <w:jc w:val="center"/>
                    <w:rPr>
                      <w:rFonts w:ascii="Times New Roman" w:cs="Times New Roman"/>
                      <w:sz w:val="21"/>
                      <w:szCs w:val="21"/>
                    </w:rPr>
                  </w:pPr>
                  <w:r>
                    <w:rPr>
                      <w:rFonts w:ascii="Times New Roman" w:cs="Times New Roman"/>
                      <w:sz w:val="21"/>
                      <w:szCs w:val="21"/>
                    </w:rPr>
                    <w:t>工作时间</w:t>
                  </w:r>
                </w:p>
              </w:tc>
              <w:tc>
                <w:tcPr>
                  <w:tcW w:w="977" w:type="pct"/>
                  <w:vAlign w:val="center"/>
                </w:tcPr>
                <w:p>
                  <w:pPr>
                    <w:pStyle w:val="34"/>
                    <w:jc w:val="center"/>
                    <w:rPr>
                      <w:rFonts w:ascii="Times New Roman" w:cs="Times New Roman"/>
                      <w:sz w:val="21"/>
                      <w:szCs w:val="21"/>
                    </w:rPr>
                  </w:pPr>
                  <w:r>
                    <w:rPr>
                      <w:rFonts w:ascii="Times New Roman" w:cs="Times New Roman"/>
                      <w:sz w:val="21"/>
                      <w:szCs w:val="21"/>
                    </w:rPr>
                    <w:t>工作单位与作者</w:t>
                  </w:r>
                </w:p>
              </w:tc>
              <w:tc>
                <w:tcPr>
                  <w:tcW w:w="1189" w:type="pct"/>
                  <w:vAlign w:val="center"/>
                </w:tcPr>
                <w:p>
                  <w:pPr>
                    <w:pStyle w:val="34"/>
                    <w:jc w:val="center"/>
                    <w:rPr>
                      <w:rFonts w:ascii="Times New Roman" w:cs="Times New Roman"/>
                      <w:sz w:val="21"/>
                      <w:szCs w:val="21"/>
                    </w:rPr>
                  </w:pPr>
                  <w:r>
                    <w:rPr>
                      <w:rFonts w:ascii="Times New Roman" w:cs="Times New Roman"/>
                      <w:sz w:val="21"/>
                      <w:szCs w:val="21"/>
                    </w:rPr>
                    <w:t>工作性质</w:t>
                  </w:r>
                </w:p>
              </w:tc>
              <w:tc>
                <w:tcPr>
                  <w:tcW w:w="2204" w:type="pct"/>
                  <w:vAlign w:val="center"/>
                </w:tcPr>
                <w:p>
                  <w:pPr>
                    <w:pStyle w:val="34"/>
                    <w:jc w:val="center"/>
                    <w:rPr>
                      <w:rFonts w:ascii="Times New Roman" w:cs="Times New Roman"/>
                      <w:sz w:val="21"/>
                      <w:szCs w:val="21"/>
                    </w:rPr>
                  </w:pPr>
                  <w:r>
                    <w:rPr>
                      <w:rFonts w:ascii="Times New Roman" w:cs="Times New Roman"/>
                      <w:sz w:val="21"/>
                      <w:szCs w:val="21"/>
                    </w:rPr>
                    <w:t>主要成果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1980～1981年</w:t>
                  </w:r>
                </w:p>
              </w:tc>
              <w:tc>
                <w:tcPr>
                  <w:tcW w:w="977"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新疆地矿局第一区调大队</w:t>
                  </w:r>
                </w:p>
              </w:tc>
              <w:tc>
                <w:tcPr>
                  <w:tcW w:w="1189"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1∶100万区域地质调查</w:t>
                  </w:r>
                </w:p>
              </w:tc>
              <w:tc>
                <w:tcPr>
                  <w:tcW w:w="2204"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出版有《1∶100万区域地质调查报告》及图件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4"/>
                    <w:jc w:val="center"/>
                    <w:rPr>
                      <w:rFonts w:hint="eastAsia"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1982年</w:t>
                  </w:r>
                </w:p>
              </w:tc>
              <w:tc>
                <w:tcPr>
                  <w:tcW w:w="977" w:type="pct"/>
                  <w:shd w:val="clear" w:color="auto" w:fill="auto"/>
                  <w:vAlign w:val="center"/>
                </w:tcPr>
                <w:p>
                  <w:pPr>
                    <w:pStyle w:val="34"/>
                    <w:jc w:val="center"/>
                    <w:rPr>
                      <w:rFonts w:hint="eastAsia"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新疆地矿局物化探大队</w:t>
                  </w:r>
                </w:p>
              </w:tc>
              <w:tc>
                <w:tcPr>
                  <w:tcW w:w="1189" w:type="pct"/>
                  <w:shd w:val="clear" w:color="auto" w:fill="auto"/>
                  <w:vAlign w:val="center"/>
                </w:tcPr>
                <w:p>
                  <w:pPr>
                    <w:pStyle w:val="34"/>
                    <w:jc w:val="center"/>
                    <w:rPr>
                      <w:rFonts w:hint="eastAsia"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全新疆1∶100万布格重力测量</w:t>
                  </w:r>
                </w:p>
              </w:tc>
              <w:tc>
                <w:tcPr>
                  <w:tcW w:w="2204" w:type="pct"/>
                  <w:shd w:val="clear" w:color="auto" w:fill="auto"/>
                  <w:vAlign w:val="center"/>
                </w:tcPr>
                <w:p>
                  <w:pPr>
                    <w:pStyle w:val="34"/>
                    <w:jc w:val="center"/>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获取了全疆重力场数据，为新疆基础地质研究和资源勘查提供了关键地球物理依据。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4"/>
                    <w:jc w:val="center"/>
                    <w:rPr>
                      <w:rFonts w:hint="eastAsia" w:ascii="Times New Roman" w:cs="Times New Roman"/>
                      <w:sz w:val="21"/>
                      <w:szCs w:val="21"/>
                      <w:lang w:val="en-US" w:eastAsia="zh-CN"/>
                    </w:rPr>
                  </w:pPr>
                  <w:r>
                    <w:rPr>
                      <w:rFonts w:hint="eastAsia" w:ascii="Times New Roman" w:hAnsi="Times New Roman" w:eastAsia="宋体" w:cs="Times New Roman"/>
                      <w:sz w:val="21"/>
                      <w:szCs w:val="21"/>
                      <w:lang w:val="en-US" w:eastAsia="zh-CN"/>
                    </w:rPr>
                    <w:t>1983年</w:t>
                  </w:r>
                </w:p>
              </w:tc>
              <w:tc>
                <w:tcPr>
                  <w:tcW w:w="977" w:type="pct"/>
                  <w:shd w:val="clear" w:color="auto" w:fill="auto"/>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地矿部航测大队</w:t>
                  </w:r>
                </w:p>
              </w:tc>
              <w:tc>
                <w:tcPr>
                  <w:tcW w:w="1189" w:type="pct"/>
                  <w:shd w:val="clear" w:color="auto" w:fill="auto"/>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全新疆1∶100万航磁测量</w:t>
                  </w:r>
                </w:p>
              </w:tc>
              <w:tc>
                <w:tcPr>
                  <w:tcW w:w="2204" w:type="pct"/>
                  <w:shd w:val="clear" w:color="auto" w:fill="auto"/>
                  <w:vAlign w:val="center"/>
                </w:tcPr>
                <w:p>
                  <w:pPr>
                    <w:pStyle w:val="34"/>
                    <w:jc w:val="center"/>
                    <w:rPr>
                      <w:rFonts w:ascii="Times New Roman" w:cs="Times New Roman"/>
                      <w:sz w:val="21"/>
                      <w:szCs w:val="21"/>
                    </w:rPr>
                  </w:pPr>
                  <w:r>
                    <w:rPr>
                      <w:rFonts w:ascii="Times New Roman" w:cs="Times New Roman"/>
                      <w:sz w:val="21"/>
                      <w:szCs w:val="21"/>
                    </w:rPr>
                    <w:t>首次实现全疆覆盖，为新疆地质构造研究和找矿工作奠定了重要基础。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1990年</w:t>
                  </w:r>
                </w:p>
              </w:tc>
              <w:tc>
                <w:tcPr>
                  <w:tcW w:w="977" w:type="pct"/>
                  <w:shd w:val="clear" w:color="auto" w:fill="auto"/>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国土资源航空物探大队</w:t>
                  </w:r>
                </w:p>
              </w:tc>
              <w:tc>
                <w:tcPr>
                  <w:tcW w:w="1189" w:type="pct"/>
                  <w:shd w:val="clear" w:color="auto" w:fill="auto"/>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1∶20万塔里木东航磁概查</w:t>
                  </w:r>
                </w:p>
              </w:tc>
              <w:tc>
                <w:tcPr>
                  <w:tcW w:w="2204" w:type="pct"/>
                  <w:shd w:val="clear" w:color="auto" w:fill="auto"/>
                  <w:vAlign w:val="center"/>
                </w:tcPr>
                <w:p>
                  <w:pPr>
                    <w:pStyle w:val="34"/>
                    <w:jc w:val="center"/>
                    <w:rPr>
                      <w:rFonts w:ascii="Times New Roman" w:cs="Times New Roman"/>
                      <w:sz w:val="21"/>
                      <w:szCs w:val="21"/>
                    </w:rPr>
                  </w:pPr>
                  <w:r>
                    <w:rPr>
                      <w:rFonts w:ascii="Times New Roman" w:cs="Times New Roman"/>
                      <w:sz w:val="21"/>
                      <w:szCs w:val="21"/>
                    </w:rPr>
                    <w:t>精细刻画了塔东地区磁场特征，为铁矿资源勘查提供了重要找矿线索。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1998年</w:t>
                  </w:r>
                </w:p>
              </w:tc>
              <w:tc>
                <w:tcPr>
                  <w:tcW w:w="977" w:type="pct"/>
                  <w:shd w:val="clear" w:color="auto" w:fill="auto"/>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中国国土资源航空物探遥感中心物探部904队</w:t>
                  </w:r>
                </w:p>
              </w:tc>
              <w:tc>
                <w:tcPr>
                  <w:tcW w:w="1189" w:type="pct"/>
                  <w:shd w:val="clear" w:color="auto" w:fill="auto"/>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青藏高原中西部1∶100万航磁概查</w:t>
                  </w:r>
                </w:p>
              </w:tc>
              <w:tc>
                <w:tcPr>
                  <w:tcW w:w="2204" w:type="pct"/>
                  <w:shd w:val="clear" w:color="auto" w:fill="auto"/>
                  <w:vAlign w:val="center"/>
                </w:tcPr>
                <w:p>
                  <w:pPr>
                    <w:pStyle w:val="34"/>
                    <w:jc w:val="center"/>
                    <w:rPr>
                      <w:rFonts w:ascii="Times New Roman" w:cs="Times New Roman"/>
                      <w:sz w:val="21"/>
                      <w:szCs w:val="21"/>
                    </w:rPr>
                  </w:pPr>
                  <w:r>
                    <w:rPr>
                      <w:rFonts w:ascii="Times New Roman" w:cs="Times New Roman"/>
                      <w:sz w:val="21"/>
                      <w:szCs w:val="21"/>
                    </w:rPr>
                    <w:t>该航磁概查填补了青藏高原中西部航磁空白区，为区域构造研究和矿产勘查提供了重要基础数据。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8"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1999年</w:t>
                  </w:r>
                </w:p>
              </w:tc>
              <w:tc>
                <w:tcPr>
                  <w:tcW w:w="977"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新疆地矿局第一区域地质调查大队</w:t>
                  </w:r>
                </w:p>
              </w:tc>
              <w:tc>
                <w:tcPr>
                  <w:tcW w:w="1189"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阿尔金山1∶50万甚低密度化探扫面</w:t>
                  </w:r>
                </w:p>
              </w:tc>
              <w:tc>
                <w:tcPr>
                  <w:tcW w:w="2204" w:type="pct"/>
                  <w:vAlign w:val="center"/>
                </w:tcPr>
                <w:p>
                  <w:pPr>
                    <w:pStyle w:val="34"/>
                    <w:jc w:val="center"/>
                    <w:rPr>
                      <w:rFonts w:ascii="Times New Roman" w:cs="Times New Roman"/>
                      <w:sz w:val="21"/>
                      <w:szCs w:val="21"/>
                    </w:rPr>
                  </w:pPr>
                  <w:r>
                    <w:rPr>
                      <w:rFonts w:ascii="Times New Roman" w:cs="Times New Roman"/>
                      <w:sz w:val="21"/>
                      <w:szCs w:val="21"/>
                    </w:rPr>
                    <w:t>首次系统获取阿尔金山地球化学数据，并成功指导发现了新的金铜矿产地。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4"/>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2000～2002年</w:t>
                  </w:r>
                </w:p>
              </w:tc>
              <w:tc>
                <w:tcPr>
                  <w:tcW w:w="977" w:type="pct"/>
                  <w:shd w:val="clear" w:color="auto" w:fill="auto"/>
                  <w:vAlign w:val="center"/>
                </w:tcPr>
                <w:p>
                  <w:pPr>
                    <w:pStyle w:val="34"/>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西安地质矿产研究所</w:t>
                  </w:r>
                </w:p>
              </w:tc>
              <w:tc>
                <w:tcPr>
                  <w:tcW w:w="1189" w:type="pct"/>
                  <w:shd w:val="clear" w:color="auto" w:fill="auto"/>
                  <w:vAlign w:val="center"/>
                </w:tcPr>
                <w:p>
                  <w:pPr>
                    <w:pStyle w:val="34"/>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1∶25万苏吾什杰幅区域地质调查</w:t>
                  </w:r>
                </w:p>
              </w:tc>
              <w:tc>
                <w:tcPr>
                  <w:tcW w:w="2204" w:type="pct"/>
                  <w:shd w:val="clear" w:color="auto" w:fill="auto"/>
                  <w:vAlign w:val="center"/>
                </w:tcPr>
                <w:p>
                  <w:pPr>
                    <w:pStyle w:val="34"/>
                    <w:jc w:val="center"/>
                    <w:rPr>
                      <w:rFonts w:ascii="Times New Roman" w:hAnsi="Times New Roman" w:eastAsia="宋体" w:cs="Times New Roman"/>
                      <w:color w:val="000000"/>
                      <w:sz w:val="21"/>
                      <w:szCs w:val="21"/>
                      <w:lang w:val="en-US" w:eastAsia="zh-CN" w:bidi="ar-SA"/>
                    </w:rPr>
                  </w:pPr>
                  <w:r>
                    <w:rPr>
                      <w:rFonts w:ascii="Times New Roman" w:hAnsi="Times New Roman" w:eastAsia="宋体" w:cs="Times New Roman"/>
                      <w:color w:val="000000"/>
                      <w:sz w:val="21"/>
                      <w:szCs w:val="21"/>
                      <w:lang w:val="en-US" w:eastAsia="zh-CN" w:bidi="ar-SA"/>
                    </w:rPr>
                    <w:t>建立了区域地质格架，为矿产勘查和基础地质研究提供了重要依据。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2003～2004年</w:t>
                  </w:r>
                </w:p>
              </w:tc>
              <w:tc>
                <w:tcPr>
                  <w:tcW w:w="977"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新疆地调院地调五所</w:t>
                  </w:r>
                </w:p>
              </w:tc>
              <w:tc>
                <w:tcPr>
                  <w:tcW w:w="1189"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1∶20万嘎斯煤田幅、攸苏普阿雷克幅、牙鲁拉克幅区域化探</w:t>
                  </w:r>
                </w:p>
              </w:tc>
              <w:tc>
                <w:tcPr>
                  <w:tcW w:w="2204" w:type="pct"/>
                  <w:vAlign w:val="center"/>
                </w:tcPr>
                <w:p>
                  <w:pPr>
                    <w:pStyle w:val="34"/>
                    <w:jc w:val="center"/>
                    <w:rPr>
                      <w:rFonts w:ascii="Times New Roman" w:cs="Times New Roman"/>
                      <w:sz w:val="21"/>
                      <w:szCs w:val="21"/>
                    </w:rPr>
                  </w:pPr>
                  <w:r>
                    <w:rPr>
                      <w:rFonts w:ascii="Times New Roman" w:cs="Times New Roman"/>
                      <w:sz w:val="21"/>
                      <w:szCs w:val="21"/>
                    </w:rPr>
                    <w:t>获取了多元素地球化学数据，并圈定了金、铜等找矿靶区。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2008年</w:t>
                  </w:r>
                </w:p>
              </w:tc>
              <w:tc>
                <w:tcPr>
                  <w:tcW w:w="977" w:type="pct"/>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中国国土资源航空物探遥感中心</w:t>
                  </w:r>
                </w:p>
              </w:tc>
              <w:tc>
                <w:tcPr>
                  <w:tcW w:w="1189" w:type="pct"/>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新疆且末县迪木那里克—若羌县巴士布拉克一带1∶5万航磁勘查</w:t>
                  </w:r>
                </w:p>
              </w:tc>
              <w:tc>
                <w:tcPr>
                  <w:tcW w:w="2204" w:type="pct"/>
                  <w:vAlign w:val="center"/>
                </w:tcPr>
                <w:p>
                  <w:pPr>
                    <w:pStyle w:val="34"/>
                    <w:jc w:val="center"/>
                    <w:rPr>
                      <w:rFonts w:ascii="Times New Roman" w:cs="Times New Roman"/>
                      <w:sz w:val="21"/>
                      <w:szCs w:val="21"/>
                    </w:rPr>
                  </w:pPr>
                  <w:r>
                    <w:rPr>
                      <w:rFonts w:ascii="Times New Roman" w:cs="Times New Roman"/>
                      <w:sz w:val="21"/>
                      <w:szCs w:val="21"/>
                    </w:rPr>
                    <w:t>精细揭示了东昆仑西段构造-矿化特征，直接指导了当地铁矿资源的勘探突破。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73" w:hRule="atLeast"/>
              </w:trPr>
              <w:tc>
                <w:tcPr>
                  <w:tcW w:w="628" w:type="pct"/>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2009～2011年</w:t>
                  </w:r>
                </w:p>
              </w:tc>
              <w:tc>
                <w:tcPr>
                  <w:tcW w:w="977" w:type="pct"/>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新疆维吾尔自治区地质调查院</w:t>
                  </w:r>
                </w:p>
              </w:tc>
              <w:tc>
                <w:tcPr>
                  <w:tcW w:w="1189" w:type="pct"/>
                  <w:vAlign w:val="center"/>
                </w:tcPr>
                <w:p>
                  <w:pPr>
                    <w:pStyle w:val="3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新疆1∶20万若羌县幅、塔尔阿格孜幅、嘎斯煤田幅、牙鲁拉克幅区域重力调查</w:t>
                  </w:r>
                </w:p>
              </w:tc>
              <w:tc>
                <w:tcPr>
                  <w:tcW w:w="2204" w:type="pct"/>
                  <w:vAlign w:val="center"/>
                </w:tcPr>
                <w:p>
                  <w:pPr>
                    <w:pStyle w:val="3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精细揭示了东昆仑-阿尔金成矿带深部构造特征，新圈定多处找矿靶区。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2009～2011年</w:t>
                  </w:r>
                </w:p>
              </w:tc>
              <w:tc>
                <w:tcPr>
                  <w:tcW w:w="977" w:type="pct"/>
                  <w:vAlign w:val="center"/>
                </w:tcPr>
                <w:p>
                  <w:pPr>
                    <w:pStyle w:val="34"/>
                    <w:jc w:val="center"/>
                    <w:rPr>
                      <w:rFonts w:hint="eastAsia" w:ascii="Times New Roman" w:cs="Times New Roman"/>
                      <w:sz w:val="21"/>
                      <w:szCs w:val="21"/>
                      <w:lang w:val="en-US" w:eastAsia="zh-CN"/>
                    </w:rPr>
                  </w:pPr>
                  <w:r>
                    <w:rPr>
                      <w:rFonts w:hint="eastAsia" w:ascii="Times New Roman" w:cs="Times New Roman"/>
                      <w:sz w:val="21"/>
                      <w:szCs w:val="21"/>
                      <w:lang w:val="en-US" w:eastAsia="zh-CN"/>
                    </w:rPr>
                    <w:t>新疆地质矿产勘查开发局第三地质大队</w:t>
                  </w:r>
                </w:p>
              </w:tc>
              <w:tc>
                <w:tcPr>
                  <w:tcW w:w="1189" w:type="pct"/>
                  <w:vAlign w:val="center"/>
                </w:tcPr>
                <w:p>
                  <w:pPr>
                    <w:pStyle w:val="3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新疆若羌县祁曼塔格—且末县迪木那里克一带1∶5万航磁异常查证</w:t>
                  </w:r>
                </w:p>
              </w:tc>
              <w:tc>
                <w:tcPr>
                  <w:tcW w:w="2204" w:type="pct"/>
                  <w:vAlign w:val="center"/>
                </w:tcPr>
                <w:p>
                  <w:pPr>
                    <w:pStyle w:val="3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查证航磁异常28处，新发现铁矿（化）点12处、铜矿（化）点5处，实现了区域找矿新突破。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2010～2012年</w:t>
                  </w:r>
                </w:p>
              </w:tc>
              <w:tc>
                <w:tcPr>
                  <w:tcW w:w="977"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新疆维吾尔自治区地质调查院</w:t>
                  </w:r>
                </w:p>
              </w:tc>
              <w:tc>
                <w:tcPr>
                  <w:tcW w:w="1189"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苏吾什杰幅（J45C002004）区域化探</w:t>
                  </w:r>
                </w:p>
              </w:tc>
              <w:tc>
                <w:tcPr>
                  <w:tcW w:w="2204" w:type="pct"/>
                  <w:vAlign w:val="center"/>
                </w:tcPr>
                <w:p>
                  <w:pPr>
                    <w:pStyle w:val="34"/>
                    <w:jc w:val="center"/>
                    <w:rPr>
                      <w:rFonts w:ascii="Times New Roman" w:cs="Times New Roman"/>
                      <w:sz w:val="21"/>
                      <w:szCs w:val="21"/>
                    </w:rPr>
                  </w:pPr>
                  <w:r>
                    <w:rPr>
                      <w:rFonts w:hint="eastAsia" w:ascii="Times New Roman" w:cs="Times New Roman"/>
                      <w:sz w:val="21"/>
                      <w:szCs w:val="21"/>
                      <w:lang w:val="en-US" w:eastAsia="zh-CN"/>
                    </w:rPr>
                    <w:t>查明测区内39种元素（含氧化物）地球化学分布和浓集特征，探讨了元素的组合规律，圈定了有重要找矿意义的地球化学区带和异常，圈定了39种元素单元素异常1429个，圈定以铜、铅、锌、银、汞、锑、钨、锡、钼、铬、镍、钴等成矿元素为主（含铁族元素）的综合异常21个工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4"/>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2014～2016年</w:t>
                  </w:r>
                </w:p>
              </w:tc>
              <w:tc>
                <w:tcPr>
                  <w:tcW w:w="977" w:type="pct"/>
                  <w:shd w:val="clear" w:color="auto" w:fill="auto"/>
                  <w:vAlign w:val="center"/>
                </w:tcPr>
                <w:p>
                  <w:pPr>
                    <w:pStyle w:val="34"/>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陕西省地质调查院</w:t>
                  </w:r>
                </w:p>
              </w:tc>
              <w:tc>
                <w:tcPr>
                  <w:tcW w:w="1189" w:type="pct"/>
                  <w:shd w:val="clear" w:color="auto" w:fill="auto"/>
                  <w:vAlign w:val="center"/>
                </w:tcPr>
                <w:p>
                  <w:pPr>
                    <w:pStyle w:val="34"/>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新疆阿尔金地区1∶5万J45E010020、J45E010021、J45E010022、J45E011020、J45E011021、J45E011022六幅区域地质矿产调查</w:t>
                  </w:r>
                </w:p>
              </w:tc>
              <w:tc>
                <w:tcPr>
                  <w:tcW w:w="2204" w:type="pct"/>
                  <w:shd w:val="clear" w:color="auto" w:fill="auto"/>
                  <w:vAlign w:val="center"/>
                </w:tcPr>
                <w:p>
                  <w:pPr>
                    <w:pStyle w:val="34"/>
                    <w:jc w:val="center"/>
                    <w:rPr>
                      <w:rFonts w:ascii="Times New Roman" w:hAnsi="Times New Roman" w:eastAsia="宋体" w:cs="Times New Roman"/>
                      <w:color w:val="000000"/>
                      <w:sz w:val="21"/>
                      <w:szCs w:val="21"/>
                      <w:lang w:val="en-US" w:eastAsia="zh-CN" w:bidi="ar-SA"/>
                    </w:rPr>
                  </w:pPr>
                  <w:r>
                    <w:rPr>
                      <w:rFonts w:ascii="Times New Roman" w:hAnsi="Times New Roman" w:eastAsia="宋体" w:cs="Times New Roman"/>
                      <w:color w:val="000000"/>
                      <w:sz w:val="21"/>
                      <w:szCs w:val="21"/>
                      <w:lang w:val="en-US" w:eastAsia="zh-CN" w:bidi="ar-SA"/>
                    </w:rPr>
                    <w:t>在阿尔金地区1∶5万填图中新发现金及多金属矿化线索，深化了区域成矿规律认识。</w:t>
                  </w:r>
                </w:p>
              </w:tc>
            </w:tr>
          </w:tbl>
          <w:p>
            <w:pPr>
              <w:ind w:firstLine="482"/>
              <w:rPr>
                <w:b/>
                <w:bCs/>
              </w:rPr>
            </w:pPr>
            <w:r>
              <w:rPr>
                <w:rFonts w:hint="eastAsia"/>
                <w:b/>
                <w:bCs/>
              </w:rPr>
              <w:t>2</w:t>
            </w:r>
            <w:r>
              <w:rPr>
                <w:b/>
                <w:bCs/>
              </w:rPr>
              <w:t>.1.1</w:t>
            </w:r>
            <w:r>
              <w:rPr>
                <w:rFonts w:hint="eastAsia"/>
                <w:b/>
                <w:bCs/>
              </w:rPr>
              <w:t>以往矿产地质工作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1、1958～1959年，新疆地质局库巴队在阿尔金和阿牙克库木湖一带开展了1∶100万地质矿产调查工作。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3、1987～1990年，新疆地矿局第三地质大队完成并提交了《新疆巴音郭楞蒙古自治州有色金属等矿产成矿远景区划暨总量预测》。</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4、1992～1994年，新疆地矿局开展了“新疆维吾尔自治区第二轮成矿远景区划”研究。</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5、2000～2004年，河南地质调查院完成了“新疆阿尔金南缘断裂带矿产资源调查评价”项目。</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6、2007～2012年，由中国地质调查局组织，新疆地矿局、新疆煤田局参加完成了新疆铜、铁、煤等12种矿产资源潜力评价工作。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7、2017～2018年，新疆地质矿产勘查开发局第一区域地质调查大队完成了“新疆若羌县皮亚孜达坂一带萤石、稀有、钨矿预查”项目，对普查区典型矿床研究有重要意义。</w:t>
            </w:r>
          </w:p>
          <w:p>
            <w:pPr>
              <w:ind w:firstLine="482"/>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2.1.2以往区域遥感工作</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1.2008～2010年，中国国土资源航空物探遥感中心完成了《西昆仑—阿尔金成矿带矿产资源遥感综合调查》项目，覆盖了勘查区。</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2.2022年，新疆地矿局第三地质大队在胜利达阪、卡鲁巧卡、硝家普、卡南开展了1:1遥感解译及蚀变信息提取工作。</w:t>
            </w:r>
          </w:p>
          <w:p>
            <w:pPr>
              <w:ind w:firstLine="48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2.1.3以往区域科研工作</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1.1999年新疆地矿局编著《新疆维吾尔自治区岩石地层》。</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2.2000～2006年，中国地质调查局西安地调中心完成了“青藏高原北部空白区基础地质综合研究”项目。编制了全新的1∶200万《青藏高原北部地质矿产图》《青藏高原北部成矿规律预测图》、1∶200万《青藏高原北部环境地质图》和</w:t>
            </w:r>
          </w:p>
          <w:p>
            <w:pPr>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1∶200万《青藏高原北部旅游地质与地质资源图》，编制出版了1∶100万《昆仑山及邻区地质图》及地质图说明书。</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3.2008～2012年，中国地质调查局西安地调中心完成的《昆仑—阿尔金成矿带基础地质综合研究报告》及修编完成的1∶50万地质矿产图及成矿地质背景图。</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4.2018年～2022年，中国科学院地质与地球物理研究所徐兴旺教授团队研究团队在阿尔金中段无人区开展稀有金属成矿作用的地质调查与考察。发现2个中-大型花岗伟晶岩型锂铍矿（吐格曼铍锂矿与吐格曼北锂铍矿）和塔什萨依金绿宝石矿，研究认为阿尔金中段为加里东期锂铍伟晶岩区，具有较大的锂铍等稀有金属找矿潜力。</w:t>
            </w:r>
          </w:p>
          <w:p>
            <w:pPr>
              <w:ind w:firstLine="48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2.2勘查区工作情况</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1.2009年，新疆地矿局第三地质大队开展了“新疆若羌县卡南一带二次资料开发”项目，开展探矿权区的地质找矿工作。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2.2011—2013年，新疆地矿局第三地质大队开展了“阿尔金地区铜铅锌多金属找矿”项目，开展探矿权区的地质找矿工作。共完成1：1万路线地质找矿120千米，非正规</w:t>
            </w:r>
            <w:r>
              <w:rPr>
                <w:rFonts w:hint="eastAsia" w:cs="Times New Roman"/>
                <w:lang w:val="en-US" w:eastAsia="zh-CN"/>
              </w:rPr>
              <w:t>1∶10000</w:t>
            </w:r>
            <w:r>
              <w:rPr>
                <w:rFonts w:hint="eastAsia" w:ascii="Times New Roman" w:hAnsi="Times New Roman" w:eastAsia="宋体" w:cs="Times New Roman"/>
                <w:lang w:val="en-US" w:eastAsia="zh-CN"/>
              </w:rPr>
              <w:t>地质草测220平方千米。</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3.2017年，对卡鲁巧卡矿权进行了踏勘找矿工作。完成</w:t>
            </w:r>
            <w:r>
              <w:rPr>
                <w:rFonts w:hint="eastAsia" w:cs="Times New Roman"/>
                <w:lang w:val="en-US" w:eastAsia="zh-CN"/>
              </w:rPr>
              <w:t>1∶10000</w:t>
            </w:r>
            <w:r>
              <w:rPr>
                <w:rFonts w:hint="eastAsia" w:ascii="Times New Roman" w:hAnsi="Times New Roman" w:eastAsia="宋体" w:cs="Times New Roman"/>
                <w:lang w:val="en-US" w:eastAsia="zh-CN"/>
              </w:rPr>
              <w:t>遥感解译、地质草测40.34平方千米；非正规水系沉积物采样40.34平方千米；完成</w:t>
            </w:r>
            <w:r>
              <w:rPr>
                <w:rFonts w:hint="eastAsia" w:cs="Times New Roman"/>
                <w:lang w:val="en-US" w:eastAsia="zh-CN"/>
              </w:rPr>
              <w:t>1∶10000</w:t>
            </w:r>
            <w:r>
              <w:rPr>
                <w:rFonts w:hint="eastAsia" w:ascii="Times New Roman" w:hAnsi="Times New Roman" w:eastAsia="宋体" w:cs="Times New Roman"/>
                <w:lang w:val="en-US" w:eastAsia="zh-CN"/>
              </w:rPr>
              <w:t>地质磁法剖面3千米。</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4.2019年，新疆地矿局第三地质大队，开展了“新疆若羌县库木萨依-卡鲁巧卡一带自有矿权勘查”项目。</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5.2022年新疆地矿局第三地质大队开展大比例尺地质矿产调查工作。</w:t>
            </w:r>
          </w:p>
          <w:p>
            <w:pPr>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6.2023年中国地质调查局天津地质调查中心在勘查区进行了矿产勘查工作，但由于进场晚、气候等原因，形成的资料并不完整。</w:t>
            </w:r>
          </w:p>
          <w:p>
            <w:pPr>
              <w:pStyle w:val="15"/>
              <w:ind w:firstLine="482"/>
              <w:rPr>
                <w:rFonts w:hint="default" w:eastAsia="宋体"/>
                <w:lang w:val="en-US" w:eastAsia="zh-CN"/>
              </w:rPr>
            </w:pPr>
            <w:r>
              <w:rPr>
                <w:rFonts w:hint="eastAsia"/>
                <w:lang w:val="en-US" w:eastAsia="zh-CN"/>
              </w:rPr>
              <w:t>3</w:t>
            </w:r>
            <w:r>
              <w:t>.</w:t>
            </w:r>
            <w:r>
              <w:rPr>
                <w:rFonts w:hint="eastAsia"/>
                <w:lang w:val="en-US" w:eastAsia="zh-CN"/>
              </w:rPr>
              <w:t>工程内容及规模</w:t>
            </w:r>
          </w:p>
          <w:p>
            <w:pPr>
              <w:ind w:firstLine="480"/>
            </w:pPr>
            <w:r>
              <w:t>本项目只有施工期，不存在运营期。本项目组成及主要环境问题见表2-</w:t>
            </w:r>
            <w:r>
              <w:rPr>
                <w:rFonts w:hint="eastAsia"/>
                <w:lang w:val="en-US" w:eastAsia="zh-CN"/>
              </w:rPr>
              <w:t>3</w:t>
            </w:r>
            <w:r>
              <w:t>。</w:t>
            </w:r>
          </w:p>
          <w:p>
            <w:pPr>
              <w:pStyle w:val="28"/>
              <w:spacing w:before="120"/>
              <w:rPr>
                <w:color w:val="auto"/>
              </w:rPr>
            </w:pPr>
            <w:r>
              <w:rPr>
                <w:color w:val="auto"/>
              </w:rPr>
              <w:t>表2-</w:t>
            </w:r>
            <w:r>
              <w:rPr>
                <w:rFonts w:hint="eastAsia"/>
                <w:color w:val="auto"/>
                <w:lang w:val="en-US" w:eastAsia="zh-CN"/>
              </w:rPr>
              <w:t>3</w:t>
            </w:r>
            <w:r>
              <w:rPr>
                <w:color w:val="auto"/>
              </w:rPr>
              <w:t>建设项目组成一览表</w:t>
            </w:r>
          </w:p>
          <w:tbl>
            <w:tblPr>
              <w:tblStyle w:val="19"/>
              <w:tblW w:w="825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3"/>
              <w:gridCol w:w="1134"/>
              <w:gridCol w:w="5528"/>
              <w:gridCol w:w="87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857" w:type="dxa"/>
                  <w:gridSpan w:val="2"/>
                  <w:tcBorders>
                    <w:top w:val="single" w:color="auto" w:sz="12" w:space="0"/>
                    <w:left w:val="single" w:color="auto" w:sz="12" w:space="0"/>
                  </w:tcBorders>
                  <w:vAlign w:val="center"/>
                </w:tcPr>
                <w:p>
                  <w:pPr>
                    <w:pStyle w:val="26"/>
                    <w:jc w:val="center"/>
                  </w:pPr>
                  <w:r>
                    <w:t>项目组成</w:t>
                  </w:r>
                </w:p>
              </w:tc>
              <w:tc>
                <w:tcPr>
                  <w:tcW w:w="5528" w:type="dxa"/>
                  <w:tcBorders>
                    <w:top w:val="single" w:color="auto" w:sz="12" w:space="0"/>
                    <w:bottom w:val="single" w:color="auto" w:sz="4" w:space="0"/>
                  </w:tcBorders>
                  <w:vAlign w:val="center"/>
                </w:tcPr>
                <w:p>
                  <w:pPr>
                    <w:pStyle w:val="26"/>
                    <w:jc w:val="center"/>
                    <w:rPr>
                      <w:color w:val="FF0000"/>
                    </w:rPr>
                  </w:pPr>
                  <w:r>
                    <w:rPr>
                      <w:color w:val="auto"/>
                    </w:rPr>
                    <w:t>工程内容与规模</w:t>
                  </w:r>
                </w:p>
              </w:tc>
              <w:tc>
                <w:tcPr>
                  <w:tcW w:w="871" w:type="dxa"/>
                  <w:tcBorders>
                    <w:top w:val="single" w:color="auto" w:sz="12" w:space="0"/>
                    <w:bottom w:val="single" w:color="auto" w:sz="4" w:space="0"/>
                    <w:right w:val="single" w:color="auto" w:sz="12" w:space="0"/>
                  </w:tcBorders>
                  <w:vAlign w:val="center"/>
                </w:tcPr>
                <w:p>
                  <w:pPr>
                    <w:pStyle w:val="26"/>
                    <w:jc w:val="center"/>
                  </w:pPr>
                  <w: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6"/>
                    <w:jc w:val="center"/>
                  </w:pPr>
                  <w:r>
                    <w:rPr>
                      <w:rFonts w:hint="eastAsia"/>
                    </w:rPr>
                    <w:t>主体工程</w:t>
                  </w:r>
                </w:p>
              </w:tc>
              <w:tc>
                <w:tcPr>
                  <w:tcW w:w="1134" w:type="dxa"/>
                  <w:vAlign w:val="center"/>
                </w:tcPr>
                <w:p>
                  <w:pPr>
                    <w:pStyle w:val="26"/>
                    <w:jc w:val="center"/>
                  </w:pPr>
                  <w:r>
                    <w:rPr>
                      <w:rFonts w:hint="eastAsia"/>
                    </w:rPr>
                    <w:t>地质测量</w:t>
                  </w:r>
                </w:p>
              </w:tc>
              <w:tc>
                <w:tcPr>
                  <w:tcW w:w="5528" w:type="dxa"/>
                  <w:tcBorders>
                    <w:bottom w:val="single" w:color="auto" w:sz="4" w:space="0"/>
                  </w:tcBorders>
                  <w:vAlign w:val="center"/>
                </w:tcPr>
                <w:p>
                  <w:pPr>
                    <w:pStyle w:val="26"/>
                    <w:jc w:val="center"/>
                    <w:rPr>
                      <w:rFonts w:hint="default" w:eastAsia="宋体"/>
                      <w:color w:val="FF0000"/>
                      <w:lang w:val="en-US" w:eastAsia="zh-CN"/>
                    </w:rPr>
                  </w:pPr>
                  <w:r>
                    <w:rPr>
                      <w:rFonts w:hint="eastAsia"/>
                      <w:color w:val="auto"/>
                      <w:lang w:val="en-US" w:eastAsia="zh-CN"/>
                    </w:rPr>
                    <w:t>1∶2000地质草测工作2km</w:t>
                  </w:r>
                  <w:r>
                    <w:rPr>
                      <w:rFonts w:hint="eastAsia"/>
                      <w:color w:val="auto"/>
                      <w:vertAlign w:val="superscript"/>
                      <w:lang w:val="en-US" w:eastAsia="zh-CN"/>
                    </w:rPr>
                    <w:t>2</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pPr>
                  <w:r>
                    <w:rPr>
                      <w:rFonts w:hint="eastAsia"/>
                    </w:rPr>
                    <w:t>钻探</w:t>
                  </w:r>
                </w:p>
              </w:tc>
              <w:tc>
                <w:tcPr>
                  <w:tcW w:w="5528" w:type="dxa"/>
                  <w:tcBorders>
                    <w:bottom w:val="single" w:color="auto" w:sz="4" w:space="0"/>
                  </w:tcBorders>
                  <w:vAlign w:val="center"/>
                </w:tcPr>
                <w:p>
                  <w:pPr>
                    <w:pStyle w:val="26"/>
                    <w:jc w:val="center"/>
                    <w:rPr>
                      <w:color w:val="auto"/>
                    </w:rPr>
                  </w:pPr>
                  <w:r>
                    <w:rPr>
                      <w:rFonts w:hint="eastAsia"/>
                      <w:color w:val="auto"/>
                    </w:rPr>
                    <w:t>布设钻孔</w:t>
                  </w:r>
                  <w:r>
                    <w:rPr>
                      <w:rFonts w:hint="eastAsia"/>
                      <w:color w:val="auto"/>
                      <w:lang w:val="en-US" w:eastAsia="zh-CN"/>
                    </w:rPr>
                    <w:t>5</w:t>
                  </w:r>
                  <w:r>
                    <w:rPr>
                      <w:rFonts w:hint="eastAsia"/>
                      <w:color w:val="auto"/>
                    </w:rPr>
                    <w:t>个，倾角为75°钻孔，设计工作量</w:t>
                  </w:r>
                  <w:r>
                    <w:rPr>
                      <w:rFonts w:hint="eastAsia"/>
                      <w:color w:val="auto"/>
                      <w:lang w:val="en-US" w:eastAsia="zh-CN"/>
                    </w:rPr>
                    <w:t>2000</w:t>
                  </w:r>
                  <w:r>
                    <w:rPr>
                      <w:rFonts w:hint="eastAsia"/>
                      <w:color w:val="auto"/>
                    </w:rPr>
                    <w:t>m</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rPr>
                      <w:rFonts w:hint="eastAsia" w:eastAsia="宋体"/>
                      <w:lang w:val="en-US" w:eastAsia="zh-CN"/>
                    </w:rPr>
                  </w:pPr>
                  <w:r>
                    <w:rPr>
                      <w:rFonts w:hint="eastAsia"/>
                      <w:lang w:val="en-US" w:eastAsia="zh-CN"/>
                    </w:rPr>
                    <w:t>槽探</w:t>
                  </w:r>
                </w:p>
              </w:tc>
              <w:tc>
                <w:tcPr>
                  <w:tcW w:w="5528" w:type="dxa"/>
                  <w:tcBorders>
                    <w:bottom w:val="single" w:color="auto" w:sz="4" w:space="0"/>
                  </w:tcBorders>
                  <w:vAlign w:val="center"/>
                </w:tcPr>
                <w:p>
                  <w:pPr>
                    <w:pStyle w:val="26"/>
                    <w:jc w:val="center"/>
                    <w:rPr>
                      <w:rFonts w:hint="default" w:eastAsia="宋体"/>
                      <w:color w:val="auto"/>
                      <w:lang w:val="en-US" w:eastAsia="zh-CN"/>
                    </w:rPr>
                  </w:pPr>
                  <w:r>
                    <w:rPr>
                      <w:rFonts w:hint="eastAsia"/>
                    </w:rPr>
                    <w:t>布设探槽</w:t>
                  </w:r>
                  <w:r>
                    <w:rPr>
                      <w:rFonts w:hint="eastAsia"/>
                      <w:lang w:val="en-US" w:eastAsia="zh-CN"/>
                    </w:rPr>
                    <w:t>5</w:t>
                  </w:r>
                  <w:r>
                    <w:rPr>
                      <w:rFonts w:hint="eastAsia"/>
                    </w:rPr>
                    <w:t>处，探槽宽</w:t>
                  </w:r>
                  <w:r>
                    <w:rPr>
                      <w:rFonts w:hint="eastAsia"/>
                      <w:lang w:val="en-US" w:eastAsia="zh-CN"/>
                    </w:rPr>
                    <w:t>1.2</w:t>
                  </w:r>
                  <w:r>
                    <w:rPr>
                      <w:rFonts w:hint="eastAsia"/>
                    </w:rPr>
                    <w:t>m，底宽0.8m，槽壁坡度75°左右，</w:t>
                  </w:r>
                  <w:r>
                    <w:rPr>
                      <w:rFonts w:hint="eastAsia"/>
                      <w:lang w:val="en-US" w:eastAsia="zh-CN"/>
                    </w:rPr>
                    <w:t>探槽施工深度需深入基岩以下30～50厘米</w:t>
                  </w:r>
                  <w:r>
                    <w:rPr>
                      <w:rFonts w:hint="eastAsia"/>
                    </w:rPr>
                    <w:t>，设计工作量</w:t>
                  </w:r>
                  <w:r>
                    <w:rPr>
                      <w:rFonts w:hint="eastAsia"/>
                      <w:lang w:val="en-US" w:eastAsia="zh-CN"/>
                    </w:rPr>
                    <w:t>2</w:t>
                  </w:r>
                  <w:r>
                    <w:rPr>
                      <w:rFonts w:hint="eastAsia"/>
                    </w:rPr>
                    <w:t>000</w:t>
                  </w:r>
                  <w:r>
                    <w:rPr>
                      <w:rFonts w:hint="eastAsia"/>
                      <w:lang w:val="en-US" w:eastAsia="zh-CN"/>
                    </w:rPr>
                    <w:t>m</w:t>
                  </w:r>
                  <w:r>
                    <w:rPr>
                      <w:rFonts w:hint="eastAsia"/>
                      <w:vertAlign w:val="superscript"/>
                      <w:lang w:val="en-US" w:eastAsia="zh-CN"/>
                    </w:rPr>
                    <w:t>3</w:t>
                  </w:r>
                  <w:r>
                    <w:rPr>
                      <w:rFonts w:hint="eastAsia"/>
                    </w:rPr>
                    <w:t>；</w:t>
                  </w:r>
                </w:p>
              </w:tc>
              <w:tc>
                <w:tcPr>
                  <w:tcW w:w="871" w:type="dxa"/>
                  <w:tcBorders>
                    <w:right w:val="single" w:color="auto" w:sz="12" w:space="0"/>
                  </w:tcBorders>
                  <w:vAlign w:val="center"/>
                </w:tcPr>
                <w:p>
                  <w:pPr>
                    <w:pStyle w:val="26"/>
                    <w:jc w:val="center"/>
                    <w:rPr>
                      <w:rFonts w:hint="eastAsia"/>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rPr>
                      <w:rFonts w:hint="default" w:eastAsia="宋体"/>
                      <w:lang w:val="en-US" w:eastAsia="zh-CN"/>
                    </w:rPr>
                  </w:pPr>
                  <w:r>
                    <w:rPr>
                      <w:rFonts w:hint="eastAsia"/>
                      <w:lang w:val="en-US" w:eastAsia="zh-CN"/>
                    </w:rPr>
                    <w:t>样品采集</w:t>
                  </w:r>
                </w:p>
              </w:tc>
              <w:tc>
                <w:tcPr>
                  <w:tcW w:w="5528" w:type="dxa"/>
                  <w:tcBorders>
                    <w:bottom w:val="single" w:color="auto" w:sz="4" w:space="0"/>
                  </w:tcBorders>
                  <w:vAlign w:val="center"/>
                </w:tcPr>
                <w:p>
                  <w:pPr>
                    <w:pStyle w:val="26"/>
                    <w:jc w:val="center"/>
                    <w:rPr>
                      <w:rFonts w:hint="eastAsia"/>
                      <w:color w:val="0000FF"/>
                    </w:rPr>
                  </w:pPr>
                  <w:r>
                    <w:rPr>
                      <w:rFonts w:hint="eastAsia" w:ascii="Times New Roman" w:hAnsi="Times New Roman" w:eastAsia="宋体" w:cs="Times New Roman"/>
                    </w:rPr>
                    <w:t>采取基本分析化学样</w:t>
                  </w:r>
                  <w:r>
                    <w:rPr>
                      <w:rFonts w:hint="eastAsia" w:ascii="Times New Roman" w:hAnsi="Times New Roman" w:eastAsia="宋体" w:cs="Times New Roman"/>
                      <w:lang w:val="en-US" w:eastAsia="zh-CN"/>
                    </w:rPr>
                    <w:t>共400件，其中组合分析样50件</w:t>
                  </w:r>
                  <w:r>
                    <w:rPr>
                      <w:rFonts w:hint="eastAsia" w:ascii="Times New Roman" w:hAnsi="Times New Roman" w:eastAsia="宋体" w:cs="Times New Roman"/>
                    </w:rPr>
                    <w:t>、</w:t>
                  </w:r>
                  <w:r>
                    <w:rPr>
                      <w:rFonts w:hint="eastAsia" w:ascii="Times New Roman" w:hAnsi="Times New Roman" w:eastAsia="宋体" w:cs="Times New Roman"/>
                      <w:lang w:val="en-US" w:eastAsia="zh-CN"/>
                    </w:rPr>
                    <w:t>化学全分析</w:t>
                  </w:r>
                  <w:r>
                    <w:rPr>
                      <w:rFonts w:hint="eastAsia" w:ascii="Times New Roman" w:hAnsi="Times New Roman" w:eastAsia="宋体" w:cs="Times New Roman"/>
                    </w:rPr>
                    <w:t>样</w:t>
                  </w:r>
                  <w:r>
                    <w:rPr>
                      <w:rFonts w:hint="eastAsia" w:ascii="Times New Roman" w:hAnsi="Times New Roman" w:eastAsia="宋体" w:cs="Times New Roman"/>
                      <w:lang w:val="en-US" w:eastAsia="zh-CN"/>
                    </w:rPr>
                    <w:t>30件</w:t>
                  </w:r>
                  <w:r>
                    <w:rPr>
                      <w:rFonts w:hint="eastAsia" w:ascii="Times New Roman" w:hAnsi="Times New Roman" w:eastAsia="宋体" w:cs="Times New Roman"/>
                    </w:rPr>
                    <w:t>、</w:t>
                  </w:r>
                  <w:r>
                    <w:rPr>
                      <w:rFonts w:hint="eastAsia" w:ascii="Times New Roman" w:hAnsi="Times New Roman" w:eastAsia="宋体" w:cs="Times New Roman"/>
                      <w:lang w:val="en-US" w:eastAsia="zh-CN"/>
                    </w:rPr>
                    <w:t>光谱全分析样30件</w:t>
                  </w:r>
                  <w:r>
                    <w:rPr>
                      <w:rFonts w:hint="eastAsia" w:ascii="Times New Roman" w:hAnsi="Times New Roman" w:eastAsia="宋体" w:cs="Times New Roman"/>
                    </w:rPr>
                    <w:t>、</w:t>
                  </w:r>
                  <w:r>
                    <w:rPr>
                      <w:rFonts w:hint="eastAsia" w:ascii="Times New Roman" w:hAnsi="Times New Roman" w:eastAsia="宋体" w:cs="Times New Roman"/>
                      <w:lang w:val="en-US" w:eastAsia="zh-CN"/>
                    </w:rPr>
                    <w:t>热差分析、X-衍射分析样30件</w:t>
                  </w:r>
                  <w:r>
                    <w:rPr>
                      <w:rFonts w:hint="eastAsia" w:ascii="Times New Roman" w:hAnsi="Times New Roman" w:eastAsia="宋体" w:cs="Times New Roman"/>
                    </w:rPr>
                    <w:t>、</w:t>
                  </w:r>
                  <w:r>
                    <w:rPr>
                      <w:rFonts w:hint="eastAsia" w:ascii="Times New Roman" w:hAnsi="Times New Roman" w:eastAsia="宋体" w:cs="Times New Roman"/>
                      <w:lang w:val="en-US" w:eastAsia="zh-CN"/>
                    </w:rPr>
                    <w:t>物理化学性能测定</w:t>
                  </w:r>
                  <w:r>
                    <w:rPr>
                      <w:rFonts w:hint="eastAsia" w:ascii="Times New Roman" w:hAnsi="Times New Roman" w:eastAsia="宋体" w:cs="Times New Roman"/>
                    </w:rPr>
                    <w:t>样</w:t>
                  </w:r>
                  <w:r>
                    <w:rPr>
                      <w:rFonts w:hint="eastAsia" w:ascii="Times New Roman" w:hAnsi="Times New Roman" w:eastAsia="宋体" w:cs="Times New Roman"/>
                      <w:lang w:val="en-US" w:eastAsia="zh-CN"/>
                    </w:rPr>
                    <w:t>30件、光片样20件、薄片样20件、内检样40件、外检样、样3件、小体重样10件</w:t>
                  </w:r>
                  <w:r>
                    <w:rPr>
                      <w:rFonts w:hint="eastAsia" w:ascii="Times New Roman" w:hAnsi="Times New Roman" w:eastAsia="宋体" w:cs="Times New Roman"/>
                    </w:rPr>
                    <w:t>等。</w:t>
                  </w:r>
                </w:p>
              </w:tc>
              <w:tc>
                <w:tcPr>
                  <w:tcW w:w="871" w:type="dxa"/>
                  <w:tcBorders>
                    <w:right w:val="single" w:color="auto" w:sz="12" w:space="0"/>
                  </w:tcBorders>
                  <w:vAlign w:val="center"/>
                </w:tcPr>
                <w:p>
                  <w:pPr>
                    <w:pStyle w:val="26"/>
                    <w:jc w:val="center"/>
                    <w:rPr>
                      <w:rFonts w:hint="eastAsia" w:eastAsia="宋体"/>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6"/>
                    <w:jc w:val="center"/>
                  </w:pPr>
                  <w:r>
                    <w:rPr>
                      <w:rFonts w:hint="eastAsia"/>
                    </w:rPr>
                    <w:t>辅助工程</w:t>
                  </w:r>
                </w:p>
              </w:tc>
              <w:tc>
                <w:tcPr>
                  <w:tcW w:w="1134" w:type="dxa"/>
                  <w:vAlign w:val="center"/>
                </w:tcPr>
                <w:p>
                  <w:pPr>
                    <w:pStyle w:val="26"/>
                    <w:jc w:val="center"/>
                  </w:pPr>
                  <w:r>
                    <w:rPr>
                      <w:rFonts w:hint="eastAsia"/>
                    </w:rPr>
                    <w:t>施工营地</w:t>
                  </w:r>
                </w:p>
              </w:tc>
              <w:tc>
                <w:tcPr>
                  <w:tcW w:w="5528" w:type="dxa"/>
                  <w:tcBorders>
                    <w:bottom w:val="single" w:color="auto" w:sz="4" w:space="0"/>
                  </w:tcBorders>
                  <w:vAlign w:val="center"/>
                </w:tcPr>
                <w:p>
                  <w:pPr>
                    <w:pStyle w:val="26"/>
                    <w:jc w:val="center"/>
                    <w:rPr>
                      <w:bCs/>
                    </w:rPr>
                  </w:pPr>
                  <w:r>
                    <w:rPr>
                      <w:rFonts w:hint="eastAsia"/>
                    </w:rPr>
                    <w:t>项目不设置施工营地，本次探矿活动在探矿作业区内搭设临时帐篷，随工程施工点位移动；</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rPr>
                      <w:rFonts w:hint="eastAsia"/>
                    </w:rPr>
                  </w:pPr>
                </w:p>
              </w:tc>
              <w:tc>
                <w:tcPr>
                  <w:tcW w:w="1134" w:type="dxa"/>
                  <w:vAlign w:val="center"/>
                </w:tcPr>
                <w:p>
                  <w:pPr>
                    <w:pStyle w:val="26"/>
                    <w:ind w:left="0" w:leftChars="0" w:firstLine="0" w:firstLineChars="0"/>
                    <w:rPr>
                      <w:rFonts w:hint="eastAsia"/>
                    </w:rPr>
                  </w:pPr>
                  <w:r>
                    <w:rPr>
                      <w:rFonts w:hint="eastAsia"/>
                      <w:lang w:val="en-US" w:eastAsia="zh-CN"/>
                    </w:rPr>
                    <w:t>柴油储存区</w:t>
                  </w:r>
                </w:p>
              </w:tc>
              <w:tc>
                <w:tcPr>
                  <w:tcW w:w="5528" w:type="dxa"/>
                  <w:tcBorders>
                    <w:bottom w:val="single" w:color="auto" w:sz="4" w:space="0"/>
                  </w:tcBorders>
                  <w:vAlign w:val="center"/>
                </w:tcPr>
                <w:p>
                  <w:pPr>
                    <w:pStyle w:val="26"/>
                    <w:ind w:left="0" w:leftChars="0" w:firstLine="0" w:firstLineChars="0"/>
                    <w:rPr>
                      <w:rFonts w:hint="eastAsia"/>
                    </w:rPr>
                  </w:pPr>
                  <w:r>
                    <w:rPr>
                      <w:rFonts w:hint="eastAsia"/>
                      <w:lang w:val="en-US" w:eastAsia="zh-CN"/>
                    </w:rPr>
                    <w:t>在项目区设置一个柴油储存区，柴油分期从若羌县依吞布拉克镇购买，采用柴油桶装运输至项目区柴油储存区堆放（铺设双层防渗土工布铺垫对储存区域进行防渗处理），柴油桶容量200L，高0.93m，直径0.58m，材质铁皮。</w:t>
                  </w:r>
                </w:p>
              </w:tc>
              <w:tc>
                <w:tcPr>
                  <w:tcW w:w="871" w:type="dxa"/>
                  <w:tcBorders>
                    <w:right w:val="single" w:color="auto" w:sz="12" w:space="0"/>
                  </w:tcBorders>
                  <w:vAlign w:val="center"/>
                </w:tcPr>
                <w:p>
                  <w:pPr>
                    <w:pStyle w:val="26"/>
                    <w:ind w:left="0" w:leftChars="0" w:firstLine="0" w:firstLineChars="0"/>
                    <w:rPr>
                      <w:rFonts w:hint="eastAsia"/>
                    </w:rPr>
                  </w:pPr>
                  <w:r>
                    <w:rPr>
                      <w:rFonts w:hint="eastAsia"/>
                      <w:lang w:val="en-US" w:eastAsia="zh-CN"/>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6"/>
                    <w:jc w:val="center"/>
                  </w:pPr>
                  <w:r>
                    <w:rPr>
                      <w:rFonts w:hint="eastAsia"/>
                    </w:rPr>
                    <w:t>储运工程</w:t>
                  </w:r>
                </w:p>
              </w:tc>
              <w:tc>
                <w:tcPr>
                  <w:tcW w:w="1134" w:type="dxa"/>
                  <w:vAlign w:val="center"/>
                </w:tcPr>
                <w:p>
                  <w:pPr>
                    <w:pStyle w:val="26"/>
                    <w:jc w:val="center"/>
                  </w:pPr>
                  <w:r>
                    <w:rPr>
                      <w:rFonts w:hint="eastAsia"/>
                    </w:rPr>
                    <w:t>施工道路</w:t>
                  </w:r>
                </w:p>
              </w:tc>
              <w:tc>
                <w:tcPr>
                  <w:tcW w:w="5528" w:type="dxa"/>
                  <w:vAlign w:val="center"/>
                </w:tcPr>
                <w:p>
                  <w:pPr>
                    <w:pStyle w:val="26"/>
                    <w:jc w:val="center"/>
                  </w:pPr>
                  <w:r>
                    <w:rPr>
                      <w:rFonts w:hint="eastAsia"/>
                      <w:color w:val="000000"/>
                      <w:shd w:val="clear" w:color="auto" w:fill="FFFFFF"/>
                      <w:lang w:val="en-US" w:eastAsia="zh-CN"/>
                    </w:rPr>
                    <w:t>项目区外利用现有资源路，</w:t>
                  </w:r>
                  <w:r>
                    <w:rPr>
                      <w:rFonts w:hint="eastAsia"/>
                      <w:color w:val="000000"/>
                      <w:shd w:val="clear" w:color="auto" w:fill="FFFFFF"/>
                    </w:rPr>
                    <w:t>矿区内部存在简易道路，作为探矿期临时道路；</w:t>
                  </w:r>
                  <w:r>
                    <w:rPr>
                      <w:rFonts w:hint="eastAsia"/>
                      <w:color w:val="000000"/>
                      <w:shd w:val="clear" w:color="auto" w:fill="FFFFFF"/>
                      <w:lang w:val="en-US" w:eastAsia="zh-CN"/>
                    </w:rPr>
                    <w:t>简易道路长约1000m，宽约3m。道路为东西走向。</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pPr>
                  <w:r>
                    <w:rPr>
                      <w:rFonts w:hint="eastAsia"/>
                    </w:rPr>
                    <w:t>临时堆场</w:t>
                  </w:r>
                </w:p>
              </w:tc>
              <w:tc>
                <w:tcPr>
                  <w:tcW w:w="5528" w:type="dxa"/>
                  <w:vAlign w:val="center"/>
                </w:tcPr>
                <w:p>
                  <w:pPr>
                    <w:pStyle w:val="26"/>
                    <w:jc w:val="center"/>
                  </w:pPr>
                  <w:r>
                    <w:rPr>
                      <w:rFonts w:hint="eastAsia"/>
                    </w:rPr>
                    <w:t>本项目在</w:t>
                  </w:r>
                  <w:r>
                    <w:rPr>
                      <w:rFonts w:hint="eastAsia"/>
                      <w:lang w:val="en-US" w:eastAsia="zh-CN"/>
                    </w:rPr>
                    <w:t>槽探</w:t>
                  </w:r>
                  <w:r>
                    <w:rPr>
                      <w:rFonts w:hint="eastAsia"/>
                    </w:rPr>
                    <w:t>附近设置临时堆场</w:t>
                  </w:r>
                </w:p>
              </w:tc>
              <w:tc>
                <w:tcPr>
                  <w:tcW w:w="871" w:type="dxa"/>
                  <w:tcBorders>
                    <w:right w:val="single" w:color="auto" w:sz="12" w:space="0"/>
                  </w:tcBorders>
                  <w:vAlign w:val="center"/>
                </w:tcPr>
                <w:p>
                  <w:pPr>
                    <w:pStyle w:val="26"/>
                    <w:jc w:val="center"/>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6"/>
                    <w:jc w:val="center"/>
                  </w:pPr>
                  <w:r>
                    <w:t>公用工程</w:t>
                  </w:r>
                </w:p>
              </w:tc>
              <w:tc>
                <w:tcPr>
                  <w:tcW w:w="1134" w:type="dxa"/>
                  <w:vAlign w:val="center"/>
                </w:tcPr>
                <w:p>
                  <w:pPr>
                    <w:pStyle w:val="26"/>
                    <w:jc w:val="center"/>
                  </w:pPr>
                  <w:r>
                    <w:rPr>
                      <w:rFonts w:hint="eastAsia"/>
                    </w:rPr>
                    <w:t>供电</w:t>
                  </w:r>
                </w:p>
              </w:tc>
              <w:tc>
                <w:tcPr>
                  <w:tcW w:w="5528" w:type="dxa"/>
                  <w:vAlign w:val="center"/>
                </w:tcPr>
                <w:p>
                  <w:pPr>
                    <w:pStyle w:val="26"/>
                    <w:jc w:val="center"/>
                  </w:pPr>
                  <w:r>
                    <w:rPr>
                      <w:rFonts w:hint="eastAsia"/>
                    </w:rPr>
                    <w:t>本项目设置</w:t>
                  </w:r>
                  <w:r>
                    <w:rPr>
                      <w:rFonts w:hint="eastAsia"/>
                      <w:lang w:val="en-US" w:eastAsia="zh-CN"/>
                    </w:rPr>
                    <w:t>2</w:t>
                  </w:r>
                  <w:r>
                    <w:rPr>
                      <w:rFonts w:hint="eastAsia"/>
                    </w:rPr>
                    <w:t>台柴油发电机，提供生产、生活用电</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pPr>
                  <w:r>
                    <w:rPr>
                      <w:rFonts w:hint="eastAsia"/>
                    </w:rPr>
                    <w:t>供水</w:t>
                  </w:r>
                </w:p>
              </w:tc>
              <w:tc>
                <w:tcPr>
                  <w:tcW w:w="5528" w:type="dxa"/>
                  <w:vAlign w:val="center"/>
                </w:tcPr>
                <w:p>
                  <w:pPr>
                    <w:pStyle w:val="26"/>
                    <w:jc w:val="center"/>
                  </w:pPr>
                  <w:r>
                    <w:t>生产用水从矿区内就近河沟中抽取</w:t>
                  </w:r>
                  <w:r>
                    <w:rPr>
                      <w:rFonts w:hint="eastAsia"/>
                      <w:lang w:eastAsia="zh-CN"/>
                    </w:rPr>
                    <w:t>，</w:t>
                  </w:r>
                  <w:r>
                    <w:rPr>
                      <w:rFonts w:hint="eastAsia"/>
                      <w:lang w:val="en-US" w:eastAsia="zh-CN"/>
                    </w:rPr>
                    <w:t>生活用水从依吞布拉克镇拉运。</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pPr>
                  <w:r>
                    <w:rPr>
                      <w:rFonts w:hint="eastAsia"/>
                    </w:rPr>
                    <w:t>排水</w:t>
                  </w:r>
                </w:p>
              </w:tc>
              <w:tc>
                <w:tcPr>
                  <w:tcW w:w="5528" w:type="dxa"/>
                  <w:vAlign w:val="center"/>
                </w:tcPr>
                <w:p>
                  <w:pPr>
                    <w:pStyle w:val="26"/>
                    <w:jc w:val="center"/>
                  </w:pPr>
                  <w:r>
                    <w:rPr>
                      <w:rFonts w:hint="eastAsia"/>
                    </w:rPr>
                    <w:t>生产废水经沉淀池沉淀后循环使用，不外排；生活污水</w:t>
                  </w:r>
                  <w:r>
                    <w:rPr>
                      <w:rFonts w:hint="eastAsia"/>
                      <w:lang w:val="en-US" w:eastAsia="zh-CN"/>
                    </w:rPr>
                    <w:t>经化粪池处理后用于荒漠灌溉。</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pPr>
                  <w:r>
                    <w:rPr>
                      <w:rFonts w:hint="eastAsia"/>
                    </w:rPr>
                    <w:t>供热</w:t>
                  </w:r>
                </w:p>
              </w:tc>
              <w:tc>
                <w:tcPr>
                  <w:tcW w:w="5528" w:type="dxa"/>
                  <w:vAlign w:val="center"/>
                </w:tcPr>
                <w:p>
                  <w:pPr>
                    <w:pStyle w:val="26"/>
                    <w:jc w:val="center"/>
                  </w:pPr>
                  <w:r>
                    <w:rPr>
                      <w:rFonts w:hint="eastAsia"/>
                    </w:rPr>
                    <w:t>项目冬季不开展探矿施工，不设置供热</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6"/>
                    <w:jc w:val="center"/>
                  </w:pPr>
                  <w:r>
                    <w:t>环保工程</w:t>
                  </w:r>
                </w:p>
              </w:tc>
              <w:tc>
                <w:tcPr>
                  <w:tcW w:w="1134" w:type="dxa"/>
                  <w:vAlign w:val="center"/>
                </w:tcPr>
                <w:p>
                  <w:pPr>
                    <w:pStyle w:val="26"/>
                    <w:jc w:val="center"/>
                  </w:pPr>
                  <w:r>
                    <w:rPr>
                      <w:rFonts w:hint="eastAsia"/>
                    </w:rPr>
                    <w:t>废气</w:t>
                  </w:r>
                </w:p>
              </w:tc>
              <w:tc>
                <w:tcPr>
                  <w:tcW w:w="5528" w:type="dxa"/>
                  <w:vAlign w:val="center"/>
                </w:tcPr>
                <w:p>
                  <w:pPr>
                    <w:pStyle w:val="26"/>
                    <w:jc w:val="center"/>
                  </w:pPr>
                  <w:r>
                    <w:rPr>
                      <w:rFonts w:hint="eastAsia"/>
                      <w:b/>
                    </w:rPr>
                    <w:t>扬尘：</w:t>
                  </w:r>
                  <w:r>
                    <w:rPr>
                      <w:rFonts w:hint="eastAsia"/>
                    </w:rPr>
                    <w:t>对土石方要求采用防尘网或篷布覆盖，运输车辆限速行驶，减少扬尘的产生并洒水抑尘处理；</w:t>
                  </w:r>
                </w:p>
                <w:p>
                  <w:pPr>
                    <w:pStyle w:val="26"/>
                    <w:jc w:val="center"/>
                  </w:pPr>
                  <w:r>
                    <w:rPr>
                      <w:rFonts w:hint="eastAsia"/>
                      <w:b/>
                    </w:rPr>
                    <w:t>燃油废气</w:t>
                  </w:r>
                  <w:r>
                    <w:rPr>
                      <w:rFonts w:hint="eastAsia"/>
                    </w:rPr>
                    <w:t>：对柴油发电机及运输车辆定期维护保养，提高其燃烧效率，减少尾气排放量；</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pPr>
                  <w:r>
                    <w:rPr>
                      <w:rFonts w:hint="eastAsia"/>
                    </w:rPr>
                    <w:t>废水</w:t>
                  </w:r>
                </w:p>
              </w:tc>
              <w:tc>
                <w:tcPr>
                  <w:tcW w:w="5528" w:type="dxa"/>
                  <w:vAlign w:val="center"/>
                </w:tcPr>
                <w:p>
                  <w:pPr>
                    <w:pStyle w:val="26"/>
                    <w:jc w:val="center"/>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p>
              </w:tc>
              <w:tc>
                <w:tcPr>
                  <w:tcW w:w="871" w:type="dxa"/>
                  <w:tcBorders>
                    <w:right w:val="single" w:color="auto" w:sz="12" w:space="0"/>
                  </w:tcBorders>
                  <w:vAlign w:val="center"/>
                </w:tcPr>
                <w:p>
                  <w:pPr>
                    <w:pStyle w:val="26"/>
                    <w:jc w:val="center"/>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6"/>
                    <w:jc w:val="center"/>
                    <w:rPr>
                      <w:rFonts w:hint="default" w:eastAsia="宋体"/>
                      <w:lang w:val="en-US" w:eastAsia="zh-CN"/>
                    </w:rPr>
                  </w:pPr>
                  <w:r>
                    <w:rPr>
                      <w:rFonts w:hint="eastAsia"/>
                      <w:lang w:eastAsia="zh-CN"/>
                    </w:rPr>
                    <w:t xml:space="preserve"> </w:t>
                  </w:r>
                  <w:r>
                    <w:rPr>
                      <w:rFonts w:hint="eastAsia"/>
                      <w:lang w:val="en-US" w:eastAsia="zh-CN"/>
                    </w:rPr>
                    <w:t xml:space="preserve">   </w:t>
                  </w:r>
                </w:p>
              </w:tc>
              <w:tc>
                <w:tcPr>
                  <w:tcW w:w="1134" w:type="dxa"/>
                  <w:vAlign w:val="center"/>
                </w:tcPr>
                <w:p>
                  <w:pPr>
                    <w:pStyle w:val="26"/>
                    <w:jc w:val="center"/>
                  </w:pPr>
                  <w:r>
                    <w:rPr>
                      <w:rFonts w:hint="eastAsia"/>
                    </w:rPr>
                    <w:t>噪声</w:t>
                  </w:r>
                </w:p>
              </w:tc>
              <w:tc>
                <w:tcPr>
                  <w:tcW w:w="5528" w:type="dxa"/>
                  <w:vAlign w:val="center"/>
                </w:tcPr>
                <w:p>
                  <w:pPr>
                    <w:pStyle w:val="26"/>
                    <w:jc w:val="center"/>
                  </w:pPr>
                  <w:r>
                    <w:rPr>
                      <w:rFonts w:hint="eastAsia"/>
                    </w:rPr>
                    <w:t>采用低噪声设备，加强对运输车辆、钻机、柴油发电机设备的维护保养工作，保持其良好工况；</w:t>
                  </w:r>
                  <w:r>
                    <w:t>空压机、钻机进行基础减震，空压机进行隔声，能减小噪声传播</w:t>
                  </w:r>
                  <w:r>
                    <w:rPr>
                      <w:rFonts w:hint="eastAsia"/>
                    </w:rPr>
                    <w:t>。</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14" w:hRule="atLeast"/>
                <w:jc w:val="center"/>
              </w:trPr>
              <w:tc>
                <w:tcPr>
                  <w:tcW w:w="723" w:type="dxa"/>
                  <w:vMerge w:val="continue"/>
                  <w:tcBorders>
                    <w:left w:val="single" w:color="auto" w:sz="12" w:space="0"/>
                  </w:tcBorders>
                  <w:vAlign w:val="center"/>
                </w:tcPr>
                <w:p>
                  <w:pPr>
                    <w:pStyle w:val="26"/>
                    <w:jc w:val="center"/>
                  </w:pPr>
                </w:p>
              </w:tc>
              <w:tc>
                <w:tcPr>
                  <w:tcW w:w="1134" w:type="dxa"/>
                  <w:vAlign w:val="center"/>
                </w:tcPr>
                <w:p>
                  <w:pPr>
                    <w:pStyle w:val="26"/>
                    <w:jc w:val="center"/>
                  </w:pPr>
                  <w:r>
                    <w:rPr>
                      <w:rFonts w:hint="eastAsia"/>
                    </w:rPr>
                    <w:t>固废</w:t>
                  </w:r>
                </w:p>
              </w:tc>
              <w:tc>
                <w:tcPr>
                  <w:tcW w:w="5528" w:type="dxa"/>
                  <w:vAlign w:val="center"/>
                </w:tcPr>
                <w:p>
                  <w:pPr>
                    <w:pStyle w:val="26"/>
                    <w:jc w:val="center"/>
                  </w:pPr>
                  <w:r>
                    <w:rPr>
                      <w:rFonts w:hint="eastAsia"/>
                    </w:rPr>
                    <w:t>临时弃土单独存放，最终回填；钻探泥浆施工结束后统一固化填埋；</w:t>
                  </w:r>
                  <w:r>
                    <w:rPr>
                      <w:rFonts w:hint="eastAsia"/>
                      <w:lang w:val="en-US" w:eastAsia="zh-CN"/>
                    </w:rPr>
                    <w:t>设备维修养护在若羌县修理，不在矿区进行养护</w:t>
                  </w:r>
                  <w:r>
                    <w:t>，</w:t>
                  </w:r>
                  <w:r>
                    <w:rPr>
                      <w:rFonts w:hint="eastAsia"/>
                      <w:lang w:val="en-US" w:eastAsia="zh-CN"/>
                    </w:rPr>
                    <w:t>因此项目不产生废矿物油等危险废物；钻孔岩屑用于封孔；</w:t>
                  </w:r>
                  <w:r>
                    <w:rPr>
                      <w:rFonts w:hint="eastAsia"/>
                    </w:rPr>
                    <w:t>生活垃圾采用垃圾袋集中收集后运出矿区由环卫部门统一清运。</w:t>
                  </w:r>
                  <w:r>
                    <w:rPr>
                      <w:rFonts w:hint="eastAsia"/>
                      <w:lang w:val="en-US" w:eastAsia="zh-CN"/>
                    </w:rPr>
                    <w:t>废包装物、废防渗膜均收集后进行回收。</w:t>
                  </w:r>
                </w:p>
              </w:tc>
              <w:tc>
                <w:tcPr>
                  <w:tcW w:w="871" w:type="dxa"/>
                  <w:tcBorders>
                    <w:right w:val="single" w:color="auto" w:sz="12" w:space="0"/>
                  </w:tcBorders>
                  <w:vAlign w:val="center"/>
                </w:tcPr>
                <w:p>
                  <w:pPr>
                    <w:pStyle w:val="26"/>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857" w:type="dxa"/>
                  <w:gridSpan w:val="2"/>
                  <w:tcBorders>
                    <w:left w:val="single" w:color="auto" w:sz="12" w:space="0"/>
                  </w:tcBorders>
                  <w:vAlign w:val="center"/>
                </w:tcPr>
                <w:p>
                  <w:pPr>
                    <w:pStyle w:val="26"/>
                    <w:jc w:val="center"/>
                  </w:pPr>
                  <w:r>
                    <w:rPr>
                      <w:rFonts w:hint="eastAsia"/>
                    </w:rPr>
                    <w:t>办公生活区</w:t>
                  </w:r>
                </w:p>
              </w:tc>
              <w:tc>
                <w:tcPr>
                  <w:tcW w:w="5528" w:type="dxa"/>
                  <w:vAlign w:val="center"/>
                </w:tcPr>
                <w:p>
                  <w:pPr>
                    <w:pStyle w:val="26"/>
                    <w:jc w:val="center"/>
                  </w:pPr>
                  <w:r>
                    <w:rPr>
                      <w:rFonts w:hint="eastAsia"/>
                    </w:rPr>
                    <w:t>办公生活区为勘探现场搭建临时帐篷</w:t>
                  </w:r>
                </w:p>
              </w:tc>
              <w:tc>
                <w:tcPr>
                  <w:tcW w:w="871" w:type="dxa"/>
                  <w:tcBorders>
                    <w:right w:val="single" w:color="auto" w:sz="12" w:space="0"/>
                  </w:tcBorders>
                  <w:vAlign w:val="center"/>
                </w:tcPr>
                <w:p>
                  <w:pPr>
                    <w:pStyle w:val="26"/>
                    <w:jc w:val="center"/>
                  </w:pPr>
                  <w:r>
                    <w:rPr>
                      <w:rFonts w:hint="eastAsia"/>
                    </w:rPr>
                    <w:t>临时</w:t>
                  </w:r>
                </w:p>
              </w:tc>
            </w:tr>
          </w:tbl>
          <w:p>
            <w:pPr>
              <w:pStyle w:val="15"/>
              <w:ind w:firstLine="482"/>
            </w:pPr>
            <w:r>
              <w:rPr>
                <w:rFonts w:hint="eastAsia"/>
                <w:lang w:val="en-US" w:eastAsia="zh-CN"/>
              </w:rPr>
              <w:t>4</w:t>
            </w:r>
            <w:r>
              <w:t>.</w:t>
            </w:r>
            <w:r>
              <w:rPr>
                <w:rFonts w:hint="eastAsia"/>
              </w:rPr>
              <w:t>总体工作部署：</w:t>
            </w:r>
          </w:p>
          <w:p>
            <w:pPr>
              <w:ind w:firstLine="480"/>
            </w:pPr>
            <w:r>
              <w:rPr>
                <w:rFonts w:hint="eastAsia"/>
              </w:rPr>
              <w:t>首先对</w:t>
            </w:r>
            <w:r>
              <w:rPr>
                <w:rFonts w:hint="eastAsia"/>
                <w:lang w:val="en-US" w:eastAsia="zh-CN"/>
              </w:rPr>
              <w:t>曼达勒克</w:t>
            </w:r>
            <w:r>
              <w:rPr>
                <w:rFonts w:hint="eastAsia"/>
              </w:rPr>
              <w:t>探矿权部署1∶</w:t>
            </w:r>
            <w:r>
              <w:rPr>
                <w:rFonts w:hint="eastAsia"/>
                <w:lang w:val="en-US" w:eastAsia="zh-CN"/>
              </w:rPr>
              <w:t>2000</w:t>
            </w:r>
            <w:r>
              <w:rPr>
                <w:rFonts w:hint="eastAsia"/>
              </w:rPr>
              <w:t>地质</w:t>
            </w:r>
            <w:r>
              <w:rPr>
                <w:rFonts w:hint="eastAsia"/>
                <w:lang w:val="en-US" w:eastAsia="zh-CN"/>
              </w:rPr>
              <w:t>草</w:t>
            </w:r>
            <w:r>
              <w:rPr>
                <w:rFonts w:hint="eastAsia"/>
              </w:rPr>
              <w:t>测</w:t>
            </w:r>
            <w:r>
              <w:rPr>
                <w:rFonts w:hint="eastAsia"/>
                <w:lang w:val="en-US" w:eastAsia="zh-CN"/>
              </w:rPr>
              <w:t>基本</w:t>
            </w:r>
            <w:r>
              <w:rPr>
                <w:rFonts w:hint="eastAsia"/>
              </w:rPr>
              <w:t>了解矿权区地层、构造、岩浆岩分布特征与矿化蚀变的关系</w:t>
            </w:r>
            <w:r>
              <w:rPr>
                <w:rFonts w:hint="eastAsia"/>
                <w:lang w:val="en-US" w:eastAsia="zh-CN"/>
              </w:rPr>
              <w:t>及异常分布情况</w:t>
            </w:r>
            <w:r>
              <w:rPr>
                <w:rFonts w:hint="eastAsia"/>
                <w:lang w:eastAsia="zh-CN"/>
              </w:rPr>
              <w:t>。</w:t>
            </w:r>
            <w:r>
              <w:rPr>
                <w:rFonts w:hint="eastAsia"/>
              </w:rPr>
              <w:t>发现矿化线索和新发现矿化地段部署</w:t>
            </w:r>
            <w:r>
              <w:rPr>
                <w:rFonts w:hint="eastAsia"/>
                <w:lang w:val="en-US" w:eastAsia="zh-CN"/>
              </w:rPr>
              <w:t>槽探进行地表揭露，</w:t>
            </w:r>
            <w:r>
              <w:rPr>
                <w:rFonts w:hint="eastAsia"/>
              </w:rPr>
              <w:t>进一步圈定矿区内主要矿体（化）的界线、数量、形态、产状、围岩等特征，为进一步</w:t>
            </w:r>
            <w:r>
              <w:rPr>
                <w:rFonts w:hint="eastAsia"/>
                <w:lang w:val="en-US" w:eastAsia="zh-CN"/>
              </w:rPr>
              <w:t>工作奠定</w:t>
            </w:r>
            <w:r>
              <w:rPr>
                <w:rFonts w:hint="eastAsia"/>
              </w:rPr>
              <w:t>基础。对已圈定的主要矿体（化）部署</w:t>
            </w:r>
            <w:r>
              <w:rPr>
                <w:rFonts w:hint="eastAsia"/>
                <w:lang w:val="en-US" w:eastAsia="zh-CN"/>
              </w:rPr>
              <w:t>稀疏工程</w:t>
            </w:r>
            <w:r>
              <w:rPr>
                <w:rFonts w:hint="eastAsia"/>
              </w:rPr>
              <w:t>和样品采取工作，</w:t>
            </w:r>
            <w:r>
              <w:rPr>
                <w:rFonts w:hint="eastAsia"/>
                <w:lang w:val="en-US" w:eastAsia="zh-CN"/>
              </w:rPr>
              <w:t>基本</w:t>
            </w:r>
            <w:r>
              <w:rPr>
                <w:rFonts w:hint="eastAsia"/>
              </w:rPr>
              <w:t>查明</w:t>
            </w:r>
            <w:r>
              <w:rPr>
                <w:rFonts w:hint="eastAsia"/>
                <w:lang w:val="en-US" w:eastAsia="zh-CN"/>
              </w:rPr>
              <w:t>深部</w:t>
            </w:r>
            <w:r>
              <w:rPr>
                <w:rFonts w:hint="eastAsia"/>
              </w:rPr>
              <w:t>矿体的数量、形态、规模及矿石类型、品位变化等特征，对其进行资源量估算和潜力评价。综合研究工作贯穿本次工作全过程，加强矿区地质与构造、成矿环境、成矿地质条件和区域成矿规律的综合研究工作，</w:t>
            </w:r>
            <w:r>
              <w:rPr>
                <w:rFonts w:hint="eastAsia"/>
                <w:lang w:val="en-US" w:eastAsia="zh-CN"/>
              </w:rPr>
              <w:t>基本</w:t>
            </w:r>
            <w:r>
              <w:rPr>
                <w:rFonts w:hint="eastAsia"/>
              </w:rPr>
              <w:t>了解矿床形成的控矿因素、地球化学条件、成矿作用及成因类型，建立综合找矿标志，指导找矿和资源评价工作的开展。</w:t>
            </w:r>
          </w:p>
          <w:p>
            <w:pPr>
              <w:ind w:firstLine="480"/>
            </w:pPr>
            <w:r>
              <w:rPr>
                <w:rFonts w:hint="eastAsia"/>
              </w:rPr>
              <w:t>具体工作部署如下：</w:t>
            </w:r>
          </w:p>
          <w:p>
            <w:pPr>
              <w:numPr>
                <w:ilvl w:val="0"/>
                <w:numId w:val="0"/>
              </w:numPr>
              <w:ind w:firstLine="482" w:firstLineChars="200"/>
              <w:rPr>
                <w:rFonts w:hint="eastAsia"/>
                <w:b/>
                <w:bCs/>
              </w:rPr>
            </w:pPr>
            <w:r>
              <w:rPr>
                <w:rFonts w:hint="eastAsia" w:ascii="Times New Roman" w:hAnsi="Times New Roman" w:eastAsia="宋体" w:cs="Times New Roman"/>
                <w:b/>
                <w:bCs/>
                <w:kern w:val="2"/>
                <w:sz w:val="24"/>
                <w:szCs w:val="24"/>
                <w:lang w:val="en-US" w:eastAsia="zh-CN" w:bidi="ar-SA"/>
              </w:rPr>
              <w:t>一、</w:t>
            </w:r>
            <w:r>
              <w:rPr>
                <w:rFonts w:hint="eastAsia"/>
                <w:b/>
                <w:bCs/>
              </w:rPr>
              <w:t>地质测量</w:t>
            </w:r>
          </w:p>
          <w:p>
            <w:pPr>
              <w:ind w:firstLine="480"/>
              <w:rPr>
                <w:rFonts w:hint="eastAsia"/>
              </w:rPr>
            </w:pPr>
            <w:r>
              <w:rPr>
                <w:rFonts w:hint="eastAsia"/>
              </w:rPr>
              <w:t>结合以往</w:t>
            </w:r>
            <w:r>
              <w:rPr>
                <w:rFonts w:hint="eastAsia"/>
                <w:lang w:val="en-US" w:eastAsia="zh-CN"/>
              </w:rPr>
              <w:t>工作成果</w:t>
            </w:r>
            <w:r>
              <w:rPr>
                <w:rFonts w:hint="eastAsia"/>
                <w:lang w:eastAsia="zh-CN"/>
              </w:rPr>
              <w:t>，</w:t>
            </w:r>
            <w:r>
              <w:rPr>
                <w:rFonts w:hint="eastAsia"/>
                <w:lang w:val="en-US" w:eastAsia="zh-CN"/>
              </w:rPr>
              <w:t>针对全区</w:t>
            </w:r>
            <w:r>
              <w:rPr>
                <w:rFonts w:hint="eastAsia"/>
              </w:rPr>
              <w:t>开展1∶</w:t>
            </w:r>
            <w:r>
              <w:rPr>
                <w:rFonts w:hint="eastAsia"/>
                <w:lang w:val="en-US" w:eastAsia="zh-CN"/>
              </w:rPr>
              <w:t>2000</w:t>
            </w:r>
            <w:r>
              <w:rPr>
                <w:rFonts w:hint="eastAsia"/>
              </w:rPr>
              <w:t>地质测</w:t>
            </w:r>
            <w:r>
              <w:rPr>
                <w:rFonts w:hint="eastAsia"/>
                <w:lang w:eastAsia="zh-CN"/>
              </w:rPr>
              <w:t>量，</w:t>
            </w:r>
            <w:r>
              <w:rPr>
                <w:rFonts w:hint="eastAsia"/>
                <w:lang w:val="en-US" w:eastAsia="zh-CN"/>
              </w:rPr>
              <w:t>基本</w:t>
            </w:r>
            <w:r>
              <w:rPr>
                <w:rFonts w:hint="eastAsia"/>
              </w:rPr>
              <w:t>查明区内矿产种类、矿体（化）的数量、产状、规模、时空分布</w:t>
            </w:r>
            <w:r>
              <w:rPr>
                <w:rFonts w:hint="eastAsia"/>
                <w:lang w:eastAsia="zh-CN"/>
              </w:rPr>
              <w:t>、</w:t>
            </w:r>
            <w:r>
              <w:rPr>
                <w:rFonts w:hint="eastAsia"/>
              </w:rPr>
              <w:t>品位变化等地质信息。路线布设以追索法为主，辅以穿越法。其技术要求如下：</w:t>
            </w:r>
          </w:p>
          <w:p>
            <w:pPr>
              <w:ind w:firstLine="480"/>
              <w:rPr>
                <w:rFonts w:hint="eastAsia"/>
              </w:rPr>
            </w:pPr>
            <w:r>
              <w:rPr>
                <w:rFonts w:hint="eastAsia"/>
              </w:rPr>
              <w:t>①底图采用1∶</w:t>
            </w:r>
            <w:r>
              <w:rPr>
                <w:rFonts w:hint="eastAsia"/>
                <w:lang w:val="en-US" w:eastAsia="zh-CN"/>
              </w:rPr>
              <w:t>1</w:t>
            </w:r>
            <w:r>
              <w:rPr>
                <w:rFonts w:hint="eastAsia"/>
              </w:rPr>
              <w:t>0000放大而成的1∶</w:t>
            </w:r>
            <w:r>
              <w:rPr>
                <w:rFonts w:hint="eastAsia"/>
                <w:lang w:val="en-US" w:eastAsia="zh-CN"/>
              </w:rPr>
              <w:t>2</w:t>
            </w:r>
            <w:r>
              <w:rPr>
                <w:rFonts w:hint="eastAsia"/>
              </w:rPr>
              <w:t>000的地形图，地质点野外采用半仪器法、手持GPS定位。</w:t>
            </w:r>
          </w:p>
          <w:p>
            <w:pPr>
              <w:ind w:firstLine="480"/>
              <w:rPr>
                <w:rFonts w:hint="eastAsia"/>
              </w:rPr>
            </w:pPr>
            <w:r>
              <w:rPr>
                <w:rFonts w:hint="eastAsia"/>
              </w:rPr>
              <w:t>②填图方法以</w:t>
            </w:r>
            <w:r>
              <w:rPr>
                <w:rFonts w:hint="eastAsia"/>
                <w:lang w:val="en-US" w:eastAsia="zh-CN"/>
              </w:rPr>
              <w:t>追索</w:t>
            </w:r>
            <w:r>
              <w:rPr>
                <w:rFonts w:hint="eastAsia"/>
              </w:rPr>
              <w:t>法为主，</w:t>
            </w:r>
            <w:r>
              <w:rPr>
                <w:rFonts w:hint="eastAsia"/>
                <w:lang w:val="en-US" w:eastAsia="zh-CN"/>
              </w:rPr>
              <w:t>穿越</w:t>
            </w:r>
            <w:r>
              <w:rPr>
                <w:rFonts w:hint="eastAsia"/>
              </w:rPr>
              <w:t>法为辅，</w:t>
            </w:r>
            <w:r>
              <w:rPr>
                <w:rFonts w:hint="eastAsia"/>
                <w:lang w:val="en-US" w:eastAsia="zh-CN"/>
              </w:rPr>
              <w:t>基本</w:t>
            </w:r>
            <w:r>
              <w:rPr>
                <w:rFonts w:hint="eastAsia"/>
              </w:rPr>
              <w:t>查明区内地层、构造、岩浆岩等成矿地质条件，重点圈定蚀变带、矿体与围岩界线等，将矿体内各种对比标志层、夹层等尽可能多的反映在图面上。</w:t>
            </w:r>
          </w:p>
          <w:p>
            <w:pPr>
              <w:ind w:firstLine="480"/>
              <w:rPr>
                <w:rFonts w:hint="eastAsia"/>
              </w:rPr>
            </w:pPr>
            <w:r>
              <w:rPr>
                <w:rFonts w:hint="eastAsia"/>
              </w:rPr>
              <w:t>③填图地质路线间距</w:t>
            </w:r>
            <w:r>
              <w:rPr>
                <w:rFonts w:hint="eastAsia"/>
                <w:lang w:val="en-US" w:eastAsia="zh-CN"/>
              </w:rPr>
              <w:t>40-60</w:t>
            </w:r>
            <w:r>
              <w:rPr>
                <w:rFonts w:hint="eastAsia"/>
              </w:rPr>
              <w:t>米，点间距</w:t>
            </w:r>
            <w:r>
              <w:rPr>
                <w:rFonts w:hint="eastAsia"/>
                <w:lang w:val="en-US" w:eastAsia="zh-CN"/>
              </w:rPr>
              <w:t>不</w:t>
            </w:r>
            <w:r>
              <w:rPr>
                <w:rFonts w:hint="eastAsia"/>
              </w:rPr>
              <w:t>做具体规定，一般地质界线上的点距控制在</w:t>
            </w:r>
            <w:r>
              <w:rPr>
                <w:rFonts w:hint="eastAsia"/>
                <w:lang w:val="en-US" w:eastAsia="zh-CN"/>
              </w:rPr>
              <w:t>20-50</w:t>
            </w:r>
            <w:r>
              <w:rPr>
                <w:rFonts w:hint="eastAsia"/>
              </w:rPr>
              <w:t>米，每平方千米点密度原则上应保证在</w:t>
            </w:r>
            <w:r>
              <w:rPr>
                <w:rFonts w:hint="eastAsia"/>
                <w:lang w:val="en-US" w:eastAsia="zh-CN"/>
              </w:rPr>
              <w:t>195</w:t>
            </w:r>
            <w:r>
              <w:rPr>
                <w:rFonts w:hint="eastAsia"/>
              </w:rPr>
              <w:t>个以上（构造复杂程度复杂，草测为正测的</w:t>
            </w:r>
            <w:r>
              <w:rPr>
                <w:rFonts w:hint="eastAsia"/>
                <w:lang w:val="en-US" w:eastAsia="zh-CN"/>
              </w:rPr>
              <w:t>65</w:t>
            </w:r>
            <w:r>
              <w:rPr>
                <w:rFonts w:hint="eastAsia"/>
              </w:rPr>
              <w:t>%），实际工作中以达到地质勘查目的为准，基本点与加密点之和应大于地质点总数的70%，基本能反映地表矿体、矿化带，主要岩性单元及主要地质构造。</w:t>
            </w:r>
          </w:p>
          <w:p>
            <w:pPr>
              <w:ind w:firstLine="480"/>
              <w:rPr>
                <w:rFonts w:hint="eastAsia"/>
              </w:rPr>
            </w:pPr>
            <w:r>
              <w:rPr>
                <w:rFonts w:hint="eastAsia"/>
              </w:rPr>
              <w:t>④对发现的矿体、矿化体以及矿化蚀变带等地质体均有地质点控制，重点观察、取样、编录、并进行追索，控制其地表形态、规模，并要求有地质点控制。</w:t>
            </w:r>
          </w:p>
          <w:p>
            <w:pPr>
              <w:ind w:firstLine="480"/>
              <w:rPr>
                <w:rFonts w:hint="eastAsia"/>
              </w:rPr>
            </w:pPr>
            <w:r>
              <w:rPr>
                <w:rFonts w:hint="eastAsia"/>
              </w:rPr>
              <w:t>⑤按照沉积岩、火山岩、岩浆岩、变质岩等不同类型野外工作要求认真观察描述，野外记录内容要全面，观察要详细，重要的地质现象要有素描图和照相，界线点两侧的记录描述同等重要，同时加强接触关系的观察描述。</w:t>
            </w:r>
          </w:p>
          <w:p>
            <w:pPr>
              <w:ind w:firstLine="480"/>
              <w:rPr>
                <w:rFonts w:hint="eastAsia"/>
              </w:rPr>
            </w:pPr>
            <w:r>
              <w:rPr>
                <w:rFonts w:hint="eastAsia"/>
              </w:rPr>
              <w:t>⑥对宽度小于</w:t>
            </w:r>
            <w:r>
              <w:rPr>
                <w:rFonts w:hint="eastAsia"/>
                <w:lang w:val="en-US" w:eastAsia="zh-CN"/>
              </w:rPr>
              <w:t>2</w:t>
            </w:r>
            <w:r>
              <w:rPr>
                <w:rFonts w:hint="eastAsia"/>
              </w:rPr>
              <w:t>米的有意义地质体应放大表示，一般情况下地质体宽度≥2米、各种构造形迹或线状地质体长度&gt;10米者均需定点控制。</w:t>
            </w:r>
          </w:p>
          <w:p>
            <w:pPr>
              <w:ind w:firstLine="480"/>
              <w:rPr>
                <w:rFonts w:hint="eastAsia"/>
              </w:rPr>
            </w:pPr>
            <w:r>
              <w:rPr>
                <w:rFonts w:hint="eastAsia"/>
              </w:rPr>
              <w:t>⑦地质体界线的允许误差为小于</w:t>
            </w:r>
            <w:r>
              <w:rPr>
                <w:rFonts w:hint="eastAsia"/>
                <w:lang w:val="en-US" w:eastAsia="zh-CN"/>
              </w:rPr>
              <w:t>1</w:t>
            </w:r>
            <w:r>
              <w:rPr>
                <w:rFonts w:hint="eastAsia"/>
              </w:rPr>
              <w:t>米，点位误差在图上小于1毫米。</w:t>
            </w:r>
          </w:p>
          <w:p>
            <w:pPr>
              <w:ind w:firstLine="480"/>
              <w:rPr>
                <w:b/>
                <w:bCs/>
              </w:rPr>
            </w:pPr>
            <w:r>
              <w:rPr>
                <w:rFonts w:hint="eastAsia"/>
                <w:b/>
                <w:bCs/>
                <w:lang w:val="en-US" w:eastAsia="zh-CN"/>
              </w:rPr>
              <w:t>二、</w:t>
            </w:r>
            <w:r>
              <w:rPr>
                <w:rFonts w:hint="eastAsia"/>
                <w:b/>
                <w:bCs/>
              </w:rPr>
              <w:t>钻探</w:t>
            </w:r>
          </w:p>
          <w:p>
            <w:pPr>
              <w:ind w:firstLine="480"/>
              <w:rPr>
                <w:rFonts w:hint="eastAsia"/>
                <w:lang w:eastAsia="zh-CN"/>
              </w:rPr>
            </w:pPr>
            <w:r>
              <w:rPr>
                <w:rFonts w:hint="eastAsia"/>
                <w:lang w:val="en-US" w:eastAsia="zh-CN"/>
              </w:rPr>
              <w:t>钻探工作用于验证深部矿体、矿化体及重要的蚀变带，</w:t>
            </w:r>
            <w:r>
              <w:rPr>
                <w:rFonts w:hint="eastAsia"/>
              </w:rPr>
              <w:t>本次项目初步设计钻探工作量</w:t>
            </w:r>
            <w:r>
              <w:rPr>
                <w:rFonts w:hint="eastAsia"/>
                <w:lang w:val="en-US" w:eastAsia="zh-CN"/>
              </w:rPr>
              <w:t>2000</w:t>
            </w:r>
            <w:r>
              <w:rPr>
                <w:rFonts w:hint="eastAsia"/>
              </w:rPr>
              <w:t>米</w:t>
            </w:r>
            <w:r>
              <w:rPr>
                <w:rFonts w:hint="eastAsia"/>
                <w:lang w:eastAsia="zh-CN"/>
              </w:rPr>
              <w:t>，</w:t>
            </w:r>
            <w:r>
              <w:rPr>
                <w:rFonts w:hint="eastAsia"/>
                <w:lang w:val="en-US" w:eastAsia="zh-CN"/>
              </w:rPr>
              <w:t>在项目</w:t>
            </w:r>
            <w:r>
              <w:rPr>
                <w:rFonts w:hint="eastAsia"/>
              </w:rPr>
              <w:t>实施过程中可根据实际需要</w:t>
            </w:r>
            <w:r>
              <w:rPr>
                <w:rFonts w:hint="eastAsia"/>
                <w:lang w:val="en-US" w:eastAsia="zh-CN"/>
              </w:rPr>
              <w:t>再具体</w:t>
            </w:r>
            <w:r>
              <w:rPr>
                <w:rFonts w:hint="eastAsia"/>
              </w:rPr>
              <w:t>部署</w:t>
            </w:r>
            <w:r>
              <w:rPr>
                <w:rFonts w:hint="eastAsia"/>
                <w:lang w:eastAsia="zh-CN"/>
              </w:rPr>
              <w:t>。</w:t>
            </w:r>
          </w:p>
          <w:p>
            <w:pPr>
              <w:ind w:firstLine="480"/>
            </w:pPr>
            <w:r>
              <w:rPr>
                <w:rFonts w:hint="eastAsia"/>
              </w:rPr>
              <w:t>钻孔的布设应垂直于地质体</w:t>
            </w:r>
            <w:r>
              <w:rPr>
                <w:rFonts w:hint="eastAsia"/>
                <w:lang w:val="en-US" w:eastAsia="zh-CN"/>
              </w:rPr>
              <w:t>及</w:t>
            </w:r>
            <w:r>
              <w:rPr>
                <w:rFonts w:hint="eastAsia"/>
              </w:rPr>
              <w:t>矿体的</w:t>
            </w:r>
            <w:r>
              <w:rPr>
                <w:rFonts w:hint="eastAsia"/>
                <w:lang w:val="en-US" w:eastAsia="zh-CN"/>
              </w:rPr>
              <w:t>走</w:t>
            </w:r>
            <w:r>
              <w:rPr>
                <w:rFonts w:hint="eastAsia"/>
              </w:rPr>
              <w:t>向，切穿矿体。钻探施工时应及时观察岩性及矿体（矿化体）情况，文字记录应客观反映地质现象，突出矿体（矿化体）及蚀变特征描述。将</w:t>
            </w:r>
            <w:r>
              <w:rPr>
                <w:rFonts w:hint="eastAsia"/>
                <w:lang w:eastAsia="zh-CN"/>
              </w:rPr>
              <w:t>岩心</w:t>
            </w:r>
            <w:r>
              <w:rPr>
                <w:rFonts w:hint="eastAsia"/>
              </w:rPr>
              <w:t>用清水擦洗干净，测得轴心夹角，随钻孔进尺及时编录、布样，编录按分层进行详细描述，分层最小厚度0.2m。描述经精减后绘制成1∶200柱状图。钻孔完工后进行自检并编写地质小结，项目技术负责或专业组长对编录资料进行室外、室内的全部检查，质量应符合</w:t>
            </w:r>
            <w:r>
              <w:rPr>
                <w:rFonts w:hint="eastAsia"/>
                <w:lang w:eastAsia="zh-CN"/>
              </w:rPr>
              <w:t>《</w:t>
            </w:r>
            <w:r>
              <w:rPr>
                <w:rFonts w:hint="eastAsia"/>
              </w:rPr>
              <w:t>固体矿产勘查原始地质编录规程</w:t>
            </w:r>
            <w:r>
              <w:rPr>
                <w:rFonts w:hint="eastAsia"/>
                <w:lang w:eastAsia="zh-CN"/>
              </w:rPr>
              <w:t>》</w:t>
            </w:r>
            <w:r>
              <w:rPr>
                <w:rFonts w:hint="eastAsia"/>
              </w:rPr>
              <w:t>(DZT0078-20</w:t>
            </w:r>
            <w:r>
              <w:rPr>
                <w:rFonts w:hint="eastAsia"/>
                <w:lang w:val="en-US" w:eastAsia="zh-CN"/>
              </w:rPr>
              <w:t>20</w:t>
            </w:r>
            <w:r>
              <w:rPr>
                <w:rFonts w:hint="eastAsia"/>
              </w:rPr>
              <w:t>)要求。钻探施工严格执行《地质岩心钻探规程》(DZ/T 0227</w:t>
            </w:r>
            <w:r>
              <w:rPr>
                <w:rFonts w:hint="eastAsia"/>
                <w:lang w:val="en-US" w:eastAsia="zh-CN"/>
              </w:rPr>
              <w:t>-2010</w:t>
            </w:r>
            <w:r>
              <w:rPr>
                <w:rFonts w:hint="eastAsia"/>
              </w:rPr>
              <w:t>)相关要求。</w:t>
            </w:r>
          </w:p>
          <w:p>
            <w:pPr>
              <w:numPr>
                <w:ilvl w:val="0"/>
                <w:numId w:val="0"/>
              </w:numPr>
              <w:ind w:firstLine="482" w:firstLineChars="200"/>
              <w:rPr>
                <w:rFonts w:hint="eastAsia"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三、</w:t>
            </w:r>
            <w:r>
              <w:rPr>
                <w:rFonts w:hint="eastAsia" w:cs="Times New Roman"/>
                <w:b/>
                <w:bCs/>
                <w:kern w:val="2"/>
                <w:sz w:val="24"/>
                <w:szCs w:val="24"/>
                <w:lang w:val="en-US" w:eastAsia="zh-CN" w:bidi="ar-SA"/>
              </w:rPr>
              <w:t>槽探</w:t>
            </w:r>
          </w:p>
          <w:p>
            <w:pPr>
              <w:bidi w:val="0"/>
              <w:rPr>
                <w:rFonts w:hint="default"/>
                <w:lang w:val="en-US" w:eastAsia="zh-CN"/>
              </w:rPr>
            </w:pPr>
            <w:r>
              <w:rPr>
                <w:rFonts w:hint="default"/>
                <w:lang w:val="en-US" w:eastAsia="zh-CN"/>
              </w:rPr>
              <w:t>槽探工作用于揭露地质路线及已发现的矿体、矿化体、重要的蚀变带，在完成前期工作，有效圈定矿体、矿化体及蚀变带工作后再具体调整相应工作部署。</w:t>
            </w:r>
          </w:p>
          <w:p>
            <w:pPr>
              <w:bidi w:val="0"/>
              <w:rPr>
                <w:rFonts w:hint="default"/>
                <w:lang w:val="en-US" w:eastAsia="zh-CN"/>
              </w:rPr>
            </w:pPr>
            <w:r>
              <w:rPr>
                <w:rFonts w:hint="default"/>
                <w:lang w:val="en-US" w:eastAsia="zh-CN"/>
              </w:rPr>
              <w:t>其布置原则为：垂直并贯穿矿（化）体、主要蚀变带、重要地质体，一般要求口宽1.2米，底宽0.8米，探槽施工深度需深入基岩以下30～50厘米，尽量做到底平。</w:t>
            </w:r>
          </w:p>
          <w:p>
            <w:pPr>
              <w:bidi w:val="0"/>
              <w:rPr>
                <w:rFonts w:hint="default"/>
                <w:lang w:val="en-US" w:eastAsia="zh-CN"/>
              </w:rPr>
            </w:pPr>
            <w:r>
              <w:rPr>
                <w:rFonts w:hint="default"/>
                <w:lang w:val="en-US" w:eastAsia="zh-CN"/>
              </w:rPr>
              <w:t>槽探工程采用刻槽法取样参照《固体矿产勘查采样规范》（DZ/T 0429-2023），不同矿种采样规格各不相同，按自然分层取样，石膏样品长度2米，断面规格为5×3厘米。</w:t>
            </w:r>
          </w:p>
          <w:p>
            <w:pPr>
              <w:bidi w:val="0"/>
              <w:rPr>
                <w:rFonts w:hint="default"/>
                <w:lang w:val="en-US" w:eastAsia="zh-CN"/>
              </w:rPr>
            </w:pPr>
            <w:r>
              <w:rPr>
                <w:rFonts w:hint="default"/>
                <w:lang w:val="en-US" w:eastAsia="zh-CN"/>
              </w:rPr>
              <w:t>工程完工验收合格后及时进行编录。编录采用皮尺基线法素描一壁一底，比例尺1∶50或1∶100。素描图要详细标定地质界线、产状要素、样品位置，力求文图一致。系统采集化学分析样，以便正确圈定矿体。</w:t>
            </w:r>
          </w:p>
          <w:p>
            <w:pPr>
              <w:numPr>
                <w:ilvl w:val="0"/>
                <w:numId w:val="0"/>
              </w:numPr>
              <w:ind w:firstLine="482" w:firstLineChars="200"/>
              <w:rPr>
                <w:b/>
                <w:bCs/>
              </w:rPr>
            </w:pPr>
            <w:r>
              <w:rPr>
                <w:rFonts w:hint="eastAsia" w:cs="Times New Roman"/>
                <w:b/>
                <w:bCs/>
                <w:kern w:val="2"/>
                <w:sz w:val="24"/>
                <w:szCs w:val="24"/>
                <w:lang w:val="en-US" w:eastAsia="zh-CN" w:bidi="ar-SA"/>
              </w:rPr>
              <w:t>四、</w:t>
            </w:r>
            <w:r>
              <w:rPr>
                <w:rFonts w:hint="eastAsia"/>
                <w:b/>
                <w:bCs/>
                <w:lang w:val="en-US" w:eastAsia="zh-CN"/>
              </w:rPr>
              <w:t>样品采取和测试</w:t>
            </w:r>
          </w:p>
          <w:p>
            <w:pPr>
              <w:ind w:firstLine="480"/>
              <w:rPr>
                <w:rFonts w:hint="eastAsia"/>
                <w:color w:val="auto"/>
                <w:lang w:eastAsia="zh-CN"/>
              </w:rPr>
            </w:pPr>
            <w:r>
              <w:rPr>
                <w:rFonts w:hint="eastAsia"/>
                <w:color w:val="auto"/>
                <w:lang w:eastAsia="zh-CN"/>
              </w:rPr>
              <w:t>取样与测试工作是研究、认识矿床成因及生成地质条件、确定矿石物质成份及变化规律的主要方法，也是评定矿床经济价值，圈定矿体、划分矿石类型的依据。本次工作设计采集化学分析样、岩(矿)鉴定样等，设计样品数根据野外实际情况，以达到地质目的为原则，可作适当增减或调整。</w:t>
            </w:r>
          </w:p>
          <w:p>
            <w:pPr>
              <w:ind w:firstLine="480"/>
              <w:rPr>
                <w:rFonts w:hint="eastAsia"/>
                <w:color w:val="auto"/>
                <w:lang w:eastAsia="zh-CN"/>
              </w:rPr>
            </w:pPr>
            <w:r>
              <w:rPr>
                <w:rFonts w:hint="eastAsia"/>
                <w:color w:val="auto"/>
                <w:lang w:eastAsia="zh-CN"/>
              </w:rPr>
              <w:t>基本分析样应在各项探矿工程中按矿体（分矿石类型、品级）、矿化带及夹石连续采取。样品要控制矿体、矿化带的顶底板界线，凡是矿化露头和探矿工程中揭露控制的矿体、矿化带及夹石、矿化带顶底板界线都应贯穿矿体全厚度连续采取基木分析样，对不同类型、不同品级的矿石应分段连续采取.以保证样品的代表性。</w:t>
            </w:r>
          </w:p>
          <w:p>
            <w:pPr>
              <w:ind w:firstLine="480"/>
              <w:rPr>
                <w:rFonts w:hint="eastAsia"/>
                <w:color w:val="auto"/>
                <w:lang w:eastAsia="zh-CN"/>
              </w:rPr>
            </w:pPr>
            <w:r>
              <w:rPr>
                <w:rFonts w:hint="eastAsia"/>
                <w:color w:val="auto"/>
                <w:lang w:eastAsia="zh-CN"/>
              </w:rPr>
              <w:t>工作中要重视岩矿鉴定工作，加强微观研究，采集有代表性的岩（矿）鉴定样品，样品要力求新鲜，并做好野外观察描述，规格一般为3×6×9厘米，切片位置要用红铅笔或记号笔注明。</w:t>
            </w:r>
          </w:p>
          <w:p>
            <w:pPr>
              <w:ind w:firstLine="480"/>
              <w:rPr>
                <w:rFonts w:hint="eastAsia"/>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样品加工</w:t>
            </w:r>
          </w:p>
          <w:p>
            <w:pPr>
              <w:ind w:firstLine="480"/>
              <w:rPr>
                <w:rFonts w:hint="eastAsia"/>
                <w:color w:val="auto"/>
                <w:lang w:eastAsia="zh-CN"/>
              </w:rPr>
            </w:pPr>
            <w:r>
              <w:rPr>
                <w:rFonts w:hint="eastAsia"/>
                <w:color w:val="auto"/>
                <w:lang w:eastAsia="zh-CN"/>
              </w:rPr>
              <w:t>样品的加工和测试工作由具备乙级以上分析能力的实验室承担。</w:t>
            </w:r>
          </w:p>
          <w:p>
            <w:pPr>
              <w:ind w:firstLine="480"/>
              <w:rPr>
                <w:rFonts w:hint="eastAsia"/>
                <w:color w:val="auto"/>
                <w:lang w:val="en-US" w:eastAsia="zh-CN"/>
              </w:rPr>
            </w:pPr>
            <w:r>
              <w:rPr>
                <w:rFonts w:hint="eastAsia"/>
                <w:color w:val="auto"/>
                <w:lang w:val="en-US" w:eastAsia="zh-CN"/>
              </w:rPr>
              <w:t>基本分析样品的加工包括破碎、过筛、拌匀三个程序，金矿则不进行缩分。</w:t>
            </w:r>
          </w:p>
          <w:p>
            <w:pPr>
              <w:ind w:firstLine="480"/>
              <w:rPr>
                <w:rFonts w:hint="eastAsia"/>
                <w:color w:val="auto"/>
                <w:lang w:val="en-US" w:eastAsia="zh-CN"/>
              </w:rPr>
            </w:pPr>
            <w:r>
              <w:rPr>
                <w:rFonts w:hint="eastAsia"/>
                <w:color w:val="auto"/>
                <w:lang w:val="en-US" w:eastAsia="zh-CN"/>
              </w:rPr>
              <w:t>加工流程为机械联动线加工流程，经过一次破碎、缩分，直接达到要求粒度和质量数。</w:t>
            </w:r>
          </w:p>
          <w:p>
            <w:pPr>
              <w:ind w:firstLine="480"/>
              <w:rPr>
                <w:rFonts w:hint="eastAsia"/>
                <w:color w:val="auto"/>
                <w:lang w:val="en-US" w:eastAsia="zh-CN"/>
              </w:rPr>
            </w:pPr>
            <w:r>
              <w:rPr>
                <w:rFonts w:hint="eastAsia"/>
                <w:color w:val="auto"/>
                <w:lang w:val="en-US" w:eastAsia="zh-CN"/>
              </w:rPr>
              <w:t>样品加工全部达到粒径1mm-0.83mm（16目-20目）后，缩分为正、副样两部分，进一步磨细至规定粒度送化验室的正样最大粒径0.074mm（200目）和最小质量不少于400g。</w:t>
            </w:r>
          </w:p>
          <w:p>
            <w:pPr>
              <w:ind w:firstLine="480"/>
              <w:rPr>
                <w:rFonts w:hint="eastAsia"/>
                <w:color w:val="auto"/>
                <w:lang w:val="en-US" w:eastAsia="zh-CN"/>
              </w:rPr>
            </w:pPr>
            <w:r>
              <w:rPr>
                <w:rFonts w:hint="eastAsia"/>
                <w:color w:val="auto"/>
                <w:lang w:val="en-US" w:eastAsia="zh-CN"/>
              </w:rPr>
              <w:t>样品加工质量检查办法按《地质矿产实验室测试质量管理规范第3部份：岩石矿物样品化学成分分析》（DZ/T0130.3-2006）及《岩矿分析试样制备规范》要求执行。</w:t>
            </w:r>
          </w:p>
          <w:p>
            <w:pPr>
              <w:ind w:firstLine="480"/>
              <w:rPr>
                <w:rFonts w:hint="eastAsia"/>
                <w:color w:val="auto"/>
                <w:lang w:val="en-US" w:eastAsia="zh-CN"/>
              </w:rPr>
            </w:pPr>
            <w:r>
              <w:rPr>
                <w:rFonts w:hint="eastAsia"/>
                <w:color w:val="auto"/>
                <w:lang w:val="en-US" w:eastAsia="zh-CN"/>
              </w:rPr>
              <w:t>样品加工严守加工程序和操作规程，样品加工过程总损失率不得超过5%，每次缩分误差不大于3%。按样品加工原始记录严格要求，加工人员逐样做好样品加工记录，完善加工台账。</w:t>
            </w:r>
          </w:p>
          <w:p>
            <w:pPr>
              <w:ind w:firstLine="480"/>
              <w:rPr>
                <w:rFonts w:hint="eastAsia"/>
                <w:color w:val="auto"/>
                <w:lang w:val="en-US" w:eastAsia="zh-CN"/>
              </w:rPr>
            </w:pPr>
            <w:r>
              <w:rPr>
                <w:rFonts w:hint="eastAsia"/>
                <w:color w:val="auto"/>
                <w:lang w:val="en-US" w:eastAsia="zh-CN"/>
              </w:rPr>
              <w:t>加工样抽查量一般为3%，抽查样从第一次缩分开始就逐级留下原来丢弃的样品，分别按正样要求加工到分析粒度，与正样一起送检，作矿种主元素分析，此结果与正样对照，按岩矿分析允许偶然误差衡量，其合格率不应低于80%，全部加工分析有实录记载。</w:t>
            </w:r>
          </w:p>
          <w:p>
            <w:pPr>
              <w:ind w:firstLine="480"/>
              <w:rPr>
                <w:rFonts w:hint="eastAsia"/>
                <w:color w:val="auto"/>
                <w:lang w:val="en-US" w:eastAsia="zh-CN"/>
              </w:rPr>
            </w:pPr>
            <w:r>
              <w:rPr>
                <w:rFonts w:hint="eastAsia"/>
                <w:color w:val="auto"/>
                <w:lang w:eastAsia="zh-CN"/>
              </w:rPr>
              <w:t>（</w:t>
            </w:r>
            <w:r>
              <w:rPr>
                <w:rFonts w:hint="eastAsia"/>
                <w:color w:val="auto"/>
                <w:lang w:val="en-US" w:eastAsia="zh-CN"/>
              </w:rPr>
              <w:t>2）样品分析</w:t>
            </w:r>
          </w:p>
          <w:p>
            <w:pPr>
              <w:ind w:firstLine="480"/>
              <w:rPr>
                <w:rFonts w:hint="eastAsia"/>
                <w:color w:val="auto"/>
                <w:lang w:val="en-US" w:eastAsia="zh-CN"/>
              </w:rPr>
            </w:pPr>
            <w:r>
              <w:rPr>
                <w:rFonts w:hint="eastAsia"/>
                <w:color w:val="auto"/>
                <w:lang w:val="en-US" w:eastAsia="zh-CN"/>
              </w:rPr>
              <w:t>基本分析项目：稀有金属测定Li</w:t>
            </w:r>
            <w:r>
              <w:rPr>
                <w:rFonts w:hint="eastAsia"/>
                <w:color w:val="auto"/>
                <w:vertAlign w:val="subscript"/>
                <w:lang w:val="en-US" w:eastAsia="zh-CN"/>
              </w:rPr>
              <w:t>2</w:t>
            </w:r>
            <w:r>
              <w:rPr>
                <w:rFonts w:hint="eastAsia"/>
                <w:color w:val="auto"/>
                <w:lang w:val="en-US" w:eastAsia="zh-CN"/>
              </w:rPr>
              <w:t>O、BeO、Rb</w:t>
            </w:r>
            <w:r>
              <w:rPr>
                <w:rFonts w:hint="eastAsia"/>
                <w:color w:val="auto"/>
                <w:vertAlign w:val="subscript"/>
                <w:lang w:val="en-US" w:eastAsia="zh-CN"/>
              </w:rPr>
              <w:t>2</w:t>
            </w:r>
            <w:r>
              <w:rPr>
                <w:rFonts w:hint="eastAsia"/>
                <w:color w:val="auto"/>
                <w:lang w:val="en-US" w:eastAsia="zh-CN"/>
              </w:rPr>
              <w:t>O、Cs</w:t>
            </w:r>
            <w:r>
              <w:rPr>
                <w:rFonts w:hint="eastAsia"/>
                <w:color w:val="auto"/>
                <w:vertAlign w:val="subscript"/>
                <w:lang w:val="en-US" w:eastAsia="zh-CN"/>
              </w:rPr>
              <w:t>2</w:t>
            </w:r>
            <w:r>
              <w:rPr>
                <w:rFonts w:hint="eastAsia"/>
                <w:color w:val="auto"/>
                <w:lang w:val="en-US" w:eastAsia="zh-CN"/>
              </w:rPr>
              <w:t>O、Nb</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5</w:t>
            </w:r>
            <w:r>
              <w:rPr>
                <w:rFonts w:hint="eastAsia"/>
                <w:color w:val="auto"/>
                <w:lang w:val="en-US" w:eastAsia="zh-CN"/>
              </w:rPr>
              <w:t>、Ta</w:t>
            </w:r>
            <w:r>
              <w:rPr>
                <w:rFonts w:hint="eastAsia"/>
                <w:color w:val="auto"/>
                <w:vertAlign w:val="subscript"/>
                <w:lang w:val="en-US" w:eastAsia="zh-CN"/>
              </w:rPr>
              <w:t>2</w:t>
            </w:r>
            <w:r>
              <w:rPr>
                <w:rFonts w:hint="eastAsia"/>
                <w:color w:val="auto"/>
                <w:lang w:val="en-US" w:eastAsia="zh-CN"/>
              </w:rPr>
              <w:t>O六项，石膏测定CaO、SaO</w:t>
            </w:r>
            <w:r>
              <w:rPr>
                <w:rFonts w:hint="eastAsia"/>
                <w:color w:val="auto"/>
                <w:vertAlign w:val="subscript"/>
                <w:lang w:val="en-US" w:eastAsia="zh-CN"/>
              </w:rPr>
              <w:t>3</w:t>
            </w:r>
            <w:r>
              <w:rPr>
                <w:rFonts w:hint="eastAsia"/>
                <w:color w:val="auto"/>
                <w:lang w:val="en-US" w:eastAsia="zh-CN"/>
              </w:rPr>
              <w:t>、H</w:t>
            </w:r>
            <w:r>
              <w:rPr>
                <w:rFonts w:hint="eastAsia"/>
                <w:color w:val="auto"/>
                <w:vertAlign w:val="subscript"/>
                <w:lang w:val="en-US" w:eastAsia="zh-CN"/>
              </w:rPr>
              <w:t>2</w:t>
            </w:r>
            <w:r>
              <w:rPr>
                <w:rFonts w:hint="eastAsia"/>
                <w:color w:val="auto"/>
                <w:lang w:val="en-US" w:eastAsia="zh-CN"/>
              </w:rPr>
              <w:t>O三项，在工作中可根据光谱半定量分析结果进行适当调整。本次共设计样品400件。</w:t>
            </w:r>
          </w:p>
          <w:p>
            <w:pPr>
              <w:ind w:firstLine="480"/>
              <w:rPr>
                <w:rFonts w:hint="eastAsia"/>
                <w:color w:val="auto"/>
                <w:lang w:val="en-US" w:eastAsia="zh-CN"/>
              </w:rPr>
            </w:pPr>
            <w:r>
              <w:rPr>
                <w:rFonts w:hint="eastAsia"/>
                <w:color w:val="auto"/>
                <w:lang w:val="en-US" w:eastAsia="zh-CN"/>
              </w:rPr>
              <w:t>基本分析应随工程进行采取。基本分析的结果应分批、分期做内检分析。基本分析内检样按边界品位（包括综合工业指标中的边界品位）附近及以上样品总数不少于10%的数量抽取。组合样品内检样品的数量应不少于组合分析总量的5%。当基本分析样品数量较少时，内检样品数量不得少于30件。</w:t>
            </w:r>
          </w:p>
          <w:p>
            <w:pPr>
              <w:ind w:firstLine="480"/>
              <w:rPr>
                <w:rFonts w:hint="eastAsia"/>
                <w:color w:val="auto"/>
                <w:lang w:val="en-US" w:eastAsia="zh-CN"/>
              </w:rPr>
            </w:pPr>
            <w:r>
              <w:rPr>
                <w:rFonts w:hint="eastAsia"/>
                <w:color w:val="auto"/>
                <w:lang w:val="en-US" w:eastAsia="zh-CN"/>
              </w:rPr>
              <w:t>外检样品从内检合格样品的正余样中抽取，编码送外检单位进行外检。基本分析外检数量一般为参加资源量估算的原分析样品总数的5%。当基本分析样品数量较少时，外检样品数量不得少于30件。</w:t>
            </w:r>
          </w:p>
          <w:p>
            <w:pPr>
              <w:ind w:firstLine="480"/>
              <w:rPr>
                <w:rFonts w:hint="eastAsia"/>
                <w:color w:val="auto"/>
                <w:lang w:val="en-US" w:eastAsia="zh-CN"/>
              </w:rPr>
            </w:pPr>
            <w:r>
              <w:rPr>
                <w:rFonts w:hint="eastAsia"/>
                <w:color w:val="auto"/>
                <w:lang w:val="en-US" w:eastAsia="zh-CN"/>
              </w:rPr>
              <w:t>各批（期）次样品的内、外检合格率均不应低于90%。</w:t>
            </w:r>
          </w:p>
          <w:p>
            <w:pPr>
              <w:ind w:firstLine="480"/>
              <w:rPr>
                <w:rFonts w:hint="eastAsia"/>
                <w:color w:val="auto"/>
                <w:lang w:val="en-US" w:eastAsia="zh-CN"/>
              </w:rPr>
            </w:pPr>
            <w:r>
              <w:rPr>
                <w:rFonts w:hint="eastAsia"/>
                <w:color w:val="auto"/>
                <w:lang w:val="en-US" w:eastAsia="zh-CN"/>
              </w:rPr>
              <w:t>化学分析质量及误差处理办法按《地质矿产实验室测试质量管理规范第3部份：岩石矿物样品化学成分分析》（DZ/T0130.3-2006）的具体要求执行。本次设计样品400件。</w:t>
            </w:r>
          </w:p>
          <w:p>
            <w:pPr>
              <w:ind w:firstLine="480"/>
              <w:rPr>
                <w:rFonts w:hint="eastAsia"/>
                <w:color w:val="auto"/>
                <w:lang w:val="en-US" w:eastAsia="zh-CN"/>
              </w:rPr>
            </w:pPr>
            <w:r>
              <w:rPr>
                <w:rFonts w:hint="eastAsia"/>
                <w:color w:val="auto"/>
                <w:lang w:val="en-US" w:eastAsia="zh-CN"/>
              </w:rPr>
              <w:t>（3）岩矿鉴定样</w:t>
            </w:r>
          </w:p>
          <w:p>
            <w:pPr>
              <w:ind w:firstLine="480"/>
              <w:rPr>
                <w:rFonts w:hint="eastAsia"/>
                <w:color w:val="auto"/>
                <w:lang w:val="en-US" w:eastAsia="zh-CN"/>
              </w:rPr>
            </w:pPr>
            <w:r>
              <w:rPr>
                <w:rFonts w:hint="eastAsia"/>
                <w:color w:val="auto"/>
                <w:lang w:val="en-US" w:eastAsia="zh-CN"/>
              </w:rPr>
              <w:t>采集岩矿鉴定样品的目的是研究岩石和矿石的结构、构造、矿物成分及其共生组合，确定岩石、矿石名称，为研究矿床提供资料。选择代表性剖面，根据地层、岩性和矿石类型系统采集。对于矿石除了在代表性剖面中采集外，还应在各类勘查工程中根据不同自然类型、工业类型和品级进行采集。所采标本应尽量新鲜和具代表性一般要求一式两块，一块送实验室鉴定，一块作为标本保存和陈列，标本规格3cm×6cm×9cm。本次设计光片，薄片各20件。</w:t>
            </w:r>
          </w:p>
          <w:p>
            <w:pPr>
              <w:ind w:firstLine="480"/>
              <w:rPr>
                <w:rFonts w:hint="eastAsia"/>
                <w:color w:val="auto"/>
                <w:lang w:val="en-US" w:eastAsia="zh-CN"/>
              </w:rPr>
            </w:pPr>
            <w:r>
              <w:rPr>
                <w:rFonts w:hint="eastAsia"/>
                <w:color w:val="auto"/>
                <w:lang w:val="en-US" w:eastAsia="zh-CN"/>
              </w:rPr>
              <w:t>（4）块体密度</w:t>
            </w:r>
          </w:p>
          <w:p>
            <w:pPr>
              <w:ind w:firstLine="480"/>
              <w:rPr>
                <w:rFonts w:hint="eastAsia"/>
                <w:color w:val="auto"/>
                <w:lang w:eastAsia="zh-CN"/>
              </w:rPr>
            </w:pPr>
            <w:r>
              <w:rPr>
                <w:rFonts w:hint="eastAsia"/>
                <w:color w:val="auto"/>
                <w:lang w:val="en-US" w:eastAsia="zh-CN"/>
              </w:rPr>
              <w:t>小体重样的采取应根据矿石的不同品位、自然类型、结构构造分别进行，在空间分布上应有代表性。小体积质量（体重）样品的体积一般为60cm</w:t>
            </w:r>
            <w:r>
              <w:rPr>
                <w:rFonts w:hint="eastAsia"/>
                <w:color w:val="auto"/>
                <w:vertAlign w:val="superscript"/>
                <w:lang w:val="en-US" w:eastAsia="zh-CN"/>
              </w:rPr>
              <w:t>3</w:t>
            </w:r>
            <w:r>
              <w:rPr>
                <w:rFonts w:hint="eastAsia"/>
                <w:color w:val="auto"/>
                <w:lang w:val="en-US" w:eastAsia="zh-CN"/>
              </w:rPr>
              <w:t>-120cm</w:t>
            </w:r>
            <w:r>
              <w:rPr>
                <w:rFonts w:hint="eastAsia"/>
                <w:color w:val="auto"/>
                <w:vertAlign w:val="superscript"/>
                <w:lang w:val="en-US" w:eastAsia="zh-CN"/>
              </w:rPr>
              <w:t>3</w:t>
            </w:r>
            <w:r>
              <w:rPr>
                <w:rFonts w:hint="eastAsia"/>
                <w:color w:val="auto"/>
                <w:lang w:val="en-US" w:eastAsia="zh-CN"/>
              </w:rPr>
              <w:t>，小体重样品在野外完成封蜡。本次设计样品10件。</w:t>
            </w:r>
          </w:p>
          <w:p>
            <w:pPr>
              <w:pStyle w:val="15"/>
              <w:ind w:firstLine="482"/>
            </w:pPr>
            <w:r>
              <w:rPr>
                <w:rFonts w:hint="eastAsia"/>
                <w:lang w:val="en-US" w:eastAsia="zh-CN"/>
              </w:rPr>
              <w:t>5</w:t>
            </w:r>
            <w:r>
              <w:t>.</w:t>
            </w:r>
            <w:r>
              <w:rPr>
                <w:rFonts w:hint="eastAsia"/>
              </w:rPr>
              <w:t>设计的主要实物工作量</w:t>
            </w:r>
          </w:p>
          <w:p>
            <w:pPr>
              <w:ind w:firstLine="480"/>
            </w:pPr>
            <w:r>
              <w:rPr>
                <w:rFonts w:hint="eastAsia"/>
              </w:rPr>
              <w:t>“</w:t>
            </w:r>
            <w:r>
              <w:rPr>
                <w:rFonts w:hint="eastAsia"/>
                <w:lang w:val="en-US" w:eastAsia="zh-CN"/>
              </w:rPr>
              <w:t>新疆若羌县曼达勒克山一带铜金多金属矿详查项目</w:t>
            </w:r>
            <w:r>
              <w:rPr>
                <w:rFonts w:hint="eastAsia"/>
              </w:rPr>
              <w:t>”项目具体工作量见表2</w:t>
            </w:r>
            <w:r>
              <w:t>-</w:t>
            </w:r>
            <w:r>
              <w:rPr>
                <w:rFonts w:hint="eastAsia"/>
                <w:lang w:val="en-US" w:eastAsia="zh-CN"/>
              </w:rPr>
              <w:t>4</w:t>
            </w:r>
            <w:r>
              <w:t>。</w:t>
            </w:r>
          </w:p>
          <w:p>
            <w:pPr>
              <w:pStyle w:val="28"/>
              <w:spacing w:before="120"/>
            </w:pPr>
            <w:r>
              <w:rPr>
                <w:rFonts w:hint="eastAsia"/>
              </w:rPr>
              <w:t>表2-</w:t>
            </w:r>
            <w:r>
              <w:rPr>
                <w:rFonts w:hint="eastAsia"/>
                <w:lang w:val="en-US" w:eastAsia="zh-CN"/>
              </w:rPr>
              <w:t>4</w:t>
            </w:r>
            <w:r>
              <w:rPr>
                <w:rFonts w:hint="eastAsia"/>
              </w:rPr>
              <w:t>主要实物工作量一览表</w:t>
            </w:r>
          </w:p>
          <w:tbl>
            <w:tblPr>
              <w:tblStyle w:val="19"/>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40"/>
              <w:gridCol w:w="1631"/>
              <w:gridCol w:w="2444"/>
              <w:gridCol w:w="1200"/>
              <w:gridCol w:w="1484"/>
              <w:gridCol w:w="10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323" w:type="pct"/>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r>
                    <w:rPr>
                      <w:rFonts w:hint="default" w:ascii="Times New Roman" w:hAnsi="Times New Roman" w:eastAsia="宋体" w:cs="Times New Roman"/>
                    </w:rPr>
                    <w:t>序号</w:t>
                  </w:r>
                </w:p>
              </w:tc>
              <w:tc>
                <w:tcPr>
                  <w:tcW w:w="2438" w:type="pct"/>
                  <w:gridSpan w:val="2"/>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r>
                    <w:rPr>
                      <w:rFonts w:hint="default" w:ascii="Times New Roman" w:hAnsi="Times New Roman" w:eastAsia="宋体" w:cs="Times New Roman"/>
                    </w:rPr>
                    <w:t>工作手段</w:t>
                  </w:r>
                </w:p>
              </w:tc>
              <w:tc>
                <w:tcPr>
                  <w:tcW w:w="718" w:type="pct"/>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r>
                    <w:rPr>
                      <w:rFonts w:hint="default" w:ascii="Times New Roman" w:hAnsi="Times New Roman" w:eastAsia="宋体" w:cs="Times New Roman"/>
                    </w:rPr>
                    <w:t>单位</w:t>
                  </w:r>
                </w:p>
              </w:tc>
              <w:tc>
                <w:tcPr>
                  <w:tcW w:w="888" w:type="pct"/>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r>
                    <w:rPr>
                      <w:rFonts w:hint="default" w:ascii="Times New Roman" w:hAnsi="Times New Roman" w:eastAsia="宋体" w:cs="Times New Roman"/>
                    </w:rPr>
                    <w:t>总工作量</w:t>
                  </w:r>
                </w:p>
              </w:tc>
              <w:tc>
                <w:tcPr>
                  <w:tcW w:w="630" w:type="pct"/>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23" w:type="pct"/>
                  <w:tcBorders>
                    <w:tl2br w:val="nil"/>
                    <w:tr2bl w:val="nil"/>
                  </w:tcBorders>
                  <w:tcMar>
                    <w:top w:w="12" w:type="dxa"/>
                    <w:left w:w="12" w:type="dxa"/>
                    <w:right w:w="12" w:type="dxa"/>
                  </w:tcMar>
                  <w:vAlign w:val="center"/>
                </w:tcPr>
                <w:p>
                  <w:pPr>
                    <w:pStyle w:val="26"/>
                    <w:spacing w:line="240" w:lineRule="auto"/>
                    <w:rPr>
                      <w:rFonts w:hint="eastAsia" w:ascii="Times New Roman" w:hAnsi="Times New Roman" w:eastAsia="宋体" w:cs="Times New Roman"/>
                      <w:lang w:val="en-US" w:eastAsia="zh-CN"/>
                    </w:rPr>
                  </w:pPr>
                  <w:r>
                    <w:rPr>
                      <w:rFonts w:hint="eastAsia" w:cs="Times New Roman"/>
                      <w:lang w:val="en-US" w:eastAsia="zh-CN"/>
                    </w:rPr>
                    <w:t>1</w:t>
                  </w:r>
                </w:p>
              </w:tc>
              <w:tc>
                <w:tcPr>
                  <w:tcW w:w="2438" w:type="pct"/>
                  <w:gridSpan w:val="2"/>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lang w:val="zh-CN"/>
                      <w14:ligatures w14:val="none"/>
                    </w:rPr>
                    <w:t>1∶</w:t>
                  </w:r>
                  <w:r>
                    <w:rPr>
                      <w:rFonts w:hint="eastAsia" w:cs="Times New Roman"/>
                      <w:color w:val="auto"/>
                      <w:kern w:val="0"/>
                      <w:sz w:val="21"/>
                      <w:szCs w:val="21"/>
                      <w:lang w:val="en-US" w:eastAsia="zh-CN"/>
                      <w14:ligatures w14:val="none"/>
                    </w:rPr>
                    <w:t>2</w:t>
                  </w:r>
                  <w:r>
                    <w:rPr>
                      <w:rFonts w:hint="default" w:ascii="Times New Roman" w:hAnsi="Times New Roman" w:eastAsia="宋体" w:cs="Times New Roman"/>
                      <w:color w:val="auto"/>
                      <w:kern w:val="0"/>
                      <w:sz w:val="21"/>
                      <w:szCs w:val="21"/>
                      <w:lang w:val="zh-CN"/>
                      <w14:ligatures w14:val="none"/>
                    </w:rPr>
                    <w:t>000</w:t>
                  </w:r>
                  <w:r>
                    <w:rPr>
                      <w:rFonts w:hint="default" w:ascii="Times New Roman" w:hAnsi="Times New Roman" w:eastAsia="宋体" w:cs="Times New Roman"/>
                      <w:color w:val="auto"/>
                      <w:kern w:val="0"/>
                      <w:sz w:val="21"/>
                      <w:szCs w:val="21"/>
                      <w14:ligatures w14:val="none"/>
                    </w:rPr>
                    <w:t>地质</w:t>
                  </w:r>
                  <w:r>
                    <w:rPr>
                      <w:rFonts w:hint="default" w:ascii="Times New Roman" w:hAnsi="Times New Roman" w:eastAsia="宋体" w:cs="Times New Roman"/>
                      <w:color w:val="auto"/>
                      <w:kern w:val="0"/>
                      <w:sz w:val="21"/>
                      <w:szCs w:val="21"/>
                      <w:lang w:val="zh-CN"/>
                      <w14:ligatures w14:val="none"/>
                    </w:rPr>
                    <w:t>测量</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lang w:val="zh-CN"/>
                      <w14:ligatures w14:val="none"/>
                    </w:rPr>
                    <w:t>km</w:t>
                  </w:r>
                  <w:r>
                    <w:rPr>
                      <w:rFonts w:hint="default" w:ascii="Times New Roman" w:hAnsi="Times New Roman" w:eastAsia="宋体" w:cs="Times New Roman"/>
                      <w:color w:val="auto"/>
                      <w:kern w:val="0"/>
                      <w:sz w:val="21"/>
                      <w:szCs w:val="21"/>
                      <w:vertAlign w:val="superscript"/>
                      <w:lang w:val="zh-CN"/>
                      <w14:ligatures w14:val="none"/>
                    </w:rPr>
                    <w:t>2</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14:ligatures w14:val="none"/>
                    </w:rPr>
                  </w:pPr>
                  <w:r>
                    <w:rPr>
                      <w:rFonts w:hint="eastAsia" w:cs="Times New Roman"/>
                      <w:color w:val="auto"/>
                      <w:kern w:val="0"/>
                      <w:sz w:val="21"/>
                      <w:szCs w:val="21"/>
                      <w:lang w:val="en-US" w:eastAsia="zh-CN"/>
                      <w14:ligatures w14:val="none"/>
                    </w:rPr>
                    <w:t>2</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tcBorders>
                    <w:tl2br w:val="nil"/>
                    <w:tr2bl w:val="nil"/>
                  </w:tcBorders>
                  <w:tcMar>
                    <w:top w:w="12" w:type="dxa"/>
                    <w:left w:w="12" w:type="dxa"/>
                    <w:right w:w="12" w:type="dxa"/>
                  </w:tcMar>
                  <w:vAlign w:val="center"/>
                </w:tcPr>
                <w:p>
                  <w:pPr>
                    <w:pStyle w:val="26"/>
                    <w:spacing w:line="240" w:lineRule="auto"/>
                    <w:rPr>
                      <w:rFonts w:hint="default" w:cs="Times New Roman"/>
                      <w:lang w:val="en-US" w:eastAsia="zh-CN"/>
                    </w:rPr>
                  </w:pPr>
                  <w:r>
                    <w:rPr>
                      <w:rFonts w:hint="eastAsia" w:cs="Times New Roman"/>
                      <w:lang w:val="en-US" w:eastAsia="zh-CN"/>
                    </w:rPr>
                    <w:t>2</w:t>
                  </w:r>
                </w:p>
              </w:tc>
              <w:tc>
                <w:tcPr>
                  <w:tcW w:w="976"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14:ligatures w14:val="none"/>
                    </w:rPr>
                  </w:pPr>
                  <w:r>
                    <w:rPr>
                      <w:kern w:val="0"/>
                      <w:sz w:val="21"/>
                      <w:szCs w:val="21"/>
                    </w:rPr>
                    <w:t>山地工程</w:t>
                  </w: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kern w:val="0"/>
                      <w:sz w:val="21"/>
                      <w:szCs w:val="21"/>
                    </w:rPr>
                    <w:t>槽探</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lang w:val="en-US" w:eastAsia="zh-CN"/>
                      <w14:ligatures w14:val="none"/>
                    </w:rPr>
                    <w:t>m</w:t>
                  </w:r>
                  <w:r>
                    <w:rPr>
                      <w:rFonts w:hint="default" w:ascii="Times New Roman" w:hAnsi="Times New Roman" w:eastAsia="宋体" w:cs="Times New Roman"/>
                      <w:color w:val="auto"/>
                      <w:kern w:val="0"/>
                      <w:sz w:val="21"/>
                      <w:szCs w:val="21"/>
                      <w:vertAlign w:val="superscript"/>
                      <w:lang w:val="en-US" w:eastAsia="zh-CN"/>
                      <w14:ligatures w14:val="none"/>
                    </w:rPr>
                    <w:t>3</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2000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cs="Times New Roman"/>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tcBorders>
                    <w:tl2br w:val="nil"/>
                    <w:tr2bl w:val="nil"/>
                  </w:tcBorders>
                  <w:tcMar>
                    <w:top w:w="12" w:type="dxa"/>
                    <w:left w:w="12" w:type="dxa"/>
                    <w:right w:w="12" w:type="dxa"/>
                  </w:tcMar>
                  <w:vAlign w:val="center"/>
                </w:tcPr>
                <w:p>
                  <w:pPr>
                    <w:pStyle w:val="26"/>
                    <w:spacing w:line="240" w:lineRule="auto"/>
                    <w:rPr>
                      <w:rFonts w:hint="eastAsia" w:ascii="Times New Roman" w:hAnsi="Times New Roman" w:eastAsia="宋体" w:cs="Times New Roman"/>
                      <w:lang w:eastAsia="zh-CN"/>
                    </w:rPr>
                  </w:pPr>
                  <w:r>
                    <w:rPr>
                      <w:rFonts w:hint="eastAsia" w:cs="Times New Roman"/>
                      <w:lang w:val="en-US" w:eastAsia="zh-CN"/>
                    </w:rPr>
                    <w:t>3</w:t>
                  </w:r>
                </w:p>
              </w:tc>
              <w:tc>
                <w:tcPr>
                  <w:tcW w:w="976"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钻探</w:t>
                  </w: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机械</w:t>
                  </w:r>
                  <w:r>
                    <w:rPr>
                      <w:rFonts w:hint="eastAsia" w:cs="Times New Roman"/>
                      <w:color w:val="auto"/>
                      <w:kern w:val="0"/>
                      <w:sz w:val="21"/>
                      <w:szCs w:val="21"/>
                      <w:lang w:eastAsia="zh-CN"/>
                      <w14:ligatures w14:val="none"/>
                    </w:rPr>
                    <w:t>岩心</w:t>
                  </w:r>
                  <w:r>
                    <w:rPr>
                      <w:rFonts w:hint="default" w:ascii="Times New Roman" w:hAnsi="Times New Roman" w:eastAsia="宋体" w:cs="Times New Roman"/>
                      <w:color w:val="auto"/>
                      <w:kern w:val="0"/>
                      <w:sz w:val="21"/>
                      <w:szCs w:val="21"/>
                      <w14:ligatures w14:val="none"/>
                    </w:rPr>
                    <w:t>钻探</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m</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restart"/>
                  <w:tcBorders>
                    <w:tl2br w:val="nil"/>
                    <w:tr2bl w:val="nil"/>
                  </w:tcBorders>
                  <w:tcMar>
                    <w:top w:w="12" w:type="dxa"/>
                    <w:left w:w="12" w:type="dxa"/>
                    <w:right w:w="12" w:type="dxa"/>
                  </w:tcMar>
                  <w:vAlign w:val="center"/>
                </w:tcPr>
                <w:p>
                  <w:pPr>
                    <w:pStyle w:val="26"/>
                    <w:spacing w:line="240" w:lineRule="auto"/>
                    <w:rPr>
                      <w:rFonts w:hint="eastAsia" w:ascii="Times New Roman" w:hAnsi="Times New Roman" w:eastAsia="宋体" w:cs="Times New Roman"/>
                      <w:lang w:eastAsia="zh-CN"/>
                    </w:rPr>
                  </w:pPr>
                  <w:r>
                    <w:rPr>
                      <w:rFonts w:hint="eastAsia" w:cs="Times New Roman"/>
                      <w:lang w:val="en-US" w:eastAsia="zh-CN"/>
                    </w:rPr>
                    <w:t>4</w:t>
                  </w:r>
                </w:p>
              </w:tc>
              <w:tc>
                <w:tcPr>
                  <w:tcW w:w="976" w:type="pct"/>
                  <w:vMerge w:val="restart"/>
                  <w:tcBorders>
                    <w:tl2br w:val="nil"/>
                    <w:tr2bl w:val="nil"/>
                  </w:tcBorders>
                  <w:tcMar>
                    <w:top w:w="12" w:type="dxa"/>
                    <w:left w:w="12" w:type="dxa"/>
                    <w:right w:w="12" w:type="dxa"/>
                  </w:tcMar>
                  <w:vAlign w:val="center"/>
                </w:tcPr>
                <w:p>
                  <w:pPr>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各类样品采集测试化验</w:t>
                  </w: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en-US" w:eastAsia="zh-CN"/>
                      <w14:ligatures w14:val="none"/>
                    </w:rPr>
                    <w:t>基本分析</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en-US" w:eastAsia="zh-CN"/>
                      <w14:ligatures w14:val="none"/>
                    </w:rPr>
                    <w:t>组合分析</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3" w:hRule="atLeast"/>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en-US" w:eastAsia="zh-CN"/>
                      <w14:ligatures w14:val="none"/>
                    </w:rPr>
                    <w:t>化学全分析</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0" w:hRule="atLeast"/>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en-US" w:eastAsia="zh-CN"/>
                      <w14:ligatures w14:val="none"/>
                    </w:rPr>
                    <w:t>光谱全分析</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en-US" w:eastAsia="zh-CN"/>
                      <w14:ligatures w14:val="none"/>
                    </w:rPr>
                    <w:t>热差分析、X-衍射分析</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14:ligatures w14:val="none"/>
                    </w:rPr>
                  </w:pPr>
                  <w:r>
                    <w:rPr>
                      <w:rFonts w:hint="eastAsia" w:ascii="Times New Roman" w:hAnsi="Times New Roman" w:eastAsia="宋体" w:cs="Times New Roman"/>
                      <w:color w:val="auto"/>
                      <w:kern w:val="0"/>
                      <w:sz w:val="21"/>
                      <w:szCs w:val="21"/>
                      <w:lang w:val="en-US" w:eastAsia="zh-CN"/>
                      <w14:ligatures w14:val="none"/>
                    </w:rPr>
                    <w:t>物理化学性能测定</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14:ligatures w14:val="none"/>
                    </w:rPr>
                  </w:pPr>
                  <w:r>
                    <w:rPr>
                      <w:rFonts w:hint="eastAsia" w:ascii="Times New Roman" w:hAnsi="Times New Roman" w:eastAsia="宋体" w:cs="Times New Roman"/>
                      <w:color w:val="auto"/>
                      <w:kern w:val="0"/>
                      <w:sz w:val="21"/>
                      <w:szCs w:val="21"/>
                      <w:lang w:val="en-US" w:eastAsia="zh-CN"/>
                      <w14:ligatures w14:val="none"/>
                    </w:rPr>
                    <w:t>光片</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14:ligatures w14:val="none"/>
                    </w:rPr>
                  </w:pPr>
                  <w:r>
                    <w:rPr>
                      <w:rFonts w:hint="eastAsia" w:ascii="Times New Roman" w:hAnsi="Times New Roman" w:eastAsia="宋体" w:cs="Times New Roman"/>
                      <w:color w:val="auto"/>
                      <w:kern w:val="0"/>
                      <w:sz w:val="21"/>
                      <w:szCs w:val="21"/>
                      <w:lang w:val="en-US" w:eastAsia="zh-CN"/>
                      <w14:ligatures w14:val="none"/>
                    </w:rPr>
                    <w:t>薄片</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14:ligatures w14:val="none"/>
                    </w:rPr>
                  </w:pPr>
                  <w:r>
                    <w:rPr>
                      <w:rFonts w:hint="eastAsia" w:ascii="Times New Roman" w:hAnsi="Times New Roman" w:eastAsia="宋体" w:cs="Times New Roman"/>
                      <w:color w:val="auto"/>
                      <w:kern w:val="0"/>
                      <w:sz w:val="21"/>
                      <w:szCs w:val="21"/>
                      <w:lang w:val="en-US" w:eastAsia="zh-CN"/>
                      <w14:ligatures w14:val="none"/>
                    </w:rPr>
                    <w:t>内检</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14:ligatures w14:val="none"/>
                    </w:rPr>
                  </w:pPr>
                  <w:r>
                    <w:rPr>
                      <w:rFonts w:hint="eastAsia" w:ascii="Times New Roman" w:hAnsi="Times New Roman" w:eastAsia="宋体" w:cs="Times New Roman"/>
                      <w:color w:val="auto"/>
                      <w:kern w:val="0"/>
                      <w:sz w:val="21"/>
                      <w:szCs w:val="21"/>
                      <w:lang w:val="en-US" w:eastAsia="zh-CN"/>
                      <w14:ligatures w14:val="none"/>
                    </w:rPr>
                    <w:t>外检</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6"/>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46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14:ligatures w14:val="none"/>
                    </w:rPr>
                  </w:pPr>
                  <w:r>
                    <w:rPr>
                      <w:rFonts w:hint="eastAsia" w:ascii="Times New Roman" w:hAnsi="Times New Roman" w:eastAsia="宋体" w:cs="Times New Roman"/>
                      <w:color w:val="auto"/>
                      <w:kern w:val="0"/>
                      <w:sz w:val="21"/>
                      <w:szCs w:val="21"/>
                      <w:lang w:val="en-US" w:eastAsia="zh-CN"/>
                      <w14:ligatures w14:val="none"/>
                    </w:rPr>
                    <w:t>小体重</w:t>
                  </w:r>
                </w:p>
              </w:tc>
              <w:tc>
                <w:tcPr>
                  <w:tcW w:w="71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14:ligatures w14:val="none"/>
                    </w:rPr>
                    <w:t>件</w:t>
                  </w:r>
                </w:p>
              </w:tc>
              <w:tc>
                <w:tcPr>
                  <w:tcW w:w="888"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630"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cs="Times New Roman"/>
                      <w:lang w:val="en-US" w:eastAsia="zh-CN"/>
                    </w:rPr>
                  </w:pPr>
                  <w:r>
                    <w:rPr>
                      <w:rFonts w:hint="eastAsia" w:cs="Times New Roman"/>
                      <w:lang w:val="en-US" w:eastAsia="zh-CN"/>
                    </w:rPr>
                    <w:t>/</w:t>
                  </w:r>
                </w:p>
              </w:tc>
            </w:tr>
          </w:tbl>
          <w:p>
            <w:pPr>
              <w:pStyle w:val="15"/>
              <w:ind w:firstLine="482"/>
            </w:pPr>
            <w:r>
              <w:rPr>
                <w:rFonts w:hint="eastAsia"/>
                <w:lang w:val="en-US" w:eastAsia="zh-CN"/>
              </w:rPr>
              <w:t>6</w:t>
            </w:r>
            <w:r>
              <w:t>.</w:t>
            </w:r>
            <w:r>
              <w:rPr>
                <w:rFonts w:hint="eastAsia"/>
              </w:rPr>
              <w:t>主要</w:t>
            </w:r>
            <w:r>
              <w:rPr>
                <w:rFonts w:hint="eastAsia"/>
                <w:lang w:eastAsia="zh-CN"/>
              </w:rPr>
              <w:t>勘查</w:t>
            </w:r>
            <w:r>
              <w:rPr>
                <w:rFonts w:hint="eastAsia"/>
              </w:rPr>
              <w:t>设备</w:t>
            </w:r>
          </w:p>
          <w:p>
            <w:pPr>
              <w:ind w:firstLine="480"/>
              <w:rPr>
                <w:rFonts w:hint="eastAsia"/>
              </w:rPr>
            </w:pPr>
            <w:r>
              <w:t>本项目主要勘查设备见表2-</w:t>
            </w:r>
            <w:r>
              <w:rPr>
                <w:rFonts w:hint="eastAsia"/>
                <w:lang w:val="en-US" w:eastAsia="zh-CN"/>
              </w:rPr>
              <w:t>5</w:t>
            </w:r>
            <w:r>
              <w:t>。</w:t>
            </w:r>
          </w:p>
          <w:p>
            <w:pPr>
              <w:pStyle w:val="28"/>
              <w:spacing w:before="120"/>
            </w:pPr>
            <w:r>
              <w:rPr>
                <w:rFonts w:hint="eastAsia"/>
              </w:rPr>
              <w:t>表2</w:t>
            </w:r>
            <w:r>
              <w:t>-</w:t>
            </w:r>
            <w:r>
              <w:rPr>
                <w:rFonts w:hint="eastAsia"/>
                <w:lang w:val="en-US" w:eastAsia="zh-CN"/>
              </w:rPr>
              <w:t>5</w:t>
            </w:r>
            <w:r>
              <w:t>主要</w:t>
            </w:r>
            <w:r>
              <w:rPr>
                <w:rFonts w:hint="eastAsia"/>
              </w:rPr>
              <w:t>勘查</w:t>
            </w:r>
            <w:r>
              <w:t>设备一览表</w:t>
            </w:r>
          </w:p>
          <w:tbl>
            <w:tblPr>
              <w:tblStyle w:val="19"/>
              <w:tblW w:w="4998" w:type="pct"/>
              <w:tblInd w:w="-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9"/>
              <w:gridCol w:w="2427"/>
              <w:gridCol w:w="1671"/>
              <w:gridCol w:w="1273"/>
              <w:gridCol w:w="20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序号</w:t>
                  </w:r>
                </w:p>
              </w:tc>
              <w:tc>
                <w:tcPr>
                  <w:tcW w:w="1452" w:type="pct"/>
                  <w:tcBorders>
                    <w:tl2br w:val="nil"/>
                    <w:tr2bl w:val="nil"/>
                  </w:tcBorders>
                  <w:shd w:val="clear" w:color="auto" w:fill="auto"/>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设备名称</w:t>
                  </w:r>
                </w:p>
              </w:tc>
              <w:tc>
                <w:tcPr>
                  <w:tcW w:w="1000" w:type="pct"/>
                  <w:tcBorders>
                    <w:tl2br w:val="nil"/>
                    <w:tr2bl w:val="nil"/>
                  </w:tcBorders>
                  <w:shd w:val="clear" w:color="auto" w:fill="auto"/>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规格型号</w:t>
                  </w:r>
                </w:p>
              </w:tc>
              <w:tc>
                <w:tcPr>
                  <w:tcW w:w="762" w:type="pct"/>
                  <w:tcBorders>
                    <w:tl2br w:val="nil"/>
                    <w:tr2bl w:val="nil"/>
                  </w:tcBorders>
                  <w:shd w:val="clear" w:color="auto" w:fill="auto"/>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单位</w:t>
                  </w:r>
                </w:p>
              </w:tc>
              <w:tc>
                <w:tcPr>
                  <w:tcW w:w="1240" w:type="pct"/>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1</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笔记本电脑</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联想thinkpad</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数据处理、成图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2</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GPS</w:t>
                  </w:r>
                </w:p>
              </w:tc>
              <w:tc>
                <w:tcPr>
                  <w:tcW w:w="1671"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定位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3</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打印机</w:t>
                  </w:r>
                </w:p>
              </w:tc>
              <w:tc>
                <w:tcPr>
                  <w:tcW w:w="1671"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文字图件输出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4</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绘图仪</w:t>
                  </w:r>
                </w:p>
              </w:tc>
              <w:tc>
                <w:tcPr>
                  <w:tcW w:w="1671"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大型图件输出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5</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扫描仪</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CX500</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图件扫描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6</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传真机</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SANYO</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收传文件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7</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数码相机</w:t>
                  </w:r>
                </w:p>
              </w:tc>
              <w:tc>
                <w:tcPr>
                  <w:tcW w:w="1671"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野外地质现象记录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8</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快速分析仪</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KSY-2</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快速分析矿化现索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9</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测斜仪</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XJL-42</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测量钻孔斜度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pPr>
                  <w:r>
                    <w:rPr>
                      <w:rFonts w:hint="eastAsia"/>
                    </w:rPr>
                    <w:t>10</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钻机</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XY-4</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岩心钻探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rPr>
                      <w:rFonts w:hint="default" w:eastAsia="宋体"/>
                      <w:lang w:val="en-US" w:eastAsia="zh-CN"/>
                    </w:rPr>
                  </w:pPr>
                  <w:r>
                    <w:rPr>
                      <w:rFonts w:hint="eastAsia"/>
                      <w:lang w:val="en-US" w:eastAsia="zh-CN"/>
                    </w:rPr>
                    <w:t>11</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投影仪</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CP－MX2075</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073"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rPr>
                      <w:rFonts w:hint="default" w:eastAsia="宋体"/>
                      <w:lang w:val="en-US" w:eastAsia="zh-CN"/>
                    </w:rPr>
                  </w:pPr>
                  <w:r>
                    <w:rPr>
                      <w:rFonts w:hint="eastAsia"/>
                      <w:lang w:val="en-US" w:eastAsia="zh-CN"/>
                    </w:rPr>
                    <w:t>12</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对讲机</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A8</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通信保障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rPr>
                      <w:rFonts w:hint="default" w:eastAsia="宋体"/>
                      <w:lang w:val="en-US" w:eastAsia="zh-CN"/>
                    </w:rPr>
                  </w:pPr>
                  <w:r>
                    <w:rPr>
                      <w:rFonts w:hint="eastAsia"/>
                      <w:lang w:val="en-US" w:eastAsia="zh-CN"/>
                    </w:rPr>
                    <w:t>13</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发电机</w:t>
                  </w:r>
                </w:p>
              </w:tc>
              <w:tc>
                <w:tcPr>
                  <w:tcW w:w="1671"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生产供电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rPr>
                      <w:rFonts w:hint="default" w:eastAsia="宋体"/>
                      <w:lang w:val="en-US" w:eastAsia="zh-CN"/>
                    </w:rPr>
                  </w:pPr>
                  <w:r>
                    <w:rPr>
                      <w:rFonts w:hint="eastAsia"/>
                      <w:lang w:val="en-US" w:eastAsia="zh-CN"/>
                    </w:rPr>
                    <w:t>14</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卫星电话</w:t>
                  </w:r>
                </w:p>
              </w:tc>
              <w:tc>
                <w:tcPr>
                  <w:tcW w:w="1671"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9505A</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0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通信保障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9"/>
                    <w:rPr>
                      <w:rFonts w:hint="default" w:eastAsia="宋体"/>
                      <w:lang w:val="en-US" w:eastAsia="zh-CN"/>
                    </w:rPr>
                  </w:pPr>
                  <w:r>
                    <w:rPr>
                      <w:rFonts w:hint="eastAsia"/>
                      <w:lang w:val="en-US" w:eastAsia="zh-CN"/>
                    </w:rPr>
                    <w:t>15</w:t>
                  </w:r>
                </w:p>
              </w:tc>
              <w:tc>
                <w:tcPr>
                  <w:tcW w:w="2427"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越野汽车</w:t>
                  </w:r>
                </w:p>
              </w:tc>
              <w:tc>
                <w:tcPr>
                  <w:tcW w:w="1671"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273" w:type="dxa"/>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073"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交通运输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vAlign w:val="top"/>
                </w:tcPr>
                <w:p>
                  <w:pPr>
                    <w:pStyle w:val="29"/>
                    <w:ind w:firstLine="0" w:firstLineChars="0"/>
                    <w:rPr>
                      <w:rFonts w:hint="default"/>
                      <w:lang w:val="en-US" w:eastAsia="zh-CN"/>
                    </w:rPr>
                  </w:pPr>
                  <w:r>
                    <w:rPr>
                      <w:rFonts w:hint="eastAsia"/>
                      <w:lang w:val="en-US" w:eastAsia="zh-CN"/>
                    </w:rPr>
                    <w:t>16</w:t>
                  </w:r>
                </w:p>
              </w:tc>
              <w:tc>
                <w:tcPr>
                  <w:tcW w:w="1452" w:type="pct"/>
                  <w:tcBorders>
                    <w:tl2br w:val="nil"/>
                    <w:tr2bl w:val="nil"/>
                  </w:tcBorders>
                  <w:shd w:val="clear" w:color="auto" w:fill="auto"/>
                  <w:vAlign w:val="center"/>
                </w:tcPr>
                <w:p>
                  <w:pPr>
                    <w:pStyle w:val="29"/>
                    <w:ind w:firstLine="0" w:firstLineChars="0"/>
                    <w:rPr>
                      <w:rFonts w:hint="eastAsia" w:ascii="Times New Roman" w:hAnsi="Times New Roman" w:eastAsia="宋体" w:cs="Times New Roman"/>
                    </w:rPr>
                  </w:pPr>
                  <w:r>
                    <w:rPr>
                      <w:rFonts w:hint="eastAsia"/>
                      <w:lang w:val="en-US" w:eastAsia="zh-CN"/>
                    </w:rPr>
                    <w:t>柴油发电机</w:t>
                  </w:r>
                </w:p>
              </w:tc>
              <w:tc>
                <w:tcPr>
                  <w:tcW w:w="1000" w:type="pct"/>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762" w:type="pct"/>
                  <w:tcBorders>
                    <w:tl2br w:val="nil"/>
                    <w:tr2bl w:val="nil"/>
                  </w:tcBorders>
                  <w:shd w:val="clear" w:color="auto" w:fill="auto"/>
                  <w:vAlign w:val="center"/>
                </w:tcPr>
                <w:p>
                  <w:pPr>
                    <w:pStyle w:val="29"/>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073" w:type="dxa"/>
                  <w:tcBorders>
                    <w:tl2br w:val="nil"/>
                    <w:tr2bl w:val="nil"/>
                  </w:tcBorders>
                  <w:shd w:val="clear" w:color="auto" w:fill="auto"/>
                  <w:vAlign w:val="center"/>
                </w:tcPr>
                <w:p>
                  <w:pPr>
                    <w:pStyle w:val="29"/>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bl>
          <w:p>
            <w:pPr>
              <w:pStyle w:val="15"/>
              <w:ind w:firstLine="482"/>
            </w:pPr>
            <w:r>
              <w:rPr>
                <w:rFonts w:hint="eastAsia"/>
                <w:lang w:val="en-US" w:eastAsia="zh-CN"/>
              </w:rPr>
              <w:t>7</w:t>
            </w:r>
            <w:r>
              <w:rPr>
                <w:rFonts w:hint="eastAsia"/>
              </w:rPr>
              <w:t>、主要</w:t>
            </w:r>
            <w:r>
              <w:t>原、辅材料</w:t>
            </w:r>
            <w:r>
              <w:rPr>
                <w:rFonts w:hint="eastAsia"/>
              </w:rPr>
              <w:t>用量</w:t>
            </w:r>
          </w:p>
          <w:p>
            <w:pPr>
              <w:ind w:firstLine="480"/>
            </w:pPr>
            <w:r>
              <w:t>本项目主要原辅材料</w:t>
            </w:r>
            <w:r>
              <w:rPr>
                <w:rFonts w:hint="eastAsia"/>
              </w:rPr>
              <w:t>消耗</w:t>
            </w:r>
            <w:r>
              <w:t>见表</w:t>
            </w:r>
            <w:r>
              <w:rPr>
                <w:rFonts w:hint="eastAsia"/>
              </w:rPr>
              <w:t>2</w:t>
            </w:r>
            <w:r>
              <w:t>-</w:t>
            </w:r>
            <w:r>
              <w:rPr>
                <w:rFonts w:hint="eastAsia"/>
                <w:lang w:val="en-US" w:eastAsia="zh-CN"/>
              </w:rPr>
              <w:t>6</w:t>
            </w:r>
            <w:r>
              <w:rPr>
                <w:rFonts w:hint="eastAsia"/>
              </w:rPr>
              <w:t>。</w:t>
            </w:r>
          </w:p>
          <w:p>
            <w:pPr>
              <w:pStyle w:val="28"/>
              <w:spacing w:before="120"/>
              <w:rPr>
                <w:bCs/>
              </w:rPr>
            </w:pPr>
            <w:r>
              <w:rPr>
                <w:rFonts w:hint="eastAsia"/>
              </w:rPr>
              <w:t>表2</w:t>
            </w:r>
            <w:r>
              <w:t>-</w:t>
            </w:r>
            <w:r>
              <w:rPr>
                <w:rFonts w:hint="eastAsia"/>
                <w:lang w:val="en-US" w:eastAsia="zh-CN"/>
              </w:rPr>
              <w:t>6</w:t>
            </w:r>
            <w:r>
              <w:rPr>
                <w:rFonts w:hint="eastAsia"/>
              </w:rPr>
              <w:t>主要原、辅材料消耗一览表</w:t>
            </w:r>
          </w:p>
          <w:tbl>
            <w:tblPr>
              <w:tblStyle w:val="19"/>
              <w:tblW w:w="8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6"/>
              <w:gridCol w:w="1596"/>
              <w:gridCol w:w="1398"/>
              <w:gridCol w:w="2115"/>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tcPr>
                <w:p>
                  <w:pPr>
                    <w:pStyle w:val="29"/>
                  </w:pPr>
                  <w:r>
                    <w:t>序号</w:t>
                  </w:r>
                </w:p>
              </w:tc>
              <w:tc>
                <w:tcPr>
                  <w:tcW w:w="1596" w:type="dxa"/>
                  <w:tcBorders>
                    <w:tl2br w:val="nil"/>
                    <w:tr2bl w:val="nil"/>
                  </w:tcBorders>
                </w:tcPr>
                <w:p>
                  <w:pPr>
                    <w:pStyle w:val="29"/>
                  </w:pPr>
                  <w:r>
                    <w:t>名称</w:t>
                  </w:r>
                </w:p>
              </w:tc>
              <w:tc>
                <w:tcPr>
                  <w:tcW w:w="1398" w:type="dxa"/>
                  <w:tcBorders>
                    <w:tl2br w:val="nil"/>
                    <w:tr2bl w:val="nil"/>
                  </w:tcBorders>
                </w:tcPr>
                <w:p>
                  <w:pPr>
                    <w:pStyle w:val="29"/>
                  </w:pPr>
                  <w:r>
                    <w:t>用量</w:t>
                  </w:r>
                </w:p>
              </w:tc>
              <w:tc>
                <w:tcPr>
                  <w:tcW w:w="2115" w:type="dxa"/>
                  <w:tcBorders>
                    <w:tl2br w:val="nil"/>
                    <w:tr2bl w:val="nil"/>
                  </w:tcBorders>
                </w:tcPr>
                <w:p>
                  <w:pPr>
                    <w:pStyle w:val="29"/>
                  </w:pPr>
                  <w:r>
                    <w:t>来源</w:t>
                  </w:r>
                </w:p>
              </w:tc>
              <w:tc>
                <w:tcPr>
                  <w:tcW w:w="2424" w:type="dxa"/>
                  <w:tcBorders>
                    <w:tl2br w:val="nil"/>
                    <w:tr2bl w:val="nil"/>
                  </w:tcBorders>
                </w:tcPr>
                <w:p>
                  <w:pPr>
                    <w:pStyle w:val="29"/>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29"/>
                  </w:pPr>
                  <w:r>
                    <w:t>1</w:t>
                  </w:r>
                </w:p>
              </w:tc>
              <w:tc>
                <w:tcPr>
                  <w:tcW w:w="1596" w:type="dxa"/>
                  <w:tcBorders>
                    <w:tl2br w:val="nil"/>
                    <w:tr2bl w:val="nil"/>
                  </w:tcBorders>
                  <w:vAlign w:val="center"/>
                </w:tcPr>
                <w:p>
                  <w:pPr>
                    <w:pStyle w:val="29"/>
                  </w:pPr>
                  <w:r>
                    <w:rPr>
                      <w:rFonts w:hint="eastAsia"/>
                    </w:rPr>
                    <w:t>专用泥浆（润滑剂、增粘剂）</w:t>
                  </w:r>
                </w:p>
              </w:tc>
              <w:tc>
                <w:tcPr>
                  <w:tcW w:w="1398" w:type="dxa"/>
                  <w:tcBorders>
                    <w:tl2br w:val="nil"/>
                    <w:tr2bl w:val="nil"/>
                  </w:tcBorders>
                  <w:vAlign w:val="center"/>
                </w:tcPr>
                <w:p>
                  <w:pPr>
                    <w:pStyle w:val="29"/>
                    <w:rPr>
                      <w:rFonts w:hint="default" w:eastAsia="宋体"/>
                      <w:lang w:val="en-US" w:eastAsia="zh-CN"/>
                    </w:rPr>
                  </w:pPr>
                  <w:r>
                    <w:rPr>
                      <w:rFonts w:hint="eastAsia"/>
                    </w:rPr>
                    <w:t>0</w:t>
                  </w:r>
                  <w:r>
                    <w:t>.</w:t>
                  </w:r>
                  <w:r>
                    <w:rPr>
                      <w:rFonts w:hint="eastAsia"/>
                      <w:lang w:val="en-US" w:eastAsia="zh-CN"/>
                    </w:rPr>
                    <w:t>3</w:t>
                  </w:r>
                  <w:r>
                    <w:rPr>
                      <w:rFonts w:hint="eastAsia"/>
                    </w:rPr>
                    <w:t>t</w:t>
                  </w:r>
                  <w:r>
                    <w:rPr>
                      <w:rFonts w:hint="eastAsia"/>
                      <w:lang w:val="en-US" w:eastAsia="zh-CN"/>
                    </w:rPr>
                    <w:t>/a</w:t>
                  </w:r>
                </w:p>
              </w:tc>
              <w:tc>
                <w:tcPr>
                  <w:tcW w:w="2115" w:type="dxa"/>
                  <w:tcBorders>
                    <w:tl2br w:val="nil"/>
                    <w:tr2bl w:val="nil"/>
                  </w:tcBorders>
                  <w:vAlign w:val="center"/>
                </w:tcPr>
                <w:p>
                  <w:pPr>
                    <w:pStyle w:val="29"/>
                  </w:pPr>
                  <w:r>
                    <w:rPr>
                      <w:rFonts w:hint="eastAsia"/>
                    </w:rPr>
                    <w:t>外购</w:t>
                  </w:r>
                </w:p>
              </w:tc>
              <w:tc>
                <w:tcPr>
                  <w:tcW w:w="2424" w:type="dxa"/>
                  <w:tcBorders>
                    <w:tl2br w:val="nil"/>
                    <w:tr2bl w:val="nil"/>
                  </w:tcBorders>
                  <w:vAlign w:val="center"/>
                </w:tcPr>
                <w:p>
                  <w:pPr>
                    <w:pStyle w:val="29"/>
                  </w:pPr>
                  <w:r>
                    <w:rPr>
                      <w:rFonts w:hint="eastAsia"/>
                    </w:rPr>
                    <w:t>钻探辅料，采用</w:t>
                  </w:r>
                  <w:r>
                    <w:rPr>
                      <w:rFonts w:hint="eastAsia"/>
                      <w:lang w:eastAsia="zh-CN"/>
                    </w:rPr>
                    <w:t>非磺化水基钻井液，</w:t>
                  </w:r>
                  <w:r>
                    <w:rPr>
                      <w:rFonts w:hint="eastAsia"/>
                      <w:lang w:val="en-US" w:eastAsia="zh-CN"/>
                    </w:rPr>
                    <w:t>现场配置泥浆</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29"/>
                  </w:pPr>
                  <w:r>
                    <w:rPr>
                      <w:rFonts w:hint="eastAsia"/>
                    </w:rPr>
                    <w:t>2</w:t>
                  </w:r>
                </w:p>
              </w:tc>
              <w:tc>
                <w:tcPr>
                  <w:tcW w:w="1596" w:type="dxa"/>
                  <w:tcBorders>
                    <w:tl2br w:val="nil"/>
                    <w:tr2bl w:val="nil"/>
                  </w:tcBorders>
                  <w:vAlign w:val="center"/>
                </w:tcPr>
                <w:p>
                  <w:pPr>
                    <w:pStyle w:val="29"/>
                  </w:pPr>
                  <w:r>
                    <w:rPr>
                      <w:rFonts w:hint="eastAsia"/>
                    </w:rPr>
                    <w:t>膨润土</w:t>
                  </w:r>
                </w:p>
              </w:tc>
              <w:tc>
                <w:tcPr>
                  <w:tcW w:w="1398" w:type="dxa"/>
                  <w:tcBorders>
                    <w:tl2br w:val="nil"/>
                    <w:tr2bl w:val="nil"/>
                  </w:tcBorders>
                  <w:vAlign w:val="center"/>
                </w:tcPr>
                <w:p>
                  <w:pPr>
                    <w:pStyle w:val="29"/>
                    <w:rPr>
                      <w:rFonts w:hint="default" w:eastAsia="宋体"/>
                      <w:lang w:val="en-US" w:eastAsia="zh-CN"/>
                    </w:rPr>
                  </w:pPr>
                  <w:r>
                    <w:rPr>
                      <w:rFonts w:hint="eastAsia"/>
                      <w:lang w:val="en-US" w:eastAsia="zh-CN"/>
                    </w:rPr>
                    <w:t>10</w:t>
                  </w:r>
                  <w:r>
                    <w:rPr>
                      <w:rFonts w:hint="eastAsia"/>
                    </w:rPr>
                    <w:t>t</w:t>
                  </w:r>
                  <w:r>
                    <w:rPr>
                      <w:rFonts w:hint="eastAsia"/>
                      <w:lang w:val="en-US" w:eastAsia="zh-CN"/>
                    </w:rPr>
                    <w:t>/a</w:t>
                  </w:r>
                </w:p>
              </w:tc>
              <w:tc>
                <w:tcPr>
                  <w:tcW w:w="2115" w:type="dxa"/>
                  <w:tcBorders>
                    <w:tl2br w:val="nil"/>
                    <w:tr2bl w:val="nil"/>
                  </w:tcBorders>
                  <w:vAlign w:val="center"/>
                </w:tcPr>
                <w:p>
                  <w:pPr>
                    <w:pStyle w:val="29"/>
                  </w:pPr>
                  <w:r>
                    <w:rPr>
                      <w:rFonts w:hint="eastAsia"/>
                    </w:rPr>
                    <w:t>外购</w:t>
                  </w:r>
                </w:p>
              </w:tc>
              <w:tc>
                <w:tcPr>
                  <w:tcW w:w="2424" w:type="dxa"/>
                  <w:tcBorders>
                    <w:tl2br w:val="nil"/>
                    <w:tr2bl w:val="nil"/>
                  </w:tcBorders>
                  <w:vAlign w:val="center"/>
                </w:tcPr>
                <w:p>
                  <w:pPr>
                    <w:pStyle w:val="29"/>
                  </w:pPr>
                  <w:r>
                    <w:rPr>
                      <w:rFonts w:hint="eastAsia"/>
                    </w:rPr>
                    <w:t>钻探辅料</w:t>
                  </w:r>
                  <w:r>
                    <w:rPr>
                      <w:rFonts w:hint="eastAsia"/>
                      <w:lang w:eastAsia="zh-CN"/>
                    </w:rPr>
                    <w:t>；</w:t>
                  </w:r>
                  <w:r>
                    <w:rPr>
                      <w:rFonts w:hint="eastAsia"/>
                      <w:lang w:val="en-US" w:eastAsia="zh-CN"/>
                    </w:rPr>
                    <w:t>包装形式：吨袋；存放位置：钻井平台上风向的平整区域，避免粉尘污染工作区。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29"/>
                  </w:pPr>
                  <w:r>
                    <w:rPr>
                      <w:rFonts w:hint="eastAsia"/>
                    </w:rPr>
                    <w:t>3</w:t>
                  </w:r>
                </w:p>
              </w:tc>
              <w:tc>
                <w:tcPr>
                  <w:tcW w:w="1596" w:type="dxa"/>
                  <w:tcBorders>
                    <w:tl2br w:val="nil"/>
                    <w:tr2bl w:val="nil"/>
                  </w:tcBorders>
                  <w:vAlign w:val="center"/>
                </w:tcPr>
                <w:p>
                  <w:pPr>
                    <w:pStyle w:val="29"/>
                  </w:pPr>
                  <w:r>
                    <w:t>水</w:t>
                  </w:r>
                </w:p>
              </w:tc>
              <w:tc>
                <w:tcPr>
                  <w:tcW w:w="1398" w:type="dxa"/>
                  <w:tcBorders>
                    <w:tl2br w:val="nil"/>
                    <w:tr2bl w:val="nil"/>
                  </w:tcBorders>
                  <w:vAlign w:val="center"/>
                </w:tcPr>
                <w:p>
                  <w:pPr>
                    <w:pStyle w:val="29"/>
                  </w:pPr>
                  <w:r>
                    <w:rPr>
                      <w:rFonts w:hint="eastAsia"/>
                      <w:lang w:val="en-US" w:eastAsia="zh-CN"/>
                    </w:rPr>
                    <w:t>600</w:t>
                  </w:r>
                  <w:r>
                    <w:rPr>
                      <w:rFonts w:hint="eastAsia"/>
                    </w:rPr>
                    <w:t>t/a</w:t>
                  </w:r>
                </w:p>
              </w:tc>
              <w:tc>
                <w:tcPr>
                  <w:tcW w:w="2115" w:type="dxa"/>
                  <w:tcBorders>
                    <w:tl2br w:val="nil"/>
                    <w:tr2bl w:val="nil"/>
                  </w:tcBorders>
                  <w:vAlign w:val="center"/>
                </w:tcPr>
                <w:p>
                  <w:pPr>
                    <w:pStyle w:val="29"/>
                  </w:pPr>
                  <w:r>
                    <w:t>生产用水从矿区内就近河沟中抽取</w:t>
                  </w:r>
                  <w:r>
                    <w:rPr>
                      <w:rFonts w:hint="eastAsia"/>
                      <w:lang w:eastAsia="zh-CN"/>
                    </w:rPr>
                    <w:t>，</w:t>
                  </w:r>
                  <w:r>
                    <w:rPr>
                      <w:rFonts w:hint="eastAsia"/>
                      <w:lang w:val="en-US" w:eastAsia="zh-CN"/>
                    </w:rPr>
                    <w:t>生活用水从依吞布拉克镇拉运</w:t>
                  </w:r>
                </w:p>
              </w:tc>
              <w:tc>
                <w:tcPr>
                  <w:tcW w:w="2424" w:type="dxa"/>
                  <w:tcBorders>
                    <w:tl2br w:val="nil"/>
                    <w:tr2bl w:val="nil"/>
                  </w:tcBorders>
                  <w:vAlign w:val="center"/>
                </w:tcPr>
                <w:p>
                  <w:pPr>
                    <w:pStyle w:val="29"/>
                  </w:pPr>
                  <w:r>
                    <w:t>生产</w:t>
                  </w:r>
                  <w:r>
                    <w:rPr>
                      <w:rFonts w:hint="eastAsia"/>
                    </w:rPr>
                    <w:t>、生活</w:t>
                  </w:r>
                  <w:r>
                    <w:t>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29"/>
                  </w:pPr>
                  <w:r>
                    <w:rPr>
                      <w:rFonts w:hint="eastAsia"/>
                    </w:rPr>
                    <w:t>4</w:t>
                  </w:r>
                </w:p>
              </w:tc>
              <w:tc>
                <w:tcPr>
                  <w:tcW w:w="1596" w:type="dxa"/>
                  <w:tcBorders>
                    <w:tl2br w:val="nil"/>
                    <w:tr2bl w:val="nil"/>
                  </w:tcBorders>
                  <w:vAlign w:val="center"/>
                </w:tcPr>
                <w:p>
                  <w:pPr>
                    <w:pStyle w:val="29"/>
                  </w:pPr>
                  <w:r>
                    <w:t>电</w:t>
                  </w:r>
                </w:p>
              </w:tc>
              <w:tc>
                <w:tcPr>
                  <w:tcW w:w="1398" w:type="dxa"/>
                  <w:tcBorders>
                    <w:tl2br w:val="nil"/>
                    <w:tr2bl w:val="nil"/>
                  </w:tcBorders>
                  <w:vAlign w:val="center"/>
                </w:tcPr>
                <w:p>
                  <w:pPr>
                    <w:pStyle w:val="29"/>
                    <w:ind w:firstLine="0" w:firstLineChars="0"/>
                  </w:pPr>
                  <w:r>
                    <w:rPr>
                      <w:rFonts w:hint="eastAsia"/>
                    </w:rPr>
                    <w:t>10</w:t>
                  </w:r>
                  <w:r>
                    <w:t>00kW·h</w:t>
                  </w:r>
                </w:p>
              </w:tc>
              <w:tc>
                <w:tcPr>
                  <w:tcW w:w="2115" w:type="dxa"/>
                  <w:tcBorders>
                    <w:tl2br w:val="nil"/>
                    <w:tr2bl w:val="nil"/>
                  </w:tcBorders>
                  <w:vAlign w:val="center"/>
                </w:tcPr>
                <w:p>
                  <w:pPr>
                    <w:pStyle w:val="29"/>
                  </w:pPr>
                  <w:r>
                    <w:t>柴油发电机</w:t>
                  </w:r>
                </w:p>
              </w:tc>
              <w:tc>
                <w:tcPr>
                  <w:tcW w:w="2424" w:type="dxa"/>
                  <w:tcBorders>
                    <w:tl2br w:val="nil"/>
                    <w:tr2bl w:val="nil"/>
                  </w:tcBorders>
                  <w:vAlign w:val="center"/>
                </w:tcPr>
                <w:p>
                  <w:pPr>
                    <w:pStyle w:val="29"/>
                  </w:pPr>
                  <w:r>
                    <w:t>生产</w:t>
                  </w:r>
                  <w:r>
                    <w:rPr>
                      <w:rFonts w:hint="eastAsia"/>
                    </w:rPr>
                    <w:t>、生活</w:t>
                  </w:r>
                  <w:r>
                    <w:t>用电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blHeader/>
                <w:jc w:val="center"/>
              </w:trPr>
              <w:tc>
                <w:tcPr>
                  <w:tcW w:w="766" w:type="dxa"/>
                  <w:tcBorders>
                    <w:tl2br w:val="nil"/>
                    <w:tr2bl w:val="nil"/>
                  </w:tcBorders>
                  <w:vAlign w:val="center"/>
                </w:tcPr>
                <w:p>
                  <w:pPr>
                    <w:pStyle w:val="29"/>
                  </w:pPr>
                  <w:r>
                    <w:t>5</w:t>
                  </w:r>
                </w:p>
              </w:tc>
              <w:tc>
                <w:tcPr>
                  <w:tcW w:w="1596" w:type="dxa"/>
                  <w:tcBorders>
                    <w:tl2br w:val="nil"/>
                    <w:tr2bl w:val="nil"/>
                  </w:tcBorders>
                  <w:vAlign w:val="center"/>
                </w:tcPr>
                <w:p>
                  <w:pPr>
                    <w:pStyle w:val="29"/>
                  </w:pPr>
                  <w:r>
                    <w:rPr>
                      <w:rFonts w:hint="eastAsia"/>
                    </w:rPr>
                    <w:t>柴油</w:t>
                  </w:r>
                </w:p>
              </w:tc>
              <w:tc>
                <w:tcPr>
                  <w:tcW w:w="1398" w:type="dxa"/>
                  <w:tcBorders>
                    <w:tl2br w:val="nil"/>
                    <w:tr2bl w:val="nil"/>
                  </w:tcBorders>
                  <w:vAlign w:val="center"/>
                </w:tcPr>
                <w:p>
                  <w:pPr>
                    <w:pStyle w:val="29"/>
                    <w:ind w:firstLine="0" w:firstLineChars="0"/>
                  </w:pPr>
                  <w:r>
                    <w:rPr>
                      <w:rFonts w:hint="eastAsia"/>
                      <w:lang w:val="en-US" w:eastAsia="zh-CN"/>
                    </w:rPr>
                    <w:t>50t</w:t>
                  </w:r>
                  <w:r>
                    <w:rPr>
                      <w:rFonts w:hint="eastAsia"/>
                    </w:rPr>
                    <w:t>/a</w:t>
                  </w:r>
                </w:p>
              </w:tc>
              <w:tc>
                <w:tcPr>
                  <w:tcW w:w="2115" w:type="dxa"/>
                  <w:tcBorders>
                    <w:tl2br w:val="nil"/>
                    <w:tr2bl w:val="nil"/>
                  </w:tcBorders>
                  <w:vAlign w:val="center"/>
                </w:tcPr>
                <w:p>
                  <w:pPr>
                    <w:pStyle w:val="29"/>
                  </w:pPr>
                  <w:r>
                    <w:rPr>
                      <w:rFonts w:hint="eastAsia"/>
                    </w:rPr>
                    <w:t>外购</w:t>
                  </w:r>
                </w:p>
              </w:tc>
              <w:tc>
                <w:tcPr>
                  <w:tcW w:w="2424" w:type="dxa"/>
                  <w:tcBorders>
                    <w:tl2br w:val="nil"/>
                    <w:tr2bl w:val="nil"/>
                  </w:tcBorders>
                  <w:vAlign w:val="center"/>
                </w:tcPr>
                <w:p>
                  <w:pPr>
                    <w:pStyle w:val="29"/>
                    <w:rPr>
                      <w:rFonts w:hint="default" w:eastAsia="宋体"/>
                      <w:lang w:val="en-US" w:eastAsia="zh-CN"/>
                    </w:rPr>
                  </w:pPr>
                  <w:r>
                    <w:rPr>
                      <w:rFonts w:hint="eastAsia"/>
                    </w:rPr>
                    <w:t>柴油发电机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blHeader/>
                <w:jc w:val="center"/>
              </w:trPr>
              <w:tc>
                <w:tcPr>
                  <w:tcW w:w="766" w:type="dxa"/>
                  <w:tcBorders>
                    <w:tl2br w:val="nil"/>
                    <w:tr2bl w:val="nil"/>
                  </w:tcBorders>
                  <w:vAlign w:val="center"/>
                </w:tcPr>
                <w:p>
                  <w:pPr>
                    <w:pStyle w:val="29"/>
                    <w:ind w:firstLine="0" w:firstLineChars="0"/>
                  </w:pPr>
                  <w:r>
                    <w:rPr>
                      <w:rFonts w:hint="eastAsia"/>
                      <w:lang w:val="en-US" w:eastAsia="zh-CN"/>
                    </w:rPr>
                    <w:t>6</w:t>
                  </w:r>
                </w:p>
              </w:tc>
              <w:tc>
                <w:tcPr>
                  <w:tcW w:w="1596" w:type="dxa"/>
                  <w:tcBorders>
                    <w:tl2br w:val="nil"/>
                    <w:tr2bl w:val="nil"/>
                  </w:tcBorders>
                  <w:vAlign w:val="center"/>
                </w:tcPr>
                <w:p>
                  <w:pPr>
                    <w:pStyle w:val="29"/>
                    <w:ind w:firstLine="0" w:firstLineChars="0"/>
                    <w:rPr>
                      <w:rFonts w:hint="eastAsia"/>
                    </w:rPr>
                  </w:pPr>
                  <w:r>
                    <w:rPr>
                      <w:rFonts w:hint="eastAsia"/>
                      <w:lang w:val="en-US" w:eastAsia="zh-CN"/>
                    </w:rPr>
                    <w:t>水泥</w:t>
                  </w:r>
                </w:p>
              </w:tc>
              <w:tc>
                <w:tcPr>
                  <w:tcW w:w="1398" w:type="dxa"/>
                  <w:tcBorders>
                    <w:tl2br w:val="nil"/>
                    <w:tr2bl w:val="nil"/>
                  </w:tcBorders>
                  <w:vAlign w:val="center"/>
                </w:tcPr>
                <w:p>
                  <w:pPr>
                    <w:pStyle w:val="29"/>
                    <w:ind w:firstLine="0" w:firstLineChars="0"/>
                    <w:rPr>
                      <w:rFonts w:hint="eastAsia"/>
                      <w:lang w:val="en-US" w:eastAsia="zh-CN"/>
                    </w:rPr>
                  </w:pPr>
                  <w:r>
                    <w:rPr>
                      <w:rFonts w:hint="eastAsia"/>
                      <w:lang w:val="en-US" w:eastAsia="zh-CN"/>
                    </w:rPr>
                    <w:t>0.4t/a</w:t>
                  </w:r>
                </w:p>
              </w:tc>
              <w:tc>
                <w:tcPr>
                  <w:tcW w:w="2115" w:type="dxa"/>
                  <w:tcBorders>
                    <w:tl2br w:val="nil"/>
                    <w:tr2bl w:val="nil"/>
                  </w:tcBorders>
                  <w:vAlign w:val="center"/>
                </w:tcPr>
                <w:p>
                  <w:pPr>
                    <w:pStyle w:val="29"/>
                    <w:ind w:firstLine="0" w:firstLineChars="0"/>
                    <w:rPr>
                      <w:rFonts w:hint="eastAsia"/>
                    </w:rPr>
                  </w:pPr>
                  <w:r>
                    <w:rPr>
                      <w:rFonts w:hint="eastAsia"/>
                      <w:lang w:val="en-US" w:eastAsia="zh-CN"/>
                    </w:rPr>
                    <w:t>外购</w:t>
                  </w:r>
                </w:p>
              </w:tc>
              <w:tc>
                <w:tcPr>
                  <w:tcW w:w="2424" w:type="dxa"/>
                  <w:tcBorders>
                    <w:tl2br w:val="nil"/>
                    <w:tr2bl w:val="nil"/>
                  </w:tcBorders>
                  <w:vAlign w:val="center"/>
                </w:tcPr>
                <w:p>
                  <w:pPr>
                    <w:pStyle w:val="29"/>
                    <w:ind w:firstLine="0" w:firstLineChars="0"/>
                    <w:rPr>
                      <w:rFonts w:hint="eastAsia"/>
                    </w:rPr>
                  </w:pPr>
                  <w:r>
                    <w:rPr>
                      <w:rFonts w:hint="eastAsia"/>
                      <w:lang w:val="en-US" w:eastAsia="zh-CN"/>
                    </w:rPr>
                    <w:t>用于钻探后的孔封堵、沉淀池固化</w:t>
                  </w:r>
                </w:p>
              </w:tc>
            </w:tr>
          </w:tbl>
          <w:p>
            <w:pPr>
              <w:pStyle w:val="15"/>
              <w:ind w:firstLine="482"/>
              <w:rPr>
                <w:color w:val="000000"/>
                <w:szCs w:val="21"/>
              </w:rPr>
            </w:pPr>
            <w:r>
              <w:rPr>
                <w:rFonts w:hint="eastAsia"/>
                <w:color w:val="000000"/>
                <w:szCs w:val="21"/>
                <w:lang w:val="en-US" w:eastAsia="zh-CN"/>
              </w:rPr>
              <w:t>8</w:t>
            </w:r>
            <w:r>
              <w:rPr>
                <w:rFonts w:hint="eastAsia"/>
                <w:color w:val="000000"/>
                <w:szCs w:val="21"/>
              </w:rPr>
              <w:t>、</w:t>
            </w:r>
            <w:r>
              <w:rPr>
                <w:rFonts w:hint="eastAsia"/>
                <w:lang w:bidi="ar"/>
              </w:rPr>
              <w:t>公用工程</w:t>
            </w:r>
          </w:p>
          <w:p>
            <w:pPr>
              <w:ind w:firstLine="480"/>
            </w:pPr>
            <w:r>
              <w:rPr>
                <w:rFonts w:hint="eastAsia"/>
              </w:rPr>
              <w:t>（1）给水工程</w:t>
            </w:r>
          </w:p>
          <w:p>
            <w:pPr>
              <w:ind w:firstLine="480"/>
            </w:pPr>
            <w:r>
              <w:rPr>
                <w:rFonts w:hint="eastAsia"/>
                <w:lang w:val="en-US" w:eastAsia="zh-CN"/>
              </w:rPr>
              <w:t>本项目</w:t>
            </w:r>
            <w:r>
              <w:t>生产用水从矿区内就近河沟中抽取</w:t>
            </w:r>
            <w:r>
              <w:rPr>
                <w:rFonts w:hint="eastAsia"/>
                <w:lang w:eastAsia="zh-CN"/>
              </w:rPr>
              <w:t>，</w:t>
            </w:r>
            <w:r>
              <w:rPr>
                <w:rFonts w:hint="eastAsia"/>
                <w:lang w:val="en-US" w:eastAsia="zh-CN"/>
              </w:rPr>
              <w:t>生活用水从依吞布拉克镇拉运</w:t>
            </w:r>
            <w:r>
              <w:rPr>
                <w:rFonts w:hint="eastAsia"/>
                <w:bCs/>
              </w:rPr>
              <w:t>。</w:t>
            </w:r>
          </w:p>
          <w:p>
            <w:pPr>
              <w:ind w:firstLine="480"/>
            </w:pPr>
            <w:r>
              <w:rPr>
                <w:rFonts w:hint="eastAsia"/>
              </w:rPr>
              <w:t>（2）排水工程</w:t>
            </w:r>
          </w:p>
          <w:p>
            <w:pPr>
              <w:ind w:firstLine="480"/>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p>
          <w:p>
            <w:pPr>
              <w:ind w:firstLine="480"/>
              <w:rPr>
                <w:rFonts w:hint="default" w:eastAsia="宋体"/>
                <w:lang w:val="en-US" w:eastAsia="zh-CN"/>
              </w:rPr>
            </w:pPr>
            <w:r>
              <w:rPr>
                <w:rFonts w:hint="eastAsia"/>
              </w:rPr>
              <w:t>（</w:t>
            </w:r>
            <w:r>
              <w:t>3</w:t>
            </w:r>
            <w:r>
              <w:rPr>
                <w:rFonts w:hint="eastAsia"/>
              </w:rPr>
              <w:t>）供电工程</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项目用电设置柴油发电机2台</w:t>
            </w:r>
            <w:r>
              <w:rPr>
                <w:rFonts w:hint="eastAsia" w:ascii="宋体" w:hAnsi="宋体" w:cs="宋体"/>
                <w:color w:val="000000"/>
                <w:kern w:val="0"/>
                <w:sz w:val="24"/>
                <w:szCs w:val="24"/>
                <w:lang w:val="en-US" w:eastAsia="zh-CN" w:bidi="ar"/>
              </w:rPr>
              <w:t>，</w:t>
            </w:r>
            <w:r>
              <w:rPr>
                <w:rFonts w:hint="eastAsia"/>
              </w:rPr>
              <w:t>提供生产、生活用电</w:t>
            </w:r>
            <w:r>
              <w:rPr>
                <w:rFonts w:hint="eastAsia" w:ascii="宋体" w:hAnsi="宋体" w:eastAsia="宋体" w:cs="宋体"/>
                <w:color w:val="000000"/>
                <w:kern w:val="0"/>
                <w:sz w:val="24"/>
                <w:szCs w:val="24"/>
                <w:lang w:val="en-US" w:eastAsia="zh-CN" w:bidi="ar"/>
              </w:rPr>
              <w:t>。</w:t>
            </w:r>
          </w:p>
          <w:p>
            <w:pPr>
              <w:pStyle w:val="15"/>
              <w:ind w:firstLine="482"/>
            </w:pPr>
            <w:r>
              <w:rPr>
                <w:rFonts w:hint="eastAsia"/>
                <w:lang w:val="en-US" w:eastAsia="zh-CN"/>
              </w:rPr>
              <w:t>9</w:t>
            </w:r>
            <w:r>
              <w:rPr>
                <w:rFonts w:hint="eastAsia"/>
              </w:rPr>
              <w:t>、土石方平衡分析</w:t>
            </w:r>
          </w:p>
          <w:p>
            <w:pPr>
              <w:ind w:firstLine="480"/>
            </w:pPr>
            <w:r>
              <w:rPr>
                <w:rFonts w:hint="eastAsia"/>
              </w:rPr>
              <w:t>本项目主要产生土石方的工程为钻探、槽探。</w:t>
            </w:r>
          </w:p>
          <w:p>
            <w:pPr>
              <w:ind w:firstLine="480"/>
              <w:rPr>
                <w:highlight w:val="yellow"/>
              </w:rPr>
            </w:pPr>
            <w:r>
              <w:t>本项目</w:t>
            </w:r>
            <w:r>
              <w:rPr>
                <w:rFonts w:hint="eastAsia"/>
              </w:rPr>
              <w:t>钻探</w:t>
            </w:r>
            <w:r>
              <w:t>总工程量为</w:t>
            </w:r>
            <w:r>
              <w:rPr>
                <w:rFonts w:hint="eastAsia"/>
              </w:rPr>
              <w:t>1000</w:t>
            </w:r>
            <w:r>
              <w:t>m，钻探</w:t>
            </w:r>
            <w:r>
              <w:rPr>
                <w:rFonts w:hint="eastAsia"/>
              </w:rPr>
              <w:t>开孔直径不小于75</w:t>
            </w:r>
            <w:r>
              <w:t>mm</w:t>
            </w:r>
            <w:r>
              <w:rPr>
                <w:rFonts w:hint="eastAsia"/>
              </w:rPr>
              <w:t>，</w:t>
            </w:r>
            <w:r>
              <w:t>岩心产生的土方量为</w:t>
            </w:r>
            <w:r>
              <w:rPr>
                <w:rFonts w:hint="eastAsia"/>
                <w:lang w:val="en-US" w:eastAsia="zh-CN"/>
              </w:rPr>
              <w:t>4.42</w:t>
            </w:r>
            <w:r>
              <w:t>m</w:t>
            </w:r>
            <w:r>
              <w:rPr>
                <w:vertAlign w:val="superscript"/>
              </w:rPr>
              <w:t>3</w:t>
            </w:r>
            <w:r>
              <w:t>(V=πr</w:t>
            </w:r>
            <w:r>
              <w:rPr>
                <w:vertAlign w:val="superscript"/>
              </w:rPr>
              <w:t>2</w:t>
            </w:r>
            <w:r>
              <w:t>×h)，</w:t>
            </w:r>
            <w:r>
              <w:rPr>
                <w:rFonts w:hint="eastAsia"/>
              </w:rPr>
              <w:t>部分采样</w:t>
            </w:r>
            <w:r>
              <w:t>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本次评价按5个钻孔计，</w:t>
            </w:r>
            <w:r>
              <w:t>共计需剥离</w:t>
            </w:r>
            <w:r>
              <w:rPr>
                <w:rFonts w:hint="eastAsia"/>
              </w:rPr>
              <w:t>75</w:t>
            </w:r>
            <w:r>
              <w:t>m</w:t>
            </w:r>
            <w:r>
              <w:rPr>
                <w:vertAlign w:val="superscript"/>
              </w:rPr>
              <w:t>2</w:t>
            </w:r>
            <w:r>
              <w:t>，剥离厚度按20cm计算，每孔需剥离</w:t>
            </w:r>
            <w:r>
              <w:rPr>
                <w:rFonts w:hint="eastAsia"/>
              </w:rPr>
              <w:t>3</w:t>
            </w:r>
            <w:r>
              <w:t>m</w:t>
            </w:r>
            <w:r>
              <w:rPr>
                <w:vertAlign w:val="superscript"/>
              </w:rPr>
              <w:t>3</w:t>
            </w:r>
            <w:r>
              <w:t>，共需要堆放约</w:t>
            </w:r>
            <w:r>
              <w:rPr>
                <w:rFonts w:hint="eastAsia"/>
              </w:rPr>
              <w:t>15</w:t>
            </w:r>
            <w:r>
              <w:t>m</w:t>
            </w:r>
            <w:r>
              <w:rPr>
                <w:vertAlign w:val="superscript"/>
              </w:rPr>
              <w:t>3</w:t>
            </w:r>
            <w:r>
              <w:t>(松散系数k=1.3</w:t>
            </w:r>
            <w:r>
              <w:rPr>
                <w:rFonts w:hint="eastAsia"/>
              </w:rPr>
              <w:t>，</w:t>
            </w:r>
            <w:r>
              <w:t>剥离松</w:t>
            </w:r>
            <w:r>
              <w:rPr>
                <w:rFonts w:hint="eastAsia"/>
              </w:rPr>
              <w:t>散</w:t>
            </w:r>
            <w:r>
              <w:t>方</w:t>
            </w:r>
            <w:r>
              <w:rPr>
                <w:rFonts w:hint="eastAsia"/>
              </w:rPr>
              <w:t>19.5</w:t>
            </w:r>
            <w:r>
              <w:t>m</w:t>
            </w:r>
            <w:r>
              <w:rPr>
                <w:vertAlign w:val="superscript"/>
              </w:rPr>
              <w:t>3</w:t>
            </w:r>
            <w:r>
              <w:t>)</w:t>
            </w:r>
            <w:r>
              <w:rPr>
                <w:rFonts w:hint="eastAsia"/>
              </w:rPr>
              <w:t>；槽探总工程量为3000m</w:t>
            </w:r>
            <w:r>
              <w:rPr>
                <w:vertAlign w:val="superscript"/>
              </w:rPr>
              <w:t>3</w:t>
            </w:r>
            <w:r>
              <w:rPr>
                <w:rFonts w:hint="eastAsia"/>
              </w:rPr>
              <w:t>。</w:t>
            </w:r>
          </w:p>
          <w:p>
            <w:pPr>
              <w:pStyle w:val="28"/>
              <w:spacing w:before="120"/>
            </w:pPr>
            <w:r>
              <w:t>表</w:t>
            </w:r>
            <w:r>
              <w:rPr>
                <w:rFonts w:hint="eastAsia"/>
              </w:rPr>
              <w:t>2</w:t>
            </w:r>
            <w:r>
              <w:t>-</w:t>
            </w:r>
            <w:r>
              <w:rPr>
                <w:rFonts w:hint="eastAsia"/>
              </w:rPr>
              <w:t>7土石方平衡</w:t>
            </w:r>
            <w:r>
              <w:t>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18"/>
              <w:gridCol w:w="1715"/>
              <w:gridCol w:w="1568"/>
              <w:gridCol w:w="1117"/>
              <w:gridCol w:w="2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blHeader/>
                <w:jc w:val="center"/>
              </w:trPr>
              <w:tc>
                <w:tcPr>
                  <w:tcW w:w="908" w:type="pct"/>
                  <w:vMerge w:val="restart"/>
                  <w:tcBorders>
                    <w:tl2br w:val="nil"/>
                    <w:tr2bl w:val="nil"/>
                  </w:tcBorders>
                  <w:vAlign w:val="center"/>
                </w:tcPr>
                <w:p>
                  <w:pPr>
                    <w:pStyle w:val="26"/>
                    <w:jc w:val="center"/>
                  </w:pPr>
                  <w:r>
                    <w:rPr>
                      <w:rFonts w:hint="eastAsia"/>
                    </w:rPr>
                    <w:t>项目</w:t>
                  </w:r>
                </w:p>
              </w:tc>
              <w:tc>
                <w:tcPr>
                  <w:tcW w:w="1026" w:type="pct"/>
                  <w:vMerge w:val="restart"/>
                  <w:tcBorders>
                    <w:tl2br w:val="nil"/>
                    <w:tr2bl w:val="nil"/>
                  </w:tcBorders>
                  <w:vAlign w:val="center"/>
                </w:tcPr>
                <w:p>
                  <w:pPr>
                    <w:pStyle w:val="26"/>
                    <w:jc w:val="center"/>
                  </w:pPr>
                  <w:r>
                    <w:rPr>
                      <w:rFonts w:hint="eastAsia"/>
                    </w:rPr>
                    <w:t>挖方m</w:t>
                  </w:r>
                  <w:r>
                    <w:rPr>
                      <w:rFonts w:hint="eastAsia"/>
                      <w:vertAlign w:val="superscript"/>
                    </w:rPr>
                    <w:t>3</w:t>
                  </w:r>
                </w:p>
              </w:tc>
              <w:tc>
                <w:tcPr>
                  <w:tcW w:w="938" w:type="pct"/>
                  <w:vMerge w:val="restart"/>
                  <w:tcBorders>
                    <w:tl2br w:val="nil"/>
                    <w:tr2bl w:val="nil"/>
                  </w:tcBorders>
                  <w:vAlign w:val="center"/>
                </w:tcPr>
                <w:p>
                  <w:pPr>
                    <w:pStyle w:val="26"/>
                    <w:jc w:val="center"/>
                  </w:pPr>
                  <w:r>
                    <w:rPr>
                      <w:rFonts w:hint="eastAsia"/>
                    </w:rPr>
                    <w:t>填方m</w:t>
                  </w:r>
                  <w:r>
                    <w:rPr>
                      <w:rFonts w:hint="eastAsia"/>
                      <w:vertAlign w:val="superscript"/>
                    </w:rPr>
                    <w:t>3</w:t>
                  </w:r>
                </w:p>
              </w:tc>
              <w:tc>
                <w:tcPr>
                  <w:tcW w:w="2126" w:type="pct"/>
                  <w:gridSpan w:val="2"/>
                  <w:tcBorders>
                    <w:tl2br w:val="nil"/>
                    <w:tr2bl w:val="nil"/>
                  </w:tcBorders>
                  <w:vAlign w:val="center"/>
                </w:tcPr>
                <w:p>
                  <w:pPr>
                    <w:pStyle w:val="26"/>
                    <w:jc w:val="center"/>
                  </w:pPr>
                  <w:r>
                    <w:rPr>
                      <w:rFonts w:hint="eastAsia"/>
                    </w:rPr>
                    <w:t>调出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blHeader/>
                <w:jc w:val="center"/>
              </w:trPr>
              <w:tc>
                <w:tcPr>
                  <w:tcW w:w="908" w:type="pct"/>
                  <w:vMerge w:val="continue"/>
                  <w:tcBorders>
                    <w:tl2br w:val="nil"/>
                    <w:tr2bl w:val="nil"/>
                  </w:tcBorders>
                  <w:vAlign w:val="center"/>
                </w:tcPr>
                <w:p>
                  <w:pPr>
                    <w:pStyle w:val="26"/>
                    <w:jc w:val="center"/>
                  </w:pPr>
                </w:p>
              </w:tc>
              <w:tc>
                <w:tcPr>
                  <w:tcW w:w="1026" w:type="pct"/>
                  <w:vMerge w:val="continue"/>
                  <w:tcBorders>
                    <w:tl2br w:val="nil"/>
                    <w:tr2bl w:val="nil"/>
                  </w:tcBorders>
                  <w:vAlign w:val="center"/>
                </w:tcPr>
                <w:p>
                  <w:pPr>
                    <w:pStyle w:val="26"/>
                    <w:jc w:val="center"/>
                  </w:pPr>
                </w:p>
              </w:tc>
              <w:tc>
                <w:tcPr>
                  <w:tcW w:w="938" w:type="pct"/>
                  <w:vMerge w:val="continue"/>
                  <w:tcBorders>
                    <w:tl2br w:val="nil"/>
                    <w:tr2bl w:val="nil"/>
                  </w:tcBorders>
                  <w:vAlign w:val="center"/>
                </w:tcPr>
                <w:p>
                  <w:pPr>
                    <w:pStyle w:val="26"/>
                    <w:jc w:val="center"/>
                  </w:pPr>
                </w:p>
              </w:tc>
              <w:tc>
                <w:tcPr>
                  <w:tcW w:w="668" w:type="pct"/>
                  <w:tcBorders>
                    <w:tl2br w:val="nil"/>
                    <w:tr2bl w:val="nil"/>
                  </w:tcBorders>
                  <w:vAlign w:val="center"/>
                </w:tcPr>
                <w:p>
                  <w:pPr>
                    <w:pStyle w:val="26"/>
                    <w:jc w:val="center"/>
                  </w:pPr>
                  <w:r>
                    <w:rPr>
                      <w:rFonts w:hint="eastAsia"/>
                    </w:rPr>
                    <w:t>数量m</w:t>
                  </w:r>
                  <w:r>
                    <w:rPr>
                      <w:rFonts w:hint="eastAsia"/>
                      <w:vertAlign w:val="superscript"/>
                    </w:rPr>
                    <w:t>3</w:t>
                  </w:r>
                </w:p>
              </w:tc>
              <w:tc>
                <w:tcPr>
                  <w:tcW w:w="1458" w:type="pct"/>
                  <w:tcBorders>
                    <w:tl2br w:val="nil"/>
                    <w:tr2bl w:val="nil"/>
                  </w:tcBorders>
                  <w:vAlign w:val="center"/>
                </w:tcPr>
                <w:p>
                  <w:pPr>
                    <w:pStyle w:val="26"/>
                    <w:jc w:val="center"/>
                  </w:pPr>
                  <w:r>
                    <w:rPr>
                      <w:rFonts w:hint="eastAsia"/>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908" w:type="pct"/>
                  <w:tcBorders>
                    <w:tl2br w:val="nil"/>
                    <w:tr2bl w:val="nil"/>
                  </w:tcBorders>
                  <w:vAlign w:val="center"/>
                </w:tcPr>
                <w:p>
                  <w:pPr>
                    <w:pStyle w:val="26"/>
                    <w:jc w:val="center"/>
                  </w:pPr>
                  <w:r>
                    <w:rPr>
                      <w:rFonts w:hint="eastAsia"/>
                    </w:rPr>
                    <w:t>钻探岩心</w:t>
                  </w:r>
                </w:p>
              </w:tc>
              <w:tc>
                <w:tcPr>
                  <w:tcW w:w="1026" w:type="pct"/>
                  <w:tcBorders>
                    <w:tl2br w:val="nil"/>
                    <w:tr2bl w:val="nil"/>
                  </w:tcBorders>
                  <w:vAlign w:val="center"/>
                </w:tcPr>
                <w:p>
                  <w:pPr>
                    <w:pStyle w:val="26"/>
                    <w:jc w:val="center"/>
                    <w:rPr>
                      <w:rFonts w:hint="default" w:eastAsia="宋体"/>
                      <w:lang w:val="en-US" w:eastAsia="zh-CN"/>
                    </w:rPr>
                  </w:pPr>
                  <w:r>
                    <w:rPr>
                      <w:rFonts w:hint="eastAsia"/>
                      <w:lang w:val="en-US" w:eastAsia="zh-CN"/>
                    </w:rPr>
                    <w:t>4.42</w:t>
                  </w:r>
                </w:p>
              </w:tc>
              <w:tc>
                <w:tcPr>
                  <w:tcW w:w="938" w:type="pct"/>
                  <w:tcBorders>
                    <w:tl2br w:val="nil"/>
                    <w:tr2bl w:val="nil"/>
                  </w:tcBorders>
                  <w:vAlign w:val="center"/>
                </w:tcPr>
                <w:p>
                  <w:pPr>
                    <w:pStyle w:val="26"/>
                    <w:jc w:val="center"/>
                  </w:pPr>
                  <w:r>
                    <w:rPr>
                      <w:rFonts w:hint="eastAsia"/>
                    </w:rPr>
                    <w:t>0</w:t>
                  </w:r>
                </w:p>
              </w:tc>
              <w:tc>
                <w:tcPr>
                  <w:tcW w:w="668" w:type="pct"/>
                  <w:tcBorders>
                    <w:tl2br w:val="nil"/>
                    <w:tr2bl w:val="nil"/>
                  </w:tcBorders>
                  <w:vAlign w:val="center"/>
                </w:tcPr>
                <w:p>
                  <w:pPr>
                    <w:pStyle w:val="26"/>
                    <w:jc w:val="center"/>
                    <w:rPr>
                      <w:rFonts w:hint="default" w:eastAsia="宋体"/>
                      <w:kern w:val="0"/>
                      <w:lang w:val="en-US" w:eastAsia="zh-CN"/>
                    </w:rPr>
                  </w:pPr>
                  <w:r>
                    <w:rPr>
                      <w:rFonts w:hint="eastAsia"/>
                      <w:lang w:val="en-US" w:eastAsia="zh-CN"/>
                    </w:rPr>
                    <w:t>4.42</w:t>
                  </w:r>
                </w:p>
              </w:tc>
              <w:tc>
                <w:tcPr>
                  <w:tcW w:w="1458" w:type="pct"/>
                  <w:tcBorders>
                    <w:tl2br w:val="nil"/>
                    <w:tr2bl w:val="nil"/>
                  </w:tcBorders>
                  <w:vAlign w:val="center"/>
                </w:tcPr>
                <w:p>
                  <w:pPr>
                    <w:pStyle w:val="26"/>
                    <w:jc w:val="center"/>
                  </w:pPr>
                  <w:r>
                    <w:rPr>
                      <w:rFonts w:hint="eastAsia"/>
                    </w:rPr>
                    <w:t>送至实验室分析，封存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6"/>
                    <w:jc w:val="center"/>
                  </w:pPr>
                  <w:r>
                    <w:rPr>
                      <w:rFonts w:hint="eastAsia"/>
                    </w:rPr>
                    <w:t>钻探剥离</w:t>
                  </w:r>
                </w:p>
              </w:tc>
              <w:tc>
                <w:tcPr>
                  <w:tcW w:w="1026" w:type="pct"/>
                  <w:tcBorders>
                    <w:tl2br w:val="nil"/>
                    <w:tr2bl w:val="nil"/>
                  </w:tcBorders>
                  <w:vAlign w:val="center"/>
                </w:tcPr>
                <w:p>
                  <w:pPr>
                    <w:pStyle w:val="26"/>
                    <w:jc w:val="center"/>
                  </w:pPr>
                  <w:r>
                    <w:rPr>
                      <w:rFonts w:hint="eastAsia"/>
                    </w:rPr>
                    <w:t>19.5（松散方）</w:t>
                  </w:r>
                </w:p>
              </w:tc>
              <w:tc>
                <w:tcPr>
                  <w:tcW w:w="938" w:type="pct"/>
                  <w:tcBorders>
                    <w:tl2br w:val="nil"/>
                    <w:tr2bl w:val="nil"/>
                  </w:tcBorders>
                  <w:vAlign w:val="center"/>
                </w:tcPr>
                <w:p>
                  <w:pPr>
                    <w:pStyle w:val="26"/>
                    <w:jc w:val="center"/>
                    <w:rPr>
                      <w:b/>
                      <w:bCs/>
                    </w:rPr>
                  </w:pPr>
                  <w:r>
                    <w:rPr>
                      <w:rFonts w:hint="eastAsia"/>
                    </w:rPr>
                    <w:t>19.5（松散方）</w:t>
                  </w:r>
                </w:p>
              </w:tc>
              <w:tc>
                <w:tcPr>
                  <w:tcW w:w="668" w:type="pct"/>
                  <w:tcBorders>
                    <w:tl2br w:val="nil"/>
                    <w:tr2bl w:val="nil"/>
                  </w:tcBorders>
                  <w:vAlign w:val="center"/>
                </w:tcPr>
                <w:p>
                  <w:pPr>
                    <w:pStyle w:val="26"/>
                    <w:jc w:val="center"/>
                    <w:rPr>
                      <w:kern w:val="0"/>
                    </w:rPr>
                  </w:pPr>
                  <w:r>
                    <w:rPr>
                      <w:rFonts w:hint="eastAsia"/>
                      <w:kern w:val="0"/>
                    </w:rPr>
                    <w:t>0</w:t>
                  </w:r>
                </w:p>
              </w:tc>
              <w:tc>
                <w:tcPr>
                  <w:tcW w:w="1458" w:type="pct"/>
                  <w:tcBorders>
                    <w:tl2br w:val="nil"/>
                    <w:tr2bl w:val="nil"/>
                  </w:tcBorders>
                  <w:vAlign w:val="center"/>
                </w:tcPr>
                <w:p>
                  <w:pPr>
                    <w:pStyle w:val="26"/>
                    <w:jc w:val="center"/>
                  </w:pPr>
                  <w:r>
                    <w:rPr>
                      <w:rFonts w:hint="eastAsia"/>
                    </w:rPr>
                    <w:t>钻孔周边剥离的表土回覆、绿化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6"/>
                    <w:jc w:val="center"/>
                  </w:pPr>
                  <w:r>
                    <w:rPr>
                      <w:rFonts w:hint="eastAsia"/>
                    </w:rPr>
                    <w:t>槽探</w:t>
                  </w:r>
                </w:p>
              </w:tc>
              <w:tc>
                <w:tcPr>
                  <w:tcW w:w="1026" w:type="pct"/>
                  <w:tcBorders>
                    <w:tl2br w:val="nil"/>
                    <w:tr2bl w:val="nil"/>
                  </w:tcBorders>
                  <w:vAlign w:val="center"/>
                </w:tcPr>
                <w:p>
                  <w:pPr>
                    <w:pStyle w:val="26"/>
                    <w:jc w:val="center"/>
                  </w:pPr>
                  <w:r>
                    <w:rPr>
                      <w:rFonts w:hint="eastAsia"/>
                    </w:rPr>
                    <w:t>3000</w:t>
                  </w:r>
                </w:p>
              </w:tc>
              <w:tc>
                <w:tcPr>
                  <w:tcW w:w="938" w:type="pct"/>
                  <w:tcBorders>
                    <w:tl2br w:val="nil"/>
                    <w:tr2bl w:val="nil"/>
                  </w:tcBorders>
                  <w:vAlign w:val="center"/>
                </w:tcPr>
                <w:p>
                  <w:pPr>
                    <w:pStyle w:val="26"/>
                    <w:jc w:val="center"/>
                  </w:pPr>
                  <w:r>
                    <w:rPr>
                      <w:rFonts w:hint="eastAsia"/>
                    </w:rPr>
                    <w:t>3000</w:t>
                  </w:r>
                </w:p>
              </w:tc>
              <w:tc>
                <w:tcPr>
                  <w:tcW w:w="668" w:type="pct"/>
                  <w:tcBorders>
                    <w:tl2br w:val="nil"/>
                    <w:tr2bl w:val="nil"/>
                  </w:tcBorders>
                  <w:vAlign w:val="center"/>
                </w:tcPr>
                <w:p>
                  <w:pPr>
                    <w:pStyle w:val="26"/>
                    <w:jc w:val="center"/>
                  </w:pPr>
                  <w:r>
                    <w:rPr>
                      <w:rFonts w:hint="eastAsia"/>
                    </w:rPr>
                    <w:t>0</w:t>
                  </w:r>
                </w:p>
              </w:tc>
              <w:tc>
                <w:tcPr>
                  <w:tcW w:w="1458" w:type="pct"/>
                  <w:tcBorders>
                    <w:tl2br w:val="nil"/>
                    <w:tr2bl w:val="nil"/>
                  </w:tcBorders>
                  <w:vAlign w:val="center"/>
                </w:tcPr>
                <w:p>
                  <w:pPr>
                    <w:pStyle w:val="26"/>
                    <w:jc w:val="center"/>
                  </w:pPr>
                  <w:r>
                    <w:rPr>
                      <w:rFonts w:hint="eastAsia"/>
                    </w:rPr>
                    <w:t>堆放于探槽周边，用于回填及表层覆土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6"/>
                    <w:jc w:val="center"/>
                  </w:pPr>
                  <w:r>
                    <w:rPr>
                      <w:rFonts w:hint="eastAsia"/>
                    </w:rPr>
                    <w:t>合计</w:t>
                  </w:r>
                </w:p>
              </w:tc>
              <w:tc>
                <w:tcPr>
                  <w:tcW w:w="1026" w:type="pct"/>
                  <w:tcBorders>
                    <w:tl2br w:val="nil"/>
                    <w:tr2bl w:val="nil"/>
                  </w:tcBorders>
                  <w:vAlign w:val="center"/>
                </w:tcPr>
                <w:p>
                  <w:pPr>
                    <w:pStyle w:val="26"/>
                    <w:jc w:val="center"/>
                    <w:rPr>
                      <w:rFonts w:hint="default" w:eastAsia="宋体"/>
                      <w:lang w:val="en-US" w:eastAsia="zh-CN"/>
                    </w:rPr>
                  </w:pPr>
                  <w:r>
                    <w:rPr>
                      <w:rFonts w:hint="eastAsia"/>
                      <w:lang w:val="en-US" w:eastAsia="zh-CN"/>
                    </w:rPr>
                    <w:t>3023.92</w:t>
                  </w:r>
                </w:p>
              </w:tc>
              <w:tc>
                <w:tcPr>
                  <w:tcW w:w="938" w:type="pct"/>
                  <w:tcBorders>
                    <w:tl2br w:val="nil"/>
                    <w:tr2bl w:val="nil"/>
                  </w:tcBorders>
                  <w:vAlign w:val="center"/>
                </w:tcPr>
                <w:p>
                  <w:pPr>
                    <w:pStyle w:val="26"/>
                    <w:jc w:val="center"/>
                    <w:rPr>
                      <w:rFonts w:hint="default" w:eastAsia="宋体"/>
                      <w:lang w:val="en-US" w:eastAsia="zh-CN"/>
                    </w:rPr>
                  </w:pPr>
                  <w:r>
                    <w:rPr>
                      <w:rFonts w:hint="eastAsia"/>
                      <w:lang w:val="en-US" w:eastAsia="zh-CN"/>
                    </w:rPr>
                    <w:t>3019.5</w:t>
                  </w:r>
                </w:p>
              </w:tc>
              <w:tc>
                <w:tcPr>
                  <w:tcW w:w="668" w:type="pct"/>
                  <w:tcBorders>
                    <w:tl2br w:val="nil"/>
                    <w:tr2bl w:val="nil"/>
                  </w:tcBorders>
                  <w:vAlign w:val="center"/>
                </w:tcPr>
                <w:p>
                  <w:pPr>
                    <w:pStyle w:val="26"/>
                    <w:jc w:val="center"/>
                    <w:rPr>
                      <w:rFonts w:hint="default" w:eastAsia="宋体"/>
                      <w:lang w:val="en-US" w:eastAsia="zh-CN"/>
                    </w:rPr>
                  </w:pPr>
                  <w:r>
                    <w:rPr>
                      <w:rFonts w:hint="eastAsia"/>
                      <w:lang w:val="en-US" w:eastAsia="zh-CN"/>
                    </w:rPr>
                    <w:t>4.42</w:t>
                  </w:r>
                </w:p>
              </w:tc>
              <w:tc>
                <w:tcPr>
                  <w:tcW w:w="1458" w:type="pct"/>
                  <w:tcBorders>
                    <w:tl2br w:val="nil"/>
                    <w:tr2bl w:val="nil"/>
                  </w:tcBorders>
                  <w:vAlign w:val="center"/>
                </w:tcPr>
                <w:p>
                  <w:pPr>
                    <w:pStyle w:val="26"/>
                    <w:jc w:val="center"/>
                  </w:pPr>
                  <w:r>
                    <w:rPr>
                      <w:rFonts w:hint="eastAsia"/>
                    </w:rPr>
                    <w:t>/</w:t>
                  </w:r>
                </w:p>
              </w:tc>
            </w:tr>
          </w:tbl>
          <w:p>
            <w:pPr>
              <w:pStyle w:val="15"/>
              <w:ind w:firstLine="482"/>
            </w:pPr>
            <w:r>
              <w:rPr>
                <w:rFonts w:hint="eastAsia"/>
                <w:lang w:val="en-US" w:eastAsia="zh-CN"/>
              </w:rPr>
              <w:t>10</w:t>
            </w:r>
            <w:r>
              <w:rPr>
                <w:rFonts w:hint="eastAsia"/>
              </w:rPr>
              <w:t>、工作制度和职工人数</w:t>
            </w:r>
          </w:p>
          <w:p>
            <w:pPr>
              <w:ind w:firstLine="480"/>
              <w:rPr>
                <w:rFonts w:hint="eastAsia" w:eastAsia="宋体"/>
                <w:b/>
                <w:color w:val="000000"/>
                <w:szCs w:val="21"/>
                <w:lang w:eastAsia="zh-CN"/>
              </w:rPr>
            </w:pPr>
            <w:r>
              <w:rPr>
                <w:rFonts w:hint="eastAsia"/>
              </w:rPr>
              <w:t>本项目工作人数</w:t>
            </w:r>
            <w:r>
              <w:rPr>
                <w:rFonts w:hint="eastAsia"/>
                <w:lang w:val="en-US" w:eastAsia="zh-CN"/>
              </w:rPr>
              <w:t>9</w:t>
            </w:r>
            <w:r>
              <w:rPr>
                <w:rFonts w:hint="eastAsia"/>
              </w:rPr>
              <w:t>人，年工作</w:t>
            </w:r>
            <w:r>
              <w:rPr>
                <w:rFonts w:hint="eastAsia"/>
                <w:lang w:val="en-US" w:eastAsia="zh-CN"/>
              </w:rPr>
              <w:t>50</w:t>
            </w:r>
            <w:r>
              <w:rPr>
                <w:rFonts w:hint="eastAsia"/>
              </w:rPr>
              <w:t>天，每天8小时。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pStyle w:val="26"/>
            </w:pPr>
            <w:r>
              <w:rPr>
                <w:rFonts w:hint="eastAsia"/>
              </w:rPr>
              <w:t>总平面及现场布置</w:t>
            </w:r>
          </w:p>
        </w:tc>
        <w:tc>
          <w:tcPr>
            <w:tcW w:w="4753" w:type="pct"/>
          </w:tcPr>
          <w:p>
            <w:pPr>
              <w:ind w:firstLine="480"/>
            </w:pPr>
            <w:r>
              <w:rPr>
                <w:rFonts w:hint="eastAsia"/>
              </w:rPr>
              <w:t>本项目采用</w:t>
            </w:r>
            <w:r>
              <w:rPr>
                <w:rFonts w:hint="eastAsia"/>
                <w:lang w:val="en-US" w:eastAsia="zh-CN"/>
              </w:rPr>
              <w:t>地质测量</w:t>
            </w:r>
            <w:r>
              <w:rPr>
                <w:rFonts w:hint="eastAsia"/>
              </w:rPr>
              <w:t>、钻探等综合勘查方法进行勘查工作。</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总平面布置相对比较简单，</w:t>
            </w:r>
            <w:r>
              <w:rPr>
                <w:rFonts w:hint="eastAsia"/>
              </w:rPr>
              <w:t>钻孔施工应选用技术性能先进、可靠，节能、环保，易于搬运、安装和拆卸，占地面积小的设备。设备运输尽可能利用现有道路，对于钻探设备难以进入的地区宜选用模块化便携式或履带自行式设备，减少新建道路修建</w:t>
            </w:r>
            <w:r>
              <w:rPr>
                <w:rFonts w:hint="eastAsia"/>
                <w:lang w:eastAsia="zh-CN"/>
              </w:rPr>
              <w:t>，</w:t>
            </w:r>
            <w:r>
              <w:rPr>
                <w:rFonts w:hint="eastAsia"/>
              </w:rPr>
              <w:t>不需新修施工运输道路的地段，可采用机械化施工；交通不便、植被茂密的地段，可采用人工开挖施工，以避免修路及机械施工造成土地、植被景观的破坏。噪声源强在85~95dB（A），经距离衰减后，场界能够达到《工业企业厂界环境噪声排放标准》（GB12348-2008）中2类标准，对周边影响较小。本项目钻探产生的弃渣，堆放于各施工点附近，要求不占用草地，施工完成后进行土地恢复，对环境影响较小。</w:t>
            </w:r>
          </w:p>
          <w:p>
            <w:pPr>
              <w:ind w:firstLine="480"/>
            </w:pPr>
            <w:r>
              <w:rPr>
                <w:rFonts w:hint="eastAsia"/>
              </w:rPr>
              <w:t>本项目</w:t>
            </w:r>
            <w:r>
              <w:rPr>
                <w:rFonts w:hint="eastAsia"/>
                <w:lang w:val="en-US" w:eastAsia="zh-CN"/>
              </w:rPr>
              <w:t>生产</w:t>
            </w:r>
            <w:r>
              <w:rPr>
                <w:rFonts w:hint="eastAsia"/>
              </w:rPr>
              <w:t>用水取自矿区附近河沟地表水，抽取后用水罐拉运至生产</w:t>
            </w:r>
            <w:r>
              <w:rPr>
                <w:rFonts w:hint="eastAsia"/>
                <w:lang w:val="en-US" w:eastAsia="zh-CN"/>
              </w:rPr>
              <w:t>区</w:t>
            </w:r>
            <w:r>
              <w:rPr>
                <w:rFonts w:hint="eastAsia"/>
              </w:rPr>
              <w:t>、生活区，供给生产、生活用水。产生的生产废水循环使用，不外排。项目钻探用电来自项目自备的柴油发电机供电，故本项目工程布局合理。</w:t>
            </w:r>
          </w:p>
          <w:p>
            <w:pPr>
              <w:ind w:firstLine="480"/>
            </w:pPr>
            <w:r>
              <w:rPr>
                <w:rFonts w:hint="eastAsia"/>
              </w:rPr>
              <w:t>施工区域不占用耕地，无风景名胜区，无珍稀保护动、植物，对周边环境影响较小。由于本项目施工人员较少，施工人员居住在临时搭建的帐篷内，对周围环境影响较小。项目平面布置详见《附图2项目区平面布置图》和《附图3项目区影像图》。</w:t>
            </w:r>
          </w:p>
          <w:p>
            <w:pPr>
              <w:ind w:firstLine="480"/>
            </w:pPr>
            <w:r>
              <w:rPr>
                <w:rFonts w:hint="eastAsia"/>
              </w:rPr>
              <w:t>综上所述，项目各勘探活动影响范围内无自然保护区、风景名胜保护区、饮用水源地等敏感点。探矿范围内多为山区，主要为</w:t>
            </w:r>
            <w:r>
              <w:rPr>
                <w:rFonts w:hint="eastAsia"/>
                <w:lang w:val="en-US" w:eastAsia="zh-CN"/>
              </w:rPr>
              <w:t>荒漠</w:t>
            </w:r>
            <w:r>
              <w:rPr>
                <w:rFonts w:hint="eastAsia"/>
              </w:rPr>
              <w:t>覆盖，矿区范围内无居民，无珍稀保护植物、未发现珍稀保护动物。在探矿过程中采取相应的保护措施后，对矿区生态环境影响较小。从环境保护角度分析项目选址是合理可行的，不存在制约性因素。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pStyle w:val="26"/>
            </w:pPr>
            <w:r>
              <w:rPr>
                <w:rFonts w:hint="eastAsia"/>
              </w:rPr>
              <w:t>施工方案</w:t>
            </w:r>
          </w:p>
        </w:tc>
        <w:tc>
          <w:tcPr>
            <w:tcW w:w="4753" w:type="pct"/>
          </w:tcPr>
          <w:p>
            <w:pPr>
              <w:adjustRightInd w:val="0"/>
              <w:snapToGrid w:val="0"/>
              <w:ind w:firstLine="482"/>
              <w:rPr>
                <w:b/>
                <w:bCs/>
              </w:rPr>
            </w:pPr>
            <w:r>
              <w:rPr>
                <w:rFonts w:hint="eastAsia"/>
                <w:b/>
                <w:bCs/>
              </w:rPr>
              <w:t>（一）工艺流程</w:t>
            </w:r>
          </w:p>
          <w:p>
            <w:pPr>
              <w:adjustRightInd w:val="0"/>
              <w:snapToGrid w:val="0"/>
              <w:ind w:firstLine="360" w:firstLineChars="150"/>
              <w:outlineLvl w:val="2"/>
              <w:rPr>
                <w:color w:val="auto"/>
              </w:rPr>
            </w:pPr>
            <w:r>
              <w:rPr>
                <w:rFonts w:hint="eastAsia"/>
              </w:rPr>
              <w:t>本勘探项目产生环境影响的时段</w:t>
            </w:r>
            <w:r>
              <w:t>主要为野外勘探期。探矿工作主要包括地质测量</w:t>
            </w:r>
            <w:r>
              <w:rPr>
                <w:rFonts w:hint="eastAsia"/>
              </w:rPr>
              <w:t>、钻探</w:t>
            </w:r>
            <w:r>
              <w:t>工程实施过程中主要的污染来</w:t>
            </w:r>
            <w:r>
              <w:rPr>
                <w:rFonts w:hint="eastAsia"/>
              </w:rPr>
              <w:t>源于钻探</w:t>
            </w:r>
            <w:r>
              <w:t>过程中扬尘、机械噪声、工程弃渣及工作人员在地质测量和生活过程中产生的生活污水和垃圾。</w:t>
            </w:r>
            <w:r>
              <w:rPr>
                <w:rFonts w:hint="eastAsia"/>
              </w:rPr>
              <w:t>本次评价对象为矿产资源勘探期间可能产生的“三废”污染及生态破坏、水土流失对项目周围的环境影响。</w:t>
            </w:r>
          </w:p>
          <w:p>
            <w:pPr>
              <w:adjustRightInd w:val="0"/>
              <w:snapToGrid w:val="0"/>
              <w:ind w:firstLine="361" w:firstLineChars="150"/>
              <w:outlineLvl w:val="2"/>
              <w:rPr>
                <w:b/>
                <w:color w:val="auto"/>
              </w:rPr>
            </w:pPr>
            <w:r>
              <w:rPr>
                <w:rFonts w:hint="eastAsia"/>
                <w:b/>
                <w:color w:val="auto"/>
              </w:rPr>
              <w:t>1</w:t>
            </w:r>
            <w:r>
              <w:rPr>
                <w:b/>
                <w:color w:val="auto"/>
              </w:rPr>
              <w:t>.</w:t>
            </w:r>
            <w:r>
              <w:rPr>
                <w:rFonts w:hint="eastAsia"/>
                <w:b/>
                <w:color w:val="auto"/>
              </w:rPr>
              <w:t>钻探施工工艺及产污流程</w:t>
            </w:r>
          </w:p>
          <w:p>
            <w:pPr>
              <w:pStyle w:val="5"/>
              <w:ind w:firstLine="480"/>
            </w:pPr>
            <w:r>
              <w:t>钻探是用钻机按一定设计角度和方向施工钻孔，通过钻孔采取</w:t>
            </w:r>
            <w:r>
              <w:rPr>
                <w:rFonts w:hint="eastAsia"/>
                <w:lang w:eastAsia="zh-CN"/>
              </w:rPr>
              <w:t>岩心</w:t>
            </w:r>
            <w:r>
              <w:t>(或矿芯)、岩屑，以探查地下岩层、矿体等分布及储量的一种探矿手段，在研究和分析相邻工程所见的地质体、构造、蚀变、矿化的空间分布的基础上，选择地表矿化较好的矿体进行深部验证钻探验证。</w:t>
            </w:r>
          </w:p>
          <w:p>
            <w:pPr>
              <w:adjustRightInd w:val="0"/>
              <w:snapToGrid w:val="0"/>
              <w:ind w:firstLine="360" w:firstLineChars="150"/>
              <w:outlineLvl w:val="2"/>
            </w:pPr>
            <w:r>
              <w:t>钻孔全部采用金刚石钻进、绳索取心工艺，采用75mm口径金刚石钻进，</w:t>
            </w:r>
            <w:r>
              <w:rPr>
                <w:rFonts w:hint="eastAsia"/>
              </w:rPr>
              <w:t>岩心采取率一般不低于70%，矿心采取率一般不低于80%</w:t>
            </w:r>
            <w:r>
              <w:t>，岩矿心取出后，按先后顺序排好，孔斜测量</w:t>
            </w:r>
            <w:r>
              <w:rPr>
                <w:rFonts w:hint="eastAsia"/>
              </w:rPr>
              <w:t>、孔深验证</w:t>
            </w:r>
            <w:r>
              <w:t>须及时，不得终孔一次进行，结果填写表格。</w:t>
            </w:r>
          </w:p>
          <w:p>
            <w:pPr>
              <w:pStyle w:val="28"/>
              <w:spacing w:before="120"/>
            </w:pPr>
            <w:r>
              <w:drawing>
                <wp:anchor distT="0" distB="0" distL="114300" distR="114300" simplePos="0" relativeHeight="251659264" behindDoc="0" locked="0" layoutInCell="1" allowOverlap="1">
                  <wp:simplePos x="0" y="0"/>
                  <wp:positionH relativeFrom="column">
                    <wp:posOffset>-97155</wp:posOffset>
                  </wp:positionH>
                  <wp:positionV relativeFrom="paragraph">
                    <wp:posOffset>148590</wp:posOffset>
                  </wp:positionV>
                  <wp:extent cx="5434965" cy="2021205"/>
                  <wp:effectExtent l="0" t="0" r="13335" b="17145"/>
                  <wp:wrapTopAndBottom/>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8"/>
                          <a:stretch>
                            <a:fillRect/>
                          </a:stretch>
                        </pic:blipFill>
                        <pic:spPr>
                          <a:xfrm>
                            <a:off x="0" y="0"/>
                            <a:ext cx="5434965" cy="2021205"/>
                          </a:xfrm>
                          <a:prstGeom prst="rect">
                            <a:avLst/>
                          </a:prstGeom>
                          <a:noFill/>
                          <a:ln>
                            <a:noFill/>
                          </a:ln>
                        </pic:spPr>
                      </pic:pic>
                    </a:graphicData>
                  </a:graphic>
                </wp:anchor>
              </w:drawing>
            </w:r>
            <w:r>
              <w:rPr>
                <w:rFonts w:hint="eastAsia"/>
              </w:rPr>
              <w:t>图1</w:t>
            </w:r>
            <w:r>
              <w:t>钻探工艺流程图</w:t>
            </w:r>
          </w:p>
          <w:p>
            <w:pPr>
              <w:ind w:firstLine="482"/>
              <w:rPr>
                <w:b/>
                <w:szCs w:val="28"/>
              </w:rPr>
            </w:pPr>
            <w:r>
              <w:rPr>
                <w:rFonts w:hint="eastAsia"/>
                <w:b/>
                <w:szCs w:val="28"/>
              </w:rPr>
              <w:t>工艺说明：</w:t>
            </w:r>
          </w:p>
          <w:p>
            <w:pPr>
              <w:ind w:firstLine="480"/>
              <w:rPr>
                <w:rFonts w:hint="eastAsia" w:ascii="Times New Roman" w:hAnsi="Times New Roman" w:eastAsia="宋体" w:cs="Times New Roman"/>
              </w:rPr>
            </w:pPr>
            <w:r>
              <w:rPr>
                <w:rFonts w:hint="eastAsia" w:ascii="Times New Roman" w:hAnsi="Times New Roman" w:eastAsia="宋体" w:cs="Times New Roman"/>
              </w:rPr>
              <w:t>（1）原始班报表</w:t>
            </w:r>
          </w:p>
          <w:p>
            <w:pPr>
              <w:ind w:firstLine="480"/>
              <w:rPr>
                <w:rFonts w:hint="eastAsia" w:ascii="Times New Roman" w:hAnsi="Times New Roman" w:eastAsia="宋体" w:cs="Times New Roman"/>
              </w:rPr>
            </w:pPr>
            <w:r>
              <w:rPr>
                <w:rFonts w:hint="eastAsia" w:ascii="Times New Roman" w:hAnsi="Times New Roman" w:eastAsia="宋体" w:cs="Times New Roman"/>
              </w:rPr>
              <w:t>由钻机各班指定专人在现场用碳素笔及时填写原始报表，要做到真实、齐全、准确、整洁。</w:t>
            </w:r>
          </w:p>
          <w:p>
            <w:pPr>
              <w:ind w:firstLine="480"/>
              <w:rPr>
                <w:rFonts w:hint="eastAsia" w:ascii="Times New Roman" w:hAnsi="Times New Roman" w:eastAsia="宋体" w:cs="Times New Roman"/>
              </w:rPr>
            </w:pPr>
            <w:r>
              <w:rPr>
                <w:rFonts w:hint="eastAsia" w:ascii="Times New Roman" w:hAnsi="Times New Roman" w:eastAsia="宋体" w:cs="Times New Roman"/>
              </w:rPr>
              <w:t>（2）岩矿芯采取率</w:t>
            </w:r>
          </w:p>
          <w:p>
            <w:pPr>
              <w:ind w:firstLine="480"/>
              <w:rPr>
                <w:rFonts w:hint="eastAsia" w:ascii="Times New Roman" w:hAnsi="Times New Roman" w:eastAsia="宋体" w:cs="Times New Roman"/>
              </w:rPr>
            </w:pPr>
            <w:r>
              <w:rPr>
                <w:rFonts w:hint="eastAsia" w:ascii="Times New Roman" w:hAnsi="Times New Roman" w:eastAsia="宋体" w:cs="Times New Roman"/>
              </w:rPr>
              <w:t>一般浮土、流沙层及表面覆盖物不计算采取率。矿体及其顶底板5m内的矿芯、</w:t>
            </w:r>
            <w:r>
              <w:rPr>
                <w:rFonts w:hint="eastAsia" w:cs="Times New Roman"/>
                <w:lang w:eastAsia="zh-CN"/>
              </w:rPr>
              <w:t>岩心</w:t>
            </w:r>
            <w:r>
              <w:rPr>
                <w:rFonts w:hint="eastAsia" w:ascii="Times New Roman" w:hAnsi="Times New Roman" w:eastAsia="宋体" w:cs="Times New Roman"/>
              </w:rPr>
              <w:t>平均采取率不低于80%，厚大矿体内部矿芯采取率低于80%的连续长度不能超过5米，当矿芯采取率连续5米低于80％时，要查明原因，并采取补救措施。围岩</w:t>
            </w:r>
            <w:r>
              <w:rPr>
                <w:rFonts w:hint="eastAsia" w:cs="Times New Roman"/>
                <w:lang w:eastAsia="zh-CN"/>
              </w:rPr>
              <w:t>岩心</w:t>
            </w:r>
            <w:r>
              <w:rPr>
                <w:rFonts w:hint="eastAsia" w:ascii="Times New Roman" w:hAnsi="Times New Roman" w:eastAsia="宋体" w:cs="Times New Roman"/>
              </w:rPr>
              <w:t>的分层平均采取率不得低于70%。采取率的计算，应以真正的岩矿芯</w:t>
            </w:r>
            <w:r>
              <w:rPr>
                <w:rFonts w:hint="eastAsia" w:ascii="Times New Roman" w:hAnsi="Times New Roman" w:eastAsia="宋体" w:cs="Times New Roman"/>
                <w:lang w:eastAsia="zh-CN"/>
              </w:rPr>
              <w:t>为</w:t>
            </w:r>
            <w:r>
              <w:rPr>
                <w:rFonts w:hint="eastAsia" w:ascii="Times New Roman" w:hAnsi="Times New Roman" w:eastAsia="宋体" w:cs="Times New Roman"/>
              </w:rPr>
              <w:t>准。原始岩矿芯可包括碎块、碎砂、泥状物，不可将岩粉、流砂、坍塌掉块物等加在岩矿芯中计算。</w:t>
            </w:r>
          </w:p>
          <w:p>
            <w:pPr>
              <w:ind w:firstLine="480"/>
              <w:rPr>
                <w:rFonts w:hint="eastAsia" w:ascii="Times New Roman" w:hAnsi="Times New Roman" w:eastAsia="宋体" w:cs="Times New Roman"/>
              </w:rPr>
            </w:pPr>
            <w:r>
              <w:rPr>
                <w:rFonts w:hint="eastAsia" w:ascii="Times New Roman" w:hAnsi="Times New Roman" w:eastAsia="宋体" w:cs="Times New Roman"/>
              </w:rPr>
              <w:t>岩矿芯由机台当班作业人员负责清洗干净，破碎岩矿芯严禁淘洗水冲。岩矿芯从</w:t>
            </w:r>
            <w:r>
              <w:rPr>
                <w:rFonts w:hint="eastAsia" w:cs="Times New Roman"/>
                <w:lang w:eastAsia="zh-CN"/>
              </w:rPr>
              <w:t>岩心</w:t>
            </w:r>
            <w:r>
              <w:rPr>
                <w:rFonts w:hint="eastAsia" w:ascii="Times New Roman" w:hAnsi="Times New Roman" w:eastAsia="宋体" w:cs="Times New Roman"/>
              </w:rPr>
              <w:t>管中取出时，要尽量保证岩矿芯的原始状态，取出后不准颠倒错乱位置，自上而下按次序装箱，在</w:t>
            </w:r>
            <w:r>
              <w:rPr>
                <w:rFonts w:hint="eastAsia" w:cs="Times New Roman"/>
                <w:lang w:eastAsia="zh-CN"/>
              </w:rPr>
              <w:t>岩心</w:t>
            </w:r>
            <w:r>
              <w:rPr>
                <w:rFonts w:hint="eastAsia" w:ascii="Times New Roman" w:hAnsi="Times New Roman" w:eastAsia="宋体" w:cs="Times New Roman"/>
              </w:rPr>
              <w:t>上用漆或油浸色笔写明回次数、总块数和块号（松软、破碎</w:t>
            </w:r>
            <w:r>
              <w:rPr>
                <w:rFonts w:hint="eastAsia" w:ascii="Times New Roman" w:hAnsi="Times New Roman" w:eastAsia="宋体" w:cs="Times New Roman"/>
                <w:lang w:eastAsia="zh-CN"/>
              </w:rPr>
              <w:t>及</w:t>
            </w:r>
            <w:r>
              <w:rPr>
                <w:rFonts w:hint="eastAsia" w:ascii="Times New Roman" w:hAnsi="Times New Roman" w:eastAsia="宋体" w:cs="Times New Roman"/>
              </w:rPr>
              <w:t>易溶的岩矿芯应装入布袋塑料袋中），用铅笔填写</w:t>
            </w:r>
            <w:r>
              <w:rPr>
                <w:rFonts w:hint="eastAsia" w:cs="Times New Roman"/>
                <w:lang w:eastAsia="zh-CN"/>
              </w:rPr>
              <w:t>岩心</w:t>
            </w:r>
            <w:r>
              <w:rPr>
                <w:rFonts w:hint="eastAsia" w:ascii="Times New Roman" w:hAnsi="Times New Roman" w:eastAsia="宋体" w:cs="Times New Roman"/>
              </w:rPr>
              <w:t>牌，放好</w:t>
            </w:r>
            <w:r>
              <w:rPr>
                <w:rFonts w:hint="eastAsia" w:cs="Times New Roman"/>
                <w:lang w:eastAsia="zh-CN"/>
              </w:rPr>
              <w:t>岩心</w:t>
            </w:r>
            <w:r>
              <w:rPr>
                <w:rFonts w:hint="eastAsia" w:ascii="Times New Roman" w:hAnsi="Times New Roman" w:eastAsia="宋体" w:cs="Times New Roman"/>
              </w:rPr>
              <w:t>隔板，并妥善保管。</w:t>
            </w:r>
          </w:p>
          <w:p>
            <w:pPr>
              <w:ind w:firstLine="480"/>
              <w:rPr>
                <w:rFonts w:hint="eastAsia" w:ascii="Times New Roman" w:hAnsi="Times New Roman" w:eastAsia="宋体" w:cs="Times New Roman"/>
              </w:rPr>
            </w:pPr>
            <w:r>
              <w:rPr>
                <w:rFonts w:hint="eastAsia" w:ascii="Times New Roman" w:hAnsi="Times New Roman" w:eastAsia="宋体" w:cs="Times New Roman"/>
              </w:rPr>
              <w:t>（3）孔深校正</w:t>
            </w:r>
          </w:p>
          <w:p>
            <w:pPr>
              <w:ind w:firstLine="480"/>
              <w:rPr>
                <w:rFonts w:hint="eastAsia" w:ascii="Times New Roman" w:hAnsi="Times New Roman" w:eastAsia="宋体" w:cs="Times New Roman"/>
              </w:rPr>
            </w:pPr>
            <w:r>
              <w:rPr>
                <w:rFonts w:hint="eastAsia" w:ascii="Times New Roman" w:hAnsi="Times New Roman" w:eastAsia="宋体" w:cs="Times New Roman"/>
              </w:rPr>
              <w:t>下列情况应校正孔深</w:t>
            </w:r>
            <w:r>
              <w:rPr>
                <w:rFonts w:hint="eastAsia" w:ascii="Times New Roman" w:hAnsi="Times New Roman" w:eastAsia="宋体" w:cs="Times New Roman"/>
                <w:lang w:eastAsia="zh-CN"/>
              </w:rPr>
              <w:t>：</w:t>
            </w:r>
          </w:p>
          <w:p>
            <w:pPr>
              <w:ind w:firstLine="480"/>
              <w:rPr>
                <w:rFonts w:hint="eastAsia" w:ascii="Times New Roman" w:hAnsi="Times New Roman" w:eastAsia="宋体" w:cs="Times New Roman"/>
              </w:rPr>
            </w:pPr>
            <w:r>
              <w:rPr>
                <w:rFonts w:hint="eastAsia" w:ascii="Times New Roman" w:hAnsi="Times New Roman" w:eastAsia="宋体" w:cs="Times New Roman"/>
              </w:rPr>
              <w:t>①斜孔每钻进50米及其倍数时校正；</w:t>
            </w:r>
          </w:p>
          <w:p>
            <w:pPr>
              <w:ind w:firstLine="480"/>
              <w:rPr>
                <w:rFonts w:hint="eastAsia" w:ascii="Times New Roman" w:hAnsi="Times New Roman" w:eastAsia="宋体" w:cs="Times New Roman"/>
              </w:rPr>
            </w:pPr>
            <w:r>
              <w:rPr>
                <w:rFonts w:hint="eastAsia" w:ascii="Times New Roman" w:hAnsi="Times New Roman" w:eastAsia="宋体" w:cs="Times New Roman"/>
              </w:rPr>
              <w:t>②进出矿层时（矿层厚度小于5米时，只测量一次）；</w:t>
            </w:r>
          </w:p>
          <w:p>
            <w:pPr>
              <w:ind w:firstLine="480"/>
              <w:rPr>
                <w:rFonts w:hint="eastAsia" w:ascii="Times New Roman" w:hAnsi="Times New Roman" w:eastAsia="宋体" w:cs="Times New Roman"/>
              </w:rPr>
            </w:pPr>
            <w:r>
              <w:rPr>
                <w:rFonts w:hint="eastAsia" w:ascii="Times New Roman" w:hAnsi="Times New Roman" w:eastAsia="宋体" w:cs="Times New Roman"/>
              </w:rPr>
              <w:t>③经地质编录人员确认的重要构造位置及划分地质时代的层位；</w:t>
            </w:r>
          </w:p>
          <w:p>
            <w:pPr>
              <w:ind w:firstLine="480"/>
              <w:rPr>
                <w:rFonts w:hint="eastAsia" w:ascii="Times New Roman" w:hAnsi="Times New Roman" w:eastAsia="宋体" w:cs="Times New Roman"/>
              </w:rPr>
            </w:pPr>
            <w:r>
              <w:rPr>
                <w:rFonts w:hint="eastAsia" w:ascii="Times New Roman" w:hAnsi="Times New Roman" w:eastAsia="宋体" w:cs="Times New Roman"/>
              </w:rPr>
              <w:t>④下套管前和终孔后。</w:t>
            </w:r>
          </w:p>
          <w:p>
            <w:pPr>
              <w:ind w:firstLine="480"/>
              <w:rPr>
                <w:rFonts w:hint="eastAsia" w:ascii="Times New Roman" w:hAnsi="Times New Roman" w:eastAsia="宋体" w:cs="Times New Roman"/>
              </w:rPr>
            </w:pPr>
            <w:r>
              <w:rPr>
                <w:rFonts w:hint="eastAsia" w:ascii="Times New Roman" w:hAnsi="Times New Roman" w:eastAsia="宋体" w:cs="Times New Roman"/>
              </w:rPr>
              <w:t>孔深校正最大允许误差率为千分之一，允许累计计算，校正孔深的原始数据，要详细记录在班报表内。误差的绝对值在千分之一以内，班报表孔深不做修改，超过千分之一，应进行消除处理。</w:t>
            </w:r>
          </w:p>
          <w:p>
            <w:pPr>
              <w:ind w:firstLine="480"/>
              <w:rPr>
                <w:rFonts w:hint="eastAsia" w:ascii="Times New Roman" w:hAnsi="Times New Roman" w:eastAsia="宋体" w:cs="Times New Roman"/>
              </w:rPr>
            </w:pPr>
            <w:r>
              <w:rPr>
                <w:rFonts w:hint="eastAsia" w:ascii="Times New Roman" w:hAnsi="Times New Roman" w:eastAsia="宋体" w:cs="Times New Roman"/>
              </w:rPr>
              <w:t>（4）钻孔弯曲度测量</w:t>
            </w:r>
          </w:p>
          <w:p>
            <w:pPr>
              <w:ind w:firstLine="480"/>
              <w:rPr>
                <w:rFonts w:hint="eastAsia" w:ascii="Times New Roman" w:hAnsi="Times New Roman" w:eastAsia="宋体" w:cs="Times New Roman"/>
              </w:rPr>
            </w:pPr>
            <w:r>
              <w:rPr>
                <w:rFonts w:hint="eastAsia" w:ascii="Times New Roman" w:hAnsi="Times New Roman" w:eastAsia="宋体" w:cs="Times New Roman"/>
              </w:rPr>
              <w:t>根据《地质岩心钻探规程》（DZ/T0227-2010）的要求，钻孔施工过程中，钻孔开孔后25米应测量一次倾角和方位角，在钻进过程中直孔每钻进100米、斜孔每钻进50米进行一次弯曲度测量，在进出矿层时必须进行弯曲度测量，在钻孔终孔后必须进行弯曲度测量，要严格按照《地质岩心钻探规程》（DZ/T0227-2010）的要求进行弯曲度测量工作，斜孔每100米天顶角偏斜不得超过3°。</w:t>
            </w:r>
          </w:p>
          <w:p>
            <w:pPr>
              <w:ind w:firstLine="480"/>
              <w:rPr>
                <w:rFonts w:hint="eastAsia" w:ascii="Times New Roman" w:hAnsi="Times New Roman" w:eastAsia="宋体" w:cs="Times New Roman"/>
              </w:rPr>
            </w:pPr>
            <w:r>
              <w:rPr>
                <w:rFonts w:hint="eastAsia" w:ascii="Times New Roman" w:hAnsi="Times New Roman" w:eastAsia="宋体" w:cs="Times New Roman"/>
              </w:rPr>
              <w:t>（5）简易水文观测</w:t>
            </w:r>
          </w:p>
          <w:p>
            <w:pPr>
              <w:ind w:firstLine="480"/>
              <w:rPr>
                <w:rFonts w:hint="eastAsia" w:ascii="Times New Roman" w:hAnsi="Times New Roman" w:eastAsia="宋体" w:cs="Times New Roman"/>
              </w:rPr>
            </w:pPr>
            <w:r>
              <w:rPr>
                <w:rFonts w:hint="eastAsia" w:ascii="Times New Roman" w:hAnsi="Times New Roman" w:eastAsia="宋体" w:cs="Times New Roman"/>
              </w:rPr>
              <w:t>简易水文观测的目的，是为了了解岩层含水段的数目、厚度、埋藏深度及其富水性。简易水文地质由钻探部门执行，地质编录人员要进行认真监督和配合。</w:t>
            </w:r>
          </w:p>
          <w:p>
            <w:pPr>
              <w:ind w:firstLine="480"/>
              <w:rPr>
                <w:rFonts w:hint="eastAsia" w:ascii="Times New Roman" w:hAnsi="Times New Roman" w:eastAsia="宋体" w:cs="Times New Roman"/>
              </w:rPr>
            </w:pPr>
            <w:r>
              <w:rPr>
                <w:rFonts w:hint="eastAsia" w:ascii="Times New Roman" w:hAnsi="Times New Roman" w:eastAsia="宋体" w:cs="Times New Roman"/>
              </w:rPr>
              <w:t>①在以清水为冲洗液的钻孔中，每班至少观测水位1-2回次，每观测回次中，提钻前、下钻后各测量一次水位，间隔时间应大于5分钟，终孔要测稳定水位。以泥浆为冲洗液的钻孔中，一般可不进行水位测量。</w:t>
            </w:r>
          </w:p>
          <w:p>
            <w:pPr>
              <w:ind w:firstLine="480"/>
              <w:rPr>
                <w:rFonts w:hint="eastAsia" w:ascii="Times New Roman" w:hAnsi="Times New Roman" w:eastAsia="宋体" w:cs="Times New Roman"/>
              </w:rPr>
            </w:pPr>
            <w:r>
              <w:rPr>
                <w:rFonts w:hint="eastAsia" w:ascii="Times New Roman" w:hAnsi="Times New Roman" w:eastAsia="宋体" w:cs="Times New Roman"/>
              </w:rPr>
              <w:t>②钻进过程中遇到涌水、漏水、涌砂、掉块、坍塌、所径、逸气、裂隙、溶洞</w:t>
            </w:r>
            <w:r>
              <w:rPr>
                <w:rFonts w:hint="eastAsia" w:ascii="Times New Roman" w:hAnsi="Times New Roman" w:eastAsia="宋体" w:cs="Times New Roman"/>
                <w:lang w:eastAsia="zh-CN"/>
              </w:rPr>
              <w:t>及</w:t>
            </w:r>
            <w:r>
              <w:rPr>
                <w:rFonts w:hint="eastAsia" w:ascii="Times New Roman" w:hAnsi="Times New Roman" w:eastAsia="宋体" w:cs="Times New Roman"/>
              </w:rPr>
              <w:t>钻具掉落等异常现象时，应及时记录其深度；</w:t>
            </w:r>
          </w:p>
          <w:p>
            <w:pPr>
              <w:ind w:firstLine="480"/>
              <w:rPr>
                <w:rFonts w:hint="eastAsia" w:ascii="Times New Roman" w:hAnsi="Times New Roman" w:eastAsia="宋体" w:cs="Times New Roman"/>
              </w:rPr>
            </w:pPr>
            <w:r>
              <w:rPr>
                <w:rFonts w:hint="eastAsia" w:ascii="Times New Roman" w:hAnsi="Times New Roman" w:eastAsia="宋体" w:cs="Times New Roman"/>
              </w:rPr>
              <w:t>③假日、机修或其他原因停钻时间较长时，需进行水位的观测；</w:t>
            </w:r>
          </w:p>
          <w:p>
            <w:pPr>
              <w:ind w:firstLine="480"/>
              <w:rPr>
                <w:rFonts w:hint="eastAsia" w:ascii="Times New Roman" w:hAnsi="Times New Roman" w:eastAsia="宋体" w:cs="Times New Roman"/>
              </w:rPr>
            </w:pPr>
            <w:r>
              <w:rPr>
                <w:rFonts w:hint="eastAsia" w:ascii="Times New Roman" w:hAnsi="Times New Roman" w:eastAsia="宋体" w:cs="Times New Roman"/>
              </w:rPr>
              <w:t>（6）封孔</w:t>
            </w:r>
          </w:p>
          <w:p>
            <w:pPr>
              <w:ind w:firstLine="480"/>
              <w:rPr>
                <w:rFonts w:hint="eastAsia" w:ascii="Times New Roman" w:hAnsi="Times New Roman" w:eastAsia="宋体" w:cs="Times New Roman"/>
              </w:rPr>
            </w:pPr>
            <w:r>
              <w:rPr>
                <w:rFonts w:hint="eastAsia" w:ascii="Times New Roman" w:hAnsi="Times New Roman" w:eastAsia="宋体" w:cs="Times New Roman"/>
              </w:rPr>
              <w:t>终孔前探矿部门根据地质部门提出的实际钻孔柱状图和封孔要求编写封孔设计书，经矿区技术负责人，水文地质组长签字后，交钻机按设计要求认真封孔，并填写好封孔记录。</w:t>
            </w:r>
          </w:p>
          <w:p>
            <w:pPr>
              <w:ind w:firstLine="480"/>
              <w:rPr>
                <w:rFonts w:hint="eastAsia" w:ascii="Times New Roman" w:hAnsi="Times New Roman" w:eastAsia="宋体" w:cs="Times New Roman"/>
              </w:rPr>
            </w:pPr>
            <w:r>
              <w:rPr>
                <w:rFonts w:hint="eastAsia" w:ascii="Times New Roman" w:hAnsi="Times New Roman" w:eastAsia="宋体" w:cs="Times New Roman"/>
              </w:rPr>
              <w:t>封孔的要求</w:t>
            </w:r>
            <w:r>
              <w:rPr>
                <w:rFonts w:hint="eastAsia" w:ascii="Times New Roman" w:hAnsi="Times New Roman" w:eastAsia="宋体" w:cs="Times New Roman"/>
                <w:lang w:eastAsia="zh-CN"/>
              </w:rPr>
              <w:t>：</w:t>
            </w:r>
          </w:p>
          <w:p>
            <w:pPr>
              <w:ind w:firstLine="480"/>
              <w:rPr>
                <w:rFonts w:hint="eastAsia" w:ascii="Times New Roman" w:hAnsi="Times New Roman" w:eastAsia="宋体" w:cs="Times New Roman"/>
              </w:rPr>
            </w:pPr>
            <w:r>
              <w:rPr>
                <w:rFonts w:hint="eastAsia" w:ascii="Times New Roman" w:hAnsi="Times New Roman" w:eastAsia="宋体" w:cs="Times New Roman"/>
              </w:rPr>
              <w:t>①见易溶、易蚀、易流散、易被破坏的工业矿层含水层、含水构造的钻孔须在顶、底板上下各5米范围内的隔水层处，用Po32.5普通硅酸盐水泥封闭；</w:t>
            </w:r>
          </w:p>
          <w:p>
            <w:pPr>
              <w:ind w:firstLine="480"/>
              <w:rPr>
                <w:rFonts w:hint="eastAsia" w:ascii="Times New Roman" w:hAnsi="Times New Roman" w:eastAsia="宋体" w:cs="Times New Roman"/>
              </w:rPr>
            </w:pPr>
            <w:r>
              <w:rPr>
                <w:rFonts w:hint="eastAsia" w:ascii="Times New Roman" w:hAnsi="Times New Roman" w:eastAsia="宋体" w:cs="Times New Roman"/>
              </w:rPr>
              <w:t>②见除了上述之外的其他固体矿层，但未见含水层和含水构造并且孔位低于侵蚀基准面的钻孔，可用Po32.5普通硅酸盐水泥或其他隔水材料封闭钻孔最上部隔水层与透水层交界处；</w:t>
            </w:r>
          </w:p>
          <w:p>
            <w:pPr>
              <w:ind w:firstLine="480"/>
              <w:rPr>
                <w:rFonts w:hint="eastAsia" w:ascii="Times New Roman" w:hAnsi="Times New Roman" w:eastAsia="宋体" w:cs="Times New Roman"/>
              </w:rPr>
            </w:pPr>
            <w:r>
              <w:rPr>
                <w:rFonts w:hint="eastAsia" w:ascii="Times New Roman" w:hAnsi="Times New Roman" w:eastAsia="宋体" w:cs="Times New Roman"/>
              </w:rPr>
              <w:t>③矿层不厚或矿层与矿层、矿层与含水层较近时，可一并封闭；</w:t>
            </w:r>
          </w:p>
          <w:p>
            <w:pPr>
              <w:ind w:firstLine="480"/>
              <w:rPr>
                <w:rFonts w:hint="eastAsia" w:ascii="Times New Roman" w:hAnsi="Times New Roman" w:eastAsia="宋体" w:cs="Times New Roman"/>
              </w:rPr>
            </w:pPr>
            <w:r>
              <w:rPr>
                <w:rFonts w:hint="eastAsia" w:ascii="Times New Roman" w:hAnsi="Times New Roman" w:eastAsia="宋体" w:cs="Times New Roman"/>
              </w:rPr>
              <w:t>④需要进行地下水动态观测或对农田灌溉有利的钻孔，可暂不封闭。但对矿床充水有严重影响的钻孔，必须封闭；</w:t>
            </w:r>
          </w:p>
          <w:p>
            <w:pPr>
              <w:ind w:firstLine="480"/>
              <w:rPr>
                <w:rFonts w:hint="eastAsia" w:ascii="Times New Roman" w:hAnsi="Times New Roman" w:eastAsia="宋体" w:cs="Times New Roman"/>
              </w:rPr>
            </w:pPr>
            <w:r>
              <w:rPr>
                <w:rFonts w:hint="eastAsia" w:ascii="Times New Roman" w:hAnsi="Times New Roman" w:eastAsia="宋体" w:cs="Times New Roman"/>
              </w:rPr>
              <w:t>封孔后必须在孔口中心设立水泥标志桩（用水泥固定）。为了检查封孔的质量，必要时选择一定数量的钻孔进行封孔质量检查。</w:t>
            </w:r>
          </w:p>
          <w:p>
            <w:pPr>
              <w:ind w:firstLine="480"/>
              <w:rPr>
                <w:rFonts w:hint="eastAsia" w:ascii="Times New Roman" w:hAnsi="Times New Roman" w:eastAsia="宋体" w:cs="Times New Roman"/>
              </w:rPr>
            </w:pPr>
            <w:r>
              <w:rPr>
                <w:rFonts w:hint="eastAsia" w:ascii="Times New Roman" w:hAnsi="Times New Roman" w:eastAsia="宋体" w:cs="Times New Roman"/>
              </w:rPr>
              <w:t>（7）环境保护</w:t>
            </w:r>
          </w:p>
          <w:p>
            <w:pPr>
              <w:ind w:firstLine="480"/>
              <w:rPr>
                <w:b/>
              </w:rPr>
            </w:pPr>
            <w:r>
              <w:rPr>
                <w:rFonts w:hint="eastAsia"/>
              </w:rPr>
              <w:t>钻探施工需严格执行《绿色地质勘查工作规范》（DZ/T0374-2021），对生活垃圾及废弃物分类处置（可降解垃圾深埋、不可降解垃圾清运），废渣集中利用，钻机场地铺设防渗膜，泥浆池规范回填，终孔后实施复绿，确保"人走场清"，做好复绿工作。</w:t>
            </w:r>
          </w:p>
          <w:p>
            <w:pPr>
              <w:ind w:firstLine="482"/>
              <w:rPr>
                <w:b/>
              </w:rPr>
            </w:pPr>
            <w:r>
              <w:rPr>
                <w:rFonts w:hint="eastAsia"/>
                <w:b/>
              </w:rPr>
              <w:t>3</w:t>
            </w:r>
            <w:r>
              <w:rPr>
                <w:b/>
              </w:rPr>
              <w:t>.</w:t>
            </w:r>
            <w:r>
              <w:rPr>
                <w:rFonts w:hint="eastAsia"/>
                <w:b/>
              </w:rPr>
              <w:t>施工时序</w:t>
            </w:r>
          </w:p>
          <w:p>
            <w:pPr>
              <w:ind w:firstLine="480"/>
              <w:rPr>
                <w:rFonts w:ascii="宋体" w:hAnsi="宋体"/>
              </w:rPr>
            </w:pPr>
            <w:r>
              <w:rPr>
                <w:rFonts w:hint="eastAsia" w:ascii="宋体" w:hAnsi="宋体"/>
              </w:rPr>
              <w:t>施工顺序为：施工放样→地面掘除清理→地表平整压实→钻探施工。</w:t>
            </w:r>
          </w:p>
          <w:p>
            <w:pPr>
              <w:ind w:firstLine="482"/>
              <w:rPr>
                <w:b/>
              </w:rPr>
            </w:pPr>
            <w:r>
              <w:rPr>
                <w:rFonts w:hint="eastAsia"/>
                <w:b/>
              </w:rPr>
              <w:t>4</w:t>
            </w:r>
            <w:r>
              <w:rPr>
                <w:b/>
              </w:rPr>
              <w:t>.</w:t>
            </w:r>
            <w:r>
              <w:rPr>
                <w:rFonts w:hint="eastAsia"/>
                <w:b/>
              </w:rPr>
              <w:t>建设周期</w:t>
            </w:r>
          </w:p>
          <w:p>
            <w:pPr>
              <w:adjustRightInd w:val="0"/>
              <w:snapToGrid w:val="0"/>
              <w:ind w:firstLine="480"/>
            </w:pPr>
            <w:r>
              <w:t>本工程施工总工期安排</w:t>
            </w:r>
            <w:r>
              <w:rPr>
                <w:rFonts w:hint="eastAsia"/>
                <w:lang w:val="en-US" w:eastAsia="zh-CN"/>
              </w:rPr>
              <w:t>1</w:t>
            </w:r>
            <w:r>
              <w:rPr>
                <w:rFonts w:hint="eastAsia"/>
              </w:rPr>
              <w:t>年</w:t>
            </w:r>
            <w:r>
              <w:t>，202</w:t>
            </w:r>
            <w:r>
              <w:rPr>
                <w:rFonts w:hint="eastAsia"/>
                <w:lang w:val="en-US" w:eastAsia="zh-CN"/>
              </w:rPr>
              <w:t>5</w:t>
            </w:r>
            <w:r>
              <w:t>年</w:t>
            </w:r>
            <w:r>
              <w:rPr>
                <w:rFonts w:hint="eastAsia"/>
                <w:lang w:val="en-US" w:eastAsia="zh-CN"/>
              </w:rPr>
              <w:t>9</w:t>
            </w:r>
            <w:r>
              <w:t>月至202</w:t>
            </w:r>
            <w:r>
              <w:rPr>
                <w:rFonts w:hint="eastAsia"/>
              </w:rPr>
              <w:t>6</w:t>
            </w:r>
            <w:r>
              <w:t>年</w:t>
            </w:r>
            <w:r>
              <w:rPr>
                <w:rFonts w:hint="eastAsia"/>
                <w:lang w:val="en-US" w:eastAsia="zh-CN"/>
              </w:rPr>
              <w:t>7月</w:t>
            </w:r>
            <w:r>
              <w:rPr>
                <w:rFonts w:hint="eastAsia"/>
              </w:rPr>
              <w:t>，根据天气情况具体安排施工时段，一年施工期</w:t>
            </w:r>
            <w:r>
              <w:rPr>
                <w:rFonts w:hint="eastAsia"/>
                <w:lang w:val="en-US" w:eastAsia="zh-CN"/>
              </w:rPr>
              <w:t>50</w:t>
            </w:r>
            <w:r>
              <w:rPr>
                <w:rFonts w:hint="eastAsia"/>
              </w:rPr>
              <w:t>d，</w:t>
            </w:r>
            <w:r>
              <w:t>本项目施工高峰期劳动定员可达</w:t>
            </w:r>
            <w:r>
              <w:rPr>
                <w:rFonts w:hint="eastAsia"/>
                <w:lang w:val="en-US" w:eastAsia="zh-CN"/>
              </w:rPr>
              <w:t>9</w:t>
            </w:r>
            <w:r>
              <w:t>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pStyle w:val="26"/>
            </w:pPr>
            <w:r>
              <w:rPr>
                <w:rFonts w:hint="eastAsia"/>
              </w:rPr>
              <w:t>其他</w:t>
            </w:r>
          </w:p>
        </w:tc>
        <w:tc>
          <w:tcPr>
            <w:tcW w:w="4753" w:type="pct"/>
          </w:tcPr>
          <w:p>
            <w:pPr>
              <w:adjustRightInd w:val="0"/>
              <w:snapToGrid w:val="0"/>
              <w:ind w:firstLine="480"/>
              <w:rPr>
                <w:bCs/>
                <w:color w:val="000000"/>
              </w:rPr>
            </w:pPr>
          </w:p>
          <w:p>
            <w:pPr>
              <w:adjustRightInd w:val="0"/>
              <w:snapToGrid w:val="0"/>
              <w:ind w:left="0" w:leftChars="0" w:firstLine="480" w:firstLineChars="200"/>
              <w:rPr>
                <w:rFonts w:hint="default" w:eastAsia="宋体"/>
                <w:bCs/>
                <w:color w:val="000000"/>
                <w:lang w:val="en-US" w:eastAsia="zh-CN"/>
              </w:rPr>
            </w:pPr>
            <w:r>
              <w:rPr>
                <w:rFonts w:hint="eastAsia"/>
                <w:bCs/>
                <w:color w:val="000000"/>
                <w:lang w:val="en-US" w:eastAsia="zh-CN"/>
              </w:rPr>
              <w:t>无</w:t>
            </w:r>
          </w:p>
        </w:tc>
      </w:tr>
    </w:tbl>
    <w:p>
      <w:pPr>
        <w:pStyle w:val="14"/>
        <w:ind w:firstLine="720"/>
        <w:jc w:val="center"/>
        <w:rPr>
          <w:rFonts w:ascii="黑体" w:hAnsi="黑体" w:eastAsia="黑体"/>
          <w:snapToGrid w:val="0"/>
          <w:sz w:val="36"/>
          <w:szCs w:val="36"/>
        </w:rPr>
        <w:sectPr>
          <w:headerReference r:id="rId5" w:type="default"/>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2"/>
        <w:rPr>
          <w:snapToGrid w:val="0"/>
        </w:rPr>
      </w:pPr>
      <w:r>
        <w:rPr>
          <w:rFonts w:hint="eastAsia"/>
          <w:snapToGrid w:val="0"/>
        </w:rPr>
        <w:t>三、生态环境现状、保护目标及评价标准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3"/>
        <w:gridCol w:w="8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13" w:type="dxa"/>
            <w:vAlign w:val="center"/>
          </w:tcPr>
          <w:p>
            <w:pPr>
              <w:pStyle w:val="26"/>
            </w:pPr>
            <w:r>
              <w:rPr>
                <w:rFonts w:hint="eastAsia"/>
              </w:rPr>
              <w:t>生态</w:t>
            </w:r>
          </w:p>
          <w:p>
            <w:pPr>
              <w:pStyle w:val="26"/>
            </w:pPr>
            <w:r>
              <w:rPr>
                <w:rFonts w:hint="eastAsia"/>
              </w:rPr>
              <w:t>环境</w:t>
            </w:r>
          </w:p>
          <w:p>
            <w:pPr>
              <w:pStyle w:val="26"/>
            </w:pPr>
            <w:r>
              <w:rPr>
                <w:rFonts w:hint="eastAsia"/>
              </w:rPr>
              <w:t>现状</w:t>
            </w:r>
          </w:p>
        </w:tc>
        <w:tc>
          <w:tcPr>
            <w:tcW w:w="8109" w:type="dxa"/>
            <w:vAlign w:val="center"/>
          </w:tcPr>
          <w:p>
            <w:pPr>
              <w:pStyle w:val="15"/>
              <w:ind w:firstLine="482"/>
            </w:pPr>
            <w:r>
              <w:rPr>
                <w:rFonts w:hint="eastAsia"/>
              </w:rPr>
              <w:t>1</w:t>
            </w:r>
            <w:r>
              <w:t>.</w:t>
            </w:r>
            <w:r>
              <w:rPr>
                <w:rFonts w:hint="eastAsia"/>
              </w:rPr>
              <w:t>与主体功能规划相符性</w:t>
            </w:r>
          </w:p>
          <w:p>
            <w:pPr>
              <w:ind w:firstLine="480"/>
            </w:pPr>
            <w:r>
              <w:rPr>
                <w:rFonts w:hint="eastAsia"/>
              </w:rPr>
              <w:t>根据《新疆维吾尔自治区主体功能区规划》，新疆主体功能区按开发方式，分为重点开发区域、限制开发区域和禁止开发区域；按开发内容，分为城市化地区、农产品主产区和重点生态功能区三类；按层级，分为国家和自治区级两个层面。</w:t>
            </w:r>
          </w:p>
          <w:p>
            <w:pPr>
              <w:ind w:firstLine="480"/>
            </w:pPr>
            <w:r>
              <w:rPr>
                <w:rFonts w:hint="eastAsia"/>
              </w:rPr>
              <w:t>项目区</w:t>
            </w:r>
            <w:r>
              <w:rPr>
                <w:rFonts w:hint="eastAsia"/>
                <w:lang w:val="en-US" w:eastAsia="zh-CN"/>
              </w:rPr>
              <w:t>位于新疆若羌县东南120°方向，直线距离为100-140千米。勘查区隶属新疆巴音郭楞蒙古自治州若羌县依吞布拉克镇管辖</w:t>
            </w:r>
            <w:r>
              <w:rPr>
                <w:rFonts w:hint="eastAsia"/>
              </w:rPr>
              <w:t>；不属于主体功能区划中确定的国家和自治区层面的禁止开发区域。</w:t>
            </w:r>
          </w:p>
          <w:p>
            <w:pPr>
              <w:pStyle w:val="15"/>
              <w:ind w:firstLine="482"/>
            </w:pPr>
            <w:r>
              <w:rPr>
                <w:rFonts w:hint="eastAsia"/>
              </w:rPr>
              <w:t>2.生态环境现状调查</w:t>
            </w:r>
          </w:p>
          <w:p>
            <w:pPr>
              <w:pStyle w:val="15"/>
              <w:ind w:firstLine="482"/>
            </w:pPr>
            <w:r>
              <w:t>2.1</w:t>
            </w:r>
            <w:r>
              <w:rPr>
                <w:rFonts w:hint="eastAsia"/>
              </w:rPr>
              <w:t>生态功能区划</w:t>
            </w:r>
          </w:p>
          <w:p>
            <w:pPr>
              <w:autoSpaceDE w:val="0"/>
              <w:autoSpaceDN w:val="0"/>
              <w:adjustRightInd w:val="0"/>
              <w:ind w:firstLine="480"/>
            </w:pPr>
            <w:r>
              <w:t>根据《新疆生态功能区划》，本项目评价区域属于</w:t>
            </w:r>
            <w:r>
              <w:rPr>
                <w:rFonts w:hint="eastAsia"/>
                <w:lang w:val="en-US" w:eastAsia="zh-CN"/>
              </w:rPr>
              <w:t>帕米尔</w:t>
            </w:r>
            <w:r>
              <w:rPr>
                <w:rFonts w:hint="default"/>
                <w:lang w:val="en-US" w:eastAsia="zh-CN"/>
              </w:rPr>
              <w:t>-</w:t>
            </w:r>
            <w:r>
              <w:rPr>
                <w:rFonts w:hint="eastAsia"/>
                <w:lang w:val="en-US" w:eastAsia="zh-CN"/>
              </w:rPr>
              <w:t>昆仑山</w:t>
            </w:r>
            <w:r>
              <w:rPr>
                <w:rFonts w:hint="default"/>
                <w:lang w:val="en-US" w:eastAsia="zh-CN"/>
              </w:rPr>
              <w:t>-</w:t>
            </w:r>
            <w:r>
              <w:rPr>
                <w:rFonts w:hint="eastAsia"/>
                <w:lang w:val="en-US" w:eastAsia="zh-CN"/>
              </w:rPr>
              <w:t>阿尔金山荒漠干旱草原生态区</w:t>
            </w:r>
            <w:r>
              <w:rPr>
                <w:rFonts w:hint="default"/>
                <w:lang w:val="en-US" w:eastAsia="zh-CN"/>
              </w:rPr>
              <w:t>-V3</w:t>
            </w:r>
            <w:r>
              <w:rPr>
                <w:rFonts w:hint="eastAsia"/>
                <w:lang w:val="en-US" w:eastAsia="zh-CN"/>
              </w:rPr>
              <w:t>阿尔金山荒漠草原生物多样性保护生态亚区</w:t>
            </w:r>
            <w:r>
              <w:rPr>
                <w:rFonts w:hint="default"/>
                <w:lang w:val="en-US" w:eastAsia="zh-CN"/>
              </w:rPr>
              <w:t>-76.</w:t>
            </w:r>
            <w:r>
              <w:rPr>
                <w:rFonts w:hint="eastAsia"/>
                <w:lang w:val="en-US" w:eastAsia="zh-CN"/>
              </w:rPr>
              <w:t>阿尔金山荒漠草原及野骆驼保护生态功能区</w:t>
            </w:r>
            <w:r>
              <w:t>。具体见表3-1。</w:t>
            </w:r>
          </w:p>
          <w:p>
            <w:pPr>
              <w:pStyle w:val="28"/>
              <w:spacing w:before="120"/>
            </w:pPr>
            <w:r>
              <w:t>表3-1生态功能区划及主要环境问题和保护目标</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1145"/>
              <w:gridCol w:w="1137"/>
              <w:gridCol w:w="1151"/>
              <w:gridCol w:w="1251"/>
              <w:gridCol w:w="895"/>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813" w:type="pct"/>
                  <w:shd w:val="clear" w:color="auto" w:fill="auto"/>
                  <w:vAlign w:val="center"/>
                </w:tcPr>
                <w:p>
                  <w:pPr>
                    <w:pStyle w:val="26"/>
                  </w:pPr>
                  <w:r>
                    <w:t>生态功能区名称</w:t>
                  </w:r>
                </w:p>
              </w:tc>
              <w:tc>
                <w:tcPr>
                  <w:tcW w:w="728" w:type="pct"/>
                  <w:shd w:val="clear" w:color="auto" w:fill="auto"/>
                  <w:vAlign w:val="center"/>
                </w:tcPr>
                <w:p>
                  <w:pPr>
                    <w:pStyle w:val="26"/>
                  </w:pPr>
                  <w:r>
                    <w:rPr>
                      <w:bCs/>
                      <w:kern w:val="0"/>
                    </w:rPr>
                    <w:t>主要生态服务功能</w:t>
                  </w:r>
                </w:p>
              </w:tc>
              <w:tc>
                <w:tcPr>
                  <w:tcW w:w="723" w:type="pct"/>
                  <w:shd w:val="clear" w:color="auto" w:fill="auto"/>
                  <w:vAlign w:val="center"/>
                </w:tcPr>
                <w:p>
                  <w:pPr>
                    <w:pStyle w:val="26"/>
                    <w:rPr>
                      <w:kern w:val="0"/>
                    </w:rPr>
                  </w:pPr>
                  <w:r>
                    <w:rPr>
                      <w:bCs/>
                      <w:kern w:val="0"/>
                    </w:rPr>
                    <w:t>主要生态环境问题</w:t>
                  </w:r>
                </w:p>
              </w:tc>
              <w:tc>
                <w:tcPr>
                  <w:tcW w:w="732" w:type="pct"/>
                  <w:shd w:val="clear" w:color="auto" w:fill="auto"/>
                  <w:vAlign w:val="center"/>
                </w:tcPr>
                <w:p>
                  <w:pPr>
                    <w:pStyle w:val="26"/>
                  </w:pPr>
                  <w:r>
                    <w:rPr>
                      <w:bCs/>
                      <w:kern w:val="0"/>
                    </w:rPr>
                    <w:t>生态敏感因子敏感程度</w:t>
                  </w:r>
                </w:p>
              </w:tc>
              <w:tc>
                <w:tcPr>
                  <w:tcW w:w="795" w:type="pct"/>
                  <w:shd w:val="clear" w:color="auto" w:fill="auto"/>
                  <w:vAlign w:val="center"/>
                </w:tcPr>
                <w:p>
                  <w:pPr>
                    <w:pStyle w:val="26"/>
                  </w:pPr>
                  <w:r>
                    <w:rPr>
                      <w:bCs/>
                      <w:kern w:val="0"/>
                    </w:rPr>
                    <w:t>保护目标</w:t>
                  </w:r>
                </w:p>
              </w:tc>
              <w:tc>
                <w:tcPr>
                  <w:tcW w:w="569" w:type="pct"/>
                  <w:shd w:val="clear" w:color="auto" w:fill="auto"/>
                  <w:vAlign w:val="center"/>
                </w:tcPr>
                <w:p>
                  <w:pPr>
                    <w:pStyle w:val="26"/>
                  </w:pPr>
                  <w:r>
                    <w:rPr>
                      <w:bCs/>
                      <w:kern w:val="0"/>
                    </w:rPr>
                    <w:t>保护措施</w:t>
                  </w:r>
                </w:p>
              </w:tc>
              <w:tc>
                <w:tcPr>
                  <w:tcW w:w="639" w:type="pct"/>
                  <w:shd w:val="clear" w:color="auto" w:fill="auto"/>
                  <w:vAlign w:val="center"/>
                </w:tcPr>
                <w:p>
                  <w:pPr>
                    <w:pStyle w:val="26"/>
                  </w:pPr>
                  <w:r>
                    <w:rPr>
                      <w:bCs/>
                      <w:kern w:val="0"/>
                    </w:rPr>
                    <w:t>发展方向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6" w:hRule="atLeast"/>
              </w:trPr>
              <w:tc>
                <w:tcPr>
                  <w:tcW w:w="813" w:type="pct"/>
                  <w:shd w:val="clear" w:color="auto" w:fill="auto"/>
                  <w:vAlign w:val="center"/>
                </w:tcPr>
                <w:p>
                  <w:pPr>
                    <w:pStyle w:val="26"/>
                  </w:pPr>
                  <w:r>
                    <w:rPr>
                      <w:rFonts w:hint="default"/>
                      <w:lang w:val="en-US" w:eastAsia="zh-CN"/>
                    </w:rPr>
                    <w:t>76.</w:t>
                  </w:r>
                  <w:r>
                    <w:rPr>
                      <w:rFonts w:hint="eastAsia"/>
                      <w:lang w:val="en-US" w:eastAsia="zh-CN"/>
                    </w:rPr>
                    <w:t>阿尔金山荒漠草原及野骆驼保护生态功能区</w:t>
                  </w:r>
                </w:p>
              </w:tc>
              <w:tc>
                <w:tcPr>
                  <w:tcW w:w="728" w:type="pct"/>
                  <w:shd w:val="clear" w:color="auto" w:fill="auto"/>
                  <w:vAlign w:val="center"/>
                </w:tcPr>
                <w:p>
                  <w:pPr>
                    <w:pStyle w:val="26"/>
                  </w:pPr>
                  <w:r>
                    <w:rPr>
                      <w:rFonts w:hint="eastAsia"/>
                      <w:lang w:val="en-US" w:eastAsia="zh-CN"/>
                    </w:rPr>
                    <w:t>土壤保持、生物多样性维护</w:t>
                  </w:r>
                </w:p>
              </w:tc>
              <w:tc>
                <w:tcPr>
                  <w:tcW w:w="723" w:type="pct"/>
                  <w:shd w:val="clear" w:color="auto" w:fill="auto"/>
                  <w:vAlign w:val="center"/>
                </w:tcPr>
                <w:p>
                  <w:pPr>
                    <w:pStyle w:val="26"/>
                  </w:pPr>
                  <w:r>
                    <w:rPr>
                      <w:rFonts w:hint="eastAsia"/>
                      <w:lang w:val="en-US" w:eastAsia="zh-CN"/>
                    </w:rPr>
                    <w:t>草地退化、水土流失、洪水危害</w:t>
                  </w:r>
                </w:p>
              </w:tc>
              <w:tc>
                <w:tcPr>
                  <w:tcW w:w="732" w:type="pct"/>
                  <w:shd w:val="clear" w:color="auto" w:fill="auto"/>
                  <w:vAlign w:val="center"/>
                </w:tcPr>
                <w:p>
                  <w:pPr>
                    <w:pStyle w:val="26"/>
                  </w:pPr>
                  <w:r>
                    <w:rPr>
                      <w:rFonts w:hint="eastAsia"/>
                      <w:lang w:val="en-US" w:eastAsia="zh-CN"/>
                    </w:rPr>
                    <w:t>生物多样性及其生境高度敏感，土壤侵蚀高度敏感</w:t>
                  </w:r>
                </w:p>
              </w:tc>
              <w:tc>
                <w:tcPr>
                  <w:tcW w:w="795" w:type="pct"/>
                  <w:shd w:val="clear" w:color="auto" w:fill="auto"/>
                  <w:vAlign w:val="center"/>
                </w:tcPr>
                <w:p>
                  <w:pPr>
                    <w:pStyle w:val="26"/>
                  </w:pPr>
                  <w:r>
                    <w:rPr>
                      <w:rFonts w:hint="eastAsia"/>
                      <w:lang w:val="en-US" w:eastAsia="zh-CN"/>
                    </w:rPr>
                    <w:t>保护荒漠草原和野骆驼</w:t>
                  </w:r>
                </w:p>
              </w:tc>
              <w:tc>
                <w:tcPr>
                  <w:tcW w:w="569" w:type="pct"/>
                  <w:shd w:val="clear" w:color="auto" w:fill="auto"/>
                  <w:vAlign w:val="center"/>
                </w:tcPr>
                <w:p>
                  <w:pPr>
                    <w:pStyle w:val="26"/>
                  </w:pPr>
                  <w:r>
                    <w:rPr>
                      <w:rFonts w:hint="eastAsia"/>
                      <w:lang w:val="en-US" w:eastAsia="zh-CN"/>
                    </w:rPr>
                    <w:t>保护区退牧、禁止偷猎、禁止乱采玉石矿、加强保护区管理</w:t>
                  </w:r>
                </w:p>
              </w:tc>
              <w:tc>
                <w:tcPr>
                  <w:tcW w:w="639" w:type="pct"/>
                  <w:shd w:val="clear" w:color="auto" w:fill="auto"/>
                  <w:vAlign w:val="center"/>
                </w:tcPr>
                <w:p>
                  <w:pPr>
                    <w:pStyle w:val="26"/>
                  </w:pPr>
                  <w:r>
                    <w:rPr>
                      <w:rFonts w:hint="eastAsia"/>
                      <w:lang w:val="en-US" w:eastAsia="zh-CN"/>
                    </w:rPr>
                    <w:t>保护野生动物栖息地，维持自然生态平衡</w:t>
                  </w:r>
                </w:p>
              </w:tc>
            </w:tr>
          </w:tbl>
          <w:p>
            <w:pPr>
              <w:spacing w:line="240" w:lineRule="auto"/>
              <w:ind w:firstLine="482"/>
              <w:rPr>
                <w:b/>
                <w:color w:val="000000"/>
                <w:kern w:val="0"/>
              </w:rPr>
            </w:pPr>
            <w:r>
              <w:rPr>
                <w:b/>
                <w:color w:val="000000"/>
                <w:kern w:val="0"/>
              </w:rPr>
              <w:t>2.</w:t>
            </w:r>
            <w:r>
              <w:rPr>
                <w:rFonts w:hint="eastAsia"/>
                <w:b/>
                <w:color w:val="000000"/>
                <w:kern w:val="0"/>
              </w:rPr>
              <w:t>2</w:t>
            </w:r>
            <w:r>
              <w:rPr>
                <w:rFonts w:hint="eastAsia"/>
                <w:b/>
                <w:snapToGrid w:val="0"/>
                <w:kern w:val="0"/>
                <w:lang w:val="en-US" w:eastAsia="zh-CN"/>
              </w:rPr>
              <w:t>土壤</w:t>
            </w:r>
            <w:r>
              <w:rPr>
                <w:b/>
                <w:snapToGrid w:val="0"/>
                <w:kern w:val="0"/>
              </w:rPr>
              <w:t>类型及分布现状</w:t>
            </w:r>
          </w:p>
          <w:p>
            <w:pPr>
              <w:ind w:firstLine="480"/>
            </w:pPr>
            <w:r>
              <w:t>根据收集的资料及现状调查，项目区域内土壤类型较简单，主要以</w:t>
            </w:r>
            <w:r>
              <w:rPr>
                <w:rFonts w:hint="eastAsia"/>
              </w:rPr>
              <w:t>棕漠土</w:t>
            </w:r>
            <w:r>
              <w:t>为主。</w:t>
            </w:r>
          </w:p>
          <w:p>
            <w:pPr>
              <w:ind w:firstLine="480"/>
            </w:pPr>
            <w:r>
              <w:t>棕漠土（brown--desertsoil）也称棕色荒漠土，是暖温带漠境条件下发育的地带性土壤类型。土壤的形成过程完全受漠境水热条件所左右，碳酸钙、石膏与易溶盐的聚积作用普遍。地表通常为成片的黑色砾幂，全部表面由砾石或碎石组成。削面分化比较明显，腐殖含量极低，多小于0.3%，呈碱性反应，土壤代换量很小。</w:t>
            </w:r>
          </w:p>
          <w:p>
            <w:pPr>
              <w:ind w:firstLine="480"/>
              <w:rPr>
                <w:color w:val="000000"/>
                <w:kern w:val="0"/>
              </w:rPr>
            </w:pPr>
            <w:r>
              <w:rPr>
                <w:color w:val="000000"/>
              </w:rPr>
              <w:t>项目区主要土壤类型为砾质戈壁棕漠土。其成土母质为砾质洪积冲积物，地面组成物质以砾石为主，0－60cm土层土壤砾石含量38</w:t>
            </w:r>
            <w:r>
              <w:rPr>
                <w:rFonts w:hint="eastAsia"/>
                <w:color w:val="000000"/>
              </w:rPr>
              <w:t>%</w:t>
            </w:r>
            <w:r>
              <w:rPr>
                <w:color w:val="000000"/>
              </w:rPr>
              <w:t>，土壤发育厚度很小，不到50cm，有发育不太明显的孔状荒漠结皮，由于生物作用微弱，表层有机质含量小于3%，腐殖含量极低，呈碱性反应，土壤代换量很小</w:t>
            </w:r>
            <w:r>
              <w:rPr>
                <w:rFonts w:hint="eastAsia"/>
                <w:color w:val="000000"/>
              </w:rPr>
              <w:t>，</w:t>
            </w:r>
            <w:r>
              <w:rPr>
                <w:color w:val="000000"/>
              </w:rPr>
              <w:t>水分和养分缺乏</w:t>
            </w:r>
            <w:r>
              <w:rPr>
                <w:rFonts w:hint="eastAsia"/>
                <w:color w:val="000000"/>
              </w:rPr>
              <w:t>。</w:t>
            </w:r>
          </w:p>
          <w:p>
            <w:pPr>
              <w:ind w:firstLine="480"/>
              <w:rPr>
                <w:rFonts w:hint="eastAsia" w:ascii="Times New Roman" w:hAnsi="Times New Roman" w:eastAsia="宋体" w:cs="Times New Roman"/>
                <w:b/>
                <w:bCs/>
                <w:color w:val="000000"/>
                <w:kern w:val="0"/>
                <w:sz w:val="24"/>
                <w:szCs w:val="32"/>
                <w:lang w:val="en-US" w:eastAsia="zh-CN" w:bidi="ar-SA"/>
              </w:rPr>
            </w:pPr>
            <w:r>
              <w:rPr>
                <w:rFonts w:hint="eastAsia" w:ascii="Times New Roman" w:hAnsi="Times New Roman" w:eastAsia="宋体" w:cs="Times New Roman"/>
                <w:b/>
                <w:bCs/>
                <w:color w:val="000000"/>
                <w:kern w:val="0"/>
                <w:sz w:val="24"/>
                <w:szCs w:val="32"/>
                <w:lang w:val="en-US" w:eastAsia="zh-CN" w:bidi="ar-SA"/>
              </w:rPr>
              <w:t>2.3土地利用现状</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及其周围均无耕地、林地、沼泽地、盐碱地，根据《土地利用现状分类》（GB/T21010-2017）标准，项目区土地类型为裸土地。棕钙土的形成是以草原土壤腐殖质积累作用和钙积作用为主，并有荒漠成土过程的一些特点。棕钙土发育于温带荒漠草原植被下的土壤。地表多砂砾石，剖面上部呈褐棕色，下部为粉末层状或斑块状灰白色钙积层。棕钙土主要分布于欧亚大陆温带荒漠草原地区，位于栗钙土与漠土之间，从西、北、东三面环绕于漠土外围。</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主要土壤类型为棕钙土。自然植被组成趋于旱化，生物量低，土壤腐殖质积累作用弱，有机质含量低；钙积作用强，钙积层在剖面中位置较高；呈碱性至强碱性反应，阳离子交换量较低，吸收性复合体为盐基所饱和，其中钠离子所占比例较高；质地较粗，多属砂砾质、砂质和砂壤质、轻壤质，土体中钙质有较明显移动。项目区主要土壤类型为砾质戈壁棕漠土。其成土母质为砾质洪积冲积物，地面组成物质以砾石为主，0－60cm土层土壤砾石含量38%，土壤发育厚度很小，不到50cm，有发育不太明显的孔状荒漠结皮，由于生物作用微弱，表层有机质含量小于3%，腐殖含量极低，呈碱性反应，土壤代换量很小，水分和养分缺乏。</w:t>
            </w:r>
          </w:p>
          <w:p>
            <w:pPr>
              <w:pStyle w:val="15"/>
              <w:ind w:firstLine="482"/>
              <w:rPr>
                <w:color w:val="000000"/>
                <w:kern w:val="0"/>
              </w:rPr>
            </w:pPr>
            <w:r>
              <w:rPr>
                <w:rFonts w:hint="eastAsia"/>
                <w:color w:val="000000"/>
                <w:kern w:val="0"/>
              </w:rPr>
              <w:t>2</w:t>
            </w:r>
            <w:r>
              <w:rPr>
                <w:color w:val="000000"/>
                <w:kern w:val="0"/>
              </w:rPr>
              <w:t>.</w:t>
            </w:r>
            <w:r>
              <w:rPr>
                <w:rFonts w:hint="eastAsia"/>
                <w:color w:val="000000"/>
                <w:kern w:val="0"/>
                <w:lang w:val="en-US" w:eastAsia="zh-CN"/>
              </w:rPr>
              <w:t>4</w:t>
            </w:r>
            <w:r>
              <w:t>项目区主要植被类型</w:t>
            </w:r>
          </w:p>
          <w:p>
            <w:pPr>
              <w:spacing w:line="480" w:lineRule="exact"/>
              <w:ind w:firstLine="480" w:firstLineChars="200"/>
              <w:rPr>
                <w:rFonts w:hint="eastAsia" w:ascii="Times New Roman" w:hAnsi="Times New Roman" w:eastAsia="宋体" w:cs="Times New Roman"/>
                <w:b/>
                <w:sz w:val="21"/>
                <w:szCs w:val="21"/>
                <w:lang w:eastAsia="zh-CN"/>
              </w:rPr>
            </w:pPr>
            <w:r>
              <w:rPr>
                <w:rFonts w:hint="eastAsia"/>
                <w:color w:val="000000"/>
                <w:kern w:val="0"/>
              </w:rPr>
              <w:t>根据查询相关资料及现场</w:t>
            </w:r>
            <w:r>
              <w:rPr>
                <w:rFonts w:hint="eastAsia"/>
                <w:color w:val="000000"/>
                <w:kern w:val="0"/>
                <w:lang w:eastAsia="zh-CN"/>
              </w:rPr>
              <w:t>勘查</w:t>
            </w:r>
            <w:r>
              <w:rPr>
                <w:rFonts w:hint="eastAsia"/>
                <w:color w:val="000000"/>
                <w:kern w:val="0"/>
              </w:rPr>
              <w:t>，进行分析汇总可知该区位于南疆地区，</w:t>
            </w:r>
            <w:r>
              <w:rPr>
                <w:color w:val="000000"/>
                <w:kern w:val="0"/>
              </w:rPr>
              <w:t>根据《新疆植被》的分区原则，项目区域属于新疆荒漠区东疆－南疆荒漠亚区，</w:t>
            </w:r>
            <w:r>
              <w:rPr>
                <w:rFonts w:hint="eastAsia"/>
                <w:color w:val="000000"/>
                <w:kern w:val="0"/>
                <w:lang w:eastAsia="zh-CN"/>
              </w:rPr>
              <w:t>处于阿尔金造山带内，该地区为高山地形，南高北低，东高西低，地形陡峭，海拔为</w:t>
            </w:r>
            <w:r>
              <w:rPr>
                <w:rFonts w:hint="eastAsia"/>
                <w:color w:val="000000"/>
                <w:kern w:val="0"/>
                <w:lang w:val="en" w:eastAsia="zh-CN"/>
              </w:rPr>
              <w:t>3200～4700</w:t>
            </w:r>
            <w:r>
              <w:rPr>
                <w:rFonts w:hint="eastAsia"/>
                <w:color w:val="000000"/>
                <w:kern w:val="0"/>
                <w:lang w:eastAsia="zh-CN"/>
              </w:rPr>
              <w:t>米，</w:t>
            </w:r>
            <w:r>
              <w:rPr>
                <w:rFonts w:hint="eastAsia"/>
                <w:color w:val="000000"/>
                <w:kern w:val="0"/>
                <w:lang w:val="en" w:eastAsia="zh-CN"/>
              </w:rPr>
              <w:t>高差多在300～1000米</w:t>
            </w:r>
            <w:r>
              <w:rPr>
                <w:rFonts w:hint="eastAsia"/>
                <w:color w:val="000000"/>
                <w:kern w:val="0"/>
                <w:lang w:eastAsia="zh-CN"/>
              </w:rPr>
              <w:t>。</w:t>
            </w:r>
            <w:r>
              <w:rPr>
                <w:rFonts w:hint="eastAsia"/>
                <w:color w:val="000000"/>
                <w:kern w:val="0"/>
              </w:rPr>
              <w:t>地表植被</w:t>
            </w:r>
            <w:r>
              <w:rPr>
                <w:rFonts w:hint="eastAsia"/>
                <w:color w:val="000000"/>
                <w:kern w:val="0"/>
                <w:lang w:val="en-US" w:eastAsia="zh-CN"/>
              </w:rPr>
              <w:t>稀疏</w:t>
            </w:r>
            <w:r>
              <w:rPr>
                <w:rFonts w:hint="eastAsia"/>
                <w:color w:val="000000"/>
                <w:kern w:val="0"/>
              </w:rPr>
              <w:t>，主要植被类型为垫状驼绒藜荒漠和蒿叶猪毛菜荒漠(含砾质、石质)，项目所在区域植被覆盖度＜5%。区域主要的野生植物具体名录见表3-2</w:t>
            </w:r>
            <w:r>
              <w:rPr>
                <w:rFonts w:hint="eastAsia"/>
                <w:color w:val="000000"/>
                <w:kern w:val="0"/>
                <w:lang w:eastAsia="zh-CN"/>
              </w:rPr>
              <w:t>。</w:t>
            </w:r>
          </w:p>
          <w:p>
            <w:pPr>
              <w:pStyle w:val="28"/>
              <w:spacing w:before="120"/>
              <w:ind w:firstLine="422"/>
              <w:rPr>
                <w:rFonts w:hint="default" w:ascii="Times New Roman" w:hAnsi="Times New Roman" w:eastAsia="宋体" w:cs="Times New Roman"/>
                <w:lang w:val="zh-CN"/>
              </w:rPr>
            </w:pPr>
            <w:r>
              <w:rPr>
                <w:rFonts w:hint="default" w:ascii="Times New Roman" w:hAnsi="Times New Roman" w:eastAsia="宋体" w:cs="Times New Roman"/>
                <w:lang w:val="zh-CN"/>
              </w:rPr>
              <w:t>表3-2</w:t>
            </w:r>
            <w:r>
              <w:rPr>
                <w:rFonts w:hint="eastAsia" w:ascii="Times New Roman" w:hAnsi="Times New Roman" w:eastAsia="宋体" w:cs="Times New Roman"/>
                <w:lang w:val="en-US" w:eastAsia="zh-CN"/>
              </w:rPr>
              <w:t>项目区及周边区域内</w:t>
            </w:r>
            <w:r>
              <w:rPr>
                <w:rFonts w:hint="default" w:ascii="Times New Roman" w:hAnsi="Times New Roman" w:eastAsia="宋体" w:cs="Times New Roman"/>
                <w:lang w:val="zh-CN"/>
              </w:rPr>
              <w:t>植物名录</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9"/>
              <w:gridCol w:w="400"/>
              <w:gridCol w:w="1849"/>
              <w:gridCol w:w="4812"/>
              <w:gridCol w:w="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 w:type="pct"/>
                  <w:tcBorders>
                    <w:tl2br w:val="nil"/>
                    <w:tr2bl w:val="nil"/>
                  </w:tcBorders>
                  <w:noWrap w:val="0"/>
                  <w:vAlign w:val="center"/>
                </w:tcPr>
                <w:p>
                  <w:pPr>
                    <w:pStyle w:val="31"/>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科</w:t>
                  </w:r>
                </w:p>
              </w:tc>
              <w:tc>
                <w:tcPr>
                  <w:tcW w:w="254" w:type="pct"/>
                  <w:tcBorders>
                    <w:tl2br w:val="nil"/>
                    <w:tr2bl w:val="nil"/>
                  </w:tcBorders>
                  <w:noWrap w:val="0"/>
                  <w:vAlign w:val="center"/>
                </w:tcPr>
                <w:p>
                  <w:pPr>
                    <w:pStyle w:val="31"/>
                    <w:rPr>
                      <w:rFonts w:hint="default" w:ascii="Times New Roman" w:hAnsi="Times New Roman" w:eastAsia="宋体" w:cs="Times New Roman"/>
                    </w:rPr>
                  </w:pPr>
                  <w:r>
                    <w:rPr>
                      <w:rFonts w:hint="eastAsia" w:ascii="Times New Roman" w:hAnsi="Times New Roman" w:eastAsia="宋体" w:cs="Times New Roman"/>
                      <w:lang w:val="en-US" w:eastAsia="zh-CN"/>
                    </w:rPr>
                    <w:t>种</w:t>
                  </w:r>
                  <w:r>
                    <w:rPr>
                      <w:rFonts w:hint="default" w:ascii="Times New Roman" w:hAnsi="Times New Roman" w:eastAsia="宋体" w:cs="Times New Roman"/>
                    </w:rPr>
                    <w:t>名</w:t>
                  </w:r>
                </w:p>
              </w:tc>
              <w:tc>
                <w:tcPr>
                  <w:tcW w:w="1176" w:type="pct"/>
                  <w:tcBorders>
                    <w:tl2br w:val="nil"/>
                    <w:tr2bl w:val="nil"/>
                  </w:tcBorders>
                  <w:noWrap w:val="0"/>
                  <w:vAlign w:val="center"/>
                </w:tcPr>
                <w:p>
                  <w:pPr>
                    <w:pStyle w:val="31"/>
                    <w:rPr>
                      <w:rFonts w:hint="eastAsia" w:ascii="Times New Roman" w:hAnsi="Times New Roman" w:eastAsia="宋体" w:cs="Times New Roman"/>
                      <w:lang w:val="en-US" w:eastAsia="zh-CN"/>
                    </w:rPr>
                  </w:pPr>
                  <w:r>
                    <w:rPr>
                      <w:rFonts w:hint="default" w:ascii="Times New Roman" w:hAnsi="Times New Roman" w:eastAsia="宋体" w:cs="Times New Roman"/>
                    </w:rPr>
                    <w:t>学名</w:t>
                  </w:r>
                </w:p>
              </w:tc>
              <w:tc>
                <w:tcPr>
                  <w:tcW w:w="3061"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形态特征及生活习性</w:t>
                  </w:r>
                </w:p>
              </w:tc>
              <w:tc>
                <w:tcPr>
                  <w:tcW w:w="254" w:type="pct"/>
                  <w:tcBorders>
                    <w:tl2br w:val="nil"/>
                    <w:tr2bl w:val="nil"/>
                  </w:tcBorders>
                  <w:noWrap w:val="0"/>
                  <w:vAlign w:val="center"/>
                </w:tcPr>
                <w:p>
                  <w:pPr>
                    <w:pStyle w:val="31"/>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restart"/>
                  <w:tcBorders>
                    <w:tl2br w:val="nil"/>
                    <w:tr2bl w:val="nil"/>
                  </w:tcBorders>
                  <w:noWrap w:val="0"/>
                  <w:vAlign w:val="center"/>
                </w:tcPr>
                <w:p>
                  <w:pPr>
                    <w:pStyle w:val="31"/>
                    <w:rPr>
                      <w:rFonts w:hint="eastAsia" w:ascii="Times New Roman" w:hAnsi="Times New Roman" w:eastAsia="宋体" w:cs="Times New Roman"/>
                    </w:rPr>
                  </w:pPr>
                  <w:r>
                    <w:rPr>
                      <w:rFonts w:hint="eastAsia" w:ascii="Times New Roman" w:hAnsi="Times New Roman" w:eastAsia="宋体" w:cs="Times New Roman"/>
                    </w:rPr>
                    <w:t>苋科</w:t>
                  </w:r>
                </w:p>
              </w:tc>
              <w:tc>
                <w:tcPr>
                  <w:tcW w:w="254"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垫状驼绒藜</w:t>
                  </w:r>
                </w:p>
              </w:tc>
              <w:tc>
                <w:tcPr>
                  <w:tcW w:w="1176" w:type="pct"/>
                  <w:tcBorders>
                    <w:tl2br w:val="nil"/>
                    <w:tr2bl w:val="nil"/>
                  </w:tcBorders>
                  <w:noWrap w:val="0"/>
                  <w:vAlign w:val="center"/>
                </w:tcPr>
                <w:p>
                  <w:pPr>
                    <w:pStyle w:val="31"/>
                    <w:rPr>
                      <w:rFonts w:hint="eastAsia" w:ascii="Times New Roman" w:hAnsi="Times New Roman" w:eastAsia="宋体" w:cs="Times New Roman"/>
                    </w:rPr>
                  </w:pPr>
                  <w:r>
                    <w:rPr>
                      <w:rFonts w:hint="eastAsia" w:ascii="Times New Roman" w:hAnsi="Times New Roman" w:eastAsia="宋体" w:cs="Times New Roman"/>
                    </w:rPr>
                    <w:t>Krascheninnikovia</w:t>
                  </w:r>
                </w:p>
                <w:p>
                  <w:pPr>
                    <w:pStyle w:val="31"/>
                    <w:rPr>
                      <w:rFonts w:hint="eastAsia" w:ascii="Times New Roman" w:hAnsi="Times New Roman" w:eastAsia="宋体" w:cs="Times New Roman"/>
                    </w:rPr>
                  </w:pPr>
                  <w:r>
                    <w:rPr>
                      <w:rFonts w:hint="eastAsia" w:ascii="Times New Roman" w:hAnsi="Times New Roman" w:eastAsia="宋体" w:cs="Times New Roman"/>
                    </w:rPr>
                    <w:t>Compacta(Losinsk.)Grubov</w:t>
                  </w:r>
                </w:p>
              </w:tc>
              <w:tc>
                <w:tcPr>
                  <w:tcW w:w="3061" w:type="pct"/>
                  <w:tcBorders>
                    <w:tl2br w:val="nil"/>
                    <w:tr2bl w:val="nil"/>
                  </w:tcBorders>
                  <w:noWrap w:val="0"/>
                  <w:vAlign w:val="center"/>
                </w:tcPr>
                <w:p>
                  <w:pPr>
                    <w:pStyle w:val="31"/>
                    <w:rPr>
                      <w:rFonts w:hint="eastAsia" w:ascii="Times New Roman" w:hAnsi="Times New Roman" w:eastAsia="宋体" w:cs="Times New Roman"/>
                      <w:lang w:eastAsia="zh-CN"/>
                    </w:rPr>
                  </w:pPr>
                  <w:r>
                    <w:rPr>
                      <w:rFonts w:hint="default" w:ascii="Times New Roman" w:hAnsi="Times New Roman" w:eastAsia="宋体" w:cs="Times New Roman"/>
                    </w:rPr>
                    <w:t>叶小，密集，叶片椭圆形或矩圆状倒卵形；雄花序短而紧密，头状；雌花管矩圆形；果椭圆形，被毛；花果期6-8月。有明显的主根，而且有发达的侧根。根颈甚发达，分枝多，抗风沙力强。垫状驼绒藜具有较强的无性繁殖能力</w:t>
                  </w:r>
                  <w:r>
                    <w:rPr>
                      <w:rFonts w:hint="eastAsia" w:ascii="Times New Roman" w:hAnsi="Times New Roman" w:eastAsia="宋体" w:cs="Times New Roman"/>
                      <w:lang w:eastAsia="zh-CN"/>
                    </w:rPr>
                    <w:t>。</w:t>
                  </w:r>
                </w:p>
              </w:tc>
              <w:tc>
                <w:tcPr>
                  <w:tcW w:w="254" w:type="pct"/>
                  <w:tcBorders>
                    <w:tl2br w:val="nil"/>
                    <w:tr2bl w:val="nil"/>
                  </w:tcBorders>
                  <w:noWrap w:val="0"/>
                  <w:vAlign w:val="center"/>
                </w:tcPr>
                <w:p>
                  <w:pPr>
                    <w:pStyle w:val="31"/>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continue"/>
                  <w:tcBorders>
                    <w:tl2br w:val="nil"/>
                    <w:tr2bl w:val="nil"/>
                  </w:tcBorders>
                  <w:noWrap w:val="0"/>
                  <w:vAlign w:val="center"/>
                </w:tcPr>
                <w:p>
                  <w:pPr>
                    <w:pStyle w:val="31"/>
                    <w:rPr>
                      <w:rFonts w:hint="default" w:ascii="Times New Roman" w:hAnsi="Times New Roman" w:eastAsia="宋体" w:cs="Times New Roman"/>
                    </w:rPr>
                  </w:pPr>
                </w:p>
              </w:tc>
              <w:tc>
                <w:tcPr>
                  <w:tcW w:w="254"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蒿叶猪毛菜</w:t>
                  </w:r>
                </w:p>
              </w:tc>
              <w:tc>
                <w:tcPr>
                  <w:tcW w:w="1176"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Oreosalsolaabrotanoides(Bunge)Akhani</w:t>
                  </w:r>
                </w:p>
              </w:tc>
              <w:tc>
                <w:tcPr>
                  <w:tcW w:w="3061"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匍匐状半灌木，高15-40厘米；老枝灰褐色，有纵裂纹，小枝草质，密集，黄绿色，有细条棱，密生小突起。叶片半圆柱状，互生，老枝上的叶簇生于短枝的顶端，长1-2厘米，宽1-2毫米，顶端钝或有小尖，基部扩展，在扩展处的上部缢缩成柄状，叶片自缢缩处脱落。在阿尔金山，一般于4月底至5月初萌发新枝，7月初开花，8月下旬至9月上旬种子成熟，10月上旬枝条枯黄。</w:t>
                  </w:r>
                </w:p>
              </w:tc>
              <w:tc>
                <w:tcPr>
                  <w:tcW w:w="254" w:type="pct"/>
                  <w:tcBorders>
                    <w:tl2br w:val="nil"/>
                    <w:tr2bl w:val="nil"/>
                  </w:tcBorders>
                  <w:noWrap w:val="0"/>
                  <w:vAlign w:val="center"/>
                </w:tcPr>
                <w:p>
                  <w:pPr>
                    <w:pStyle w:val="31"/>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菊科</w:t>
                  </w:r>
                </w:p>
              </w:tc>
              <w:tc>
                <w:tcPr>
                  <w:tcW w:w="254"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风毛菊</w:t>
                  </w:r>
                </w:p>
              </w:tc>
              <w:tc>
                <w:tcPr>
                  <w:tcW w:w="1176"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Saussureajaponica(Thunb.)DC</w:t>
                  </w:r>
                </w:p>
              </w:tc>
              <w:tc>
                <w:tcPr>
                  <w:tcW w:w="3061"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风毛菊为二年生草本，高50-150（200）厘米。根倒圆锥状或纺锤形，黑褐色，生多数须根。茎直立，基部直径1厘米，通常无翼，极少有翼，被稀疏的短柔毛及金黄色的小腺点。</w:t>
                  </w:r>
                </w:p>
              </w:tc>
              <w:tc>
                <w:tcPr>
                  <w:tcW w:w="254" w:type="pct"/>
                  <w:tcBorders>
                    <w:tl2br w:val="nil"/>
                    <w:tr2bl w:val="nil"/>
                  </w:tcBorders>
                  <w:noWrap w:val="0"/>
                  <w:vAlign w:val="center"/>
                </w:tcPr>
                <w:p>
                  <w:pPr>
                    <w:pStyle w:val="31"/>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禾本科</w:t>
                  </w:r>
                </w:p>
              </w:tc>
              <w:tc>
                <w:tcPr>
                  <w:tcW w:w="254"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沙生针茅</w:t>
                  </w:r>
                </w:p>
              </w:tc>
              <w:tc>
                <w:tcPr>
                  <w:tcW w:w="1176"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Stipacaucasicasubsp.glareosa(P.A.Smirnov)Tzvelev</w:t>
                  </w:r>
                </w:p>
              </w:tc>
              <w:tc>
                <w:tcPr>
                  <w:tcW w:w="3061" w:type="pct"/>
                  <w:tcBorders>
                    <w:tl2br w:val="nil"/>
                    <w:tr2bl w:val="nil"/>
                  </w:tcBorders>
                  <w:noWrap w:val="0"/>
                  <w:vAlign w:val="center"/>
                </w:tcPr>
                <w:p>
                  <w:pPr>
                    <w:pStyle w:val="31"/>
                    <w:rPr>
                      <w:rFonts w:hint="default" w:ascii="Times New Roman" w:hAnsi="Times New Roman" w:eastAsia="宋体" w:cs="Times New Roman"/>
                    </w:rPr>
                  </w:pPr>
                  <w:r>
                    <w:rPr>
                      <w:rFonts w:hint="default" w:ascii="Times New Roman" w:hAnsi="Times New Roman" w:eastAsia="宋体" w:cs="Times New Roman"/>
                    </w:rPr>
                    <w:t>须根粗韧，外具砂套。针茅叶鞘具短柔毛或粗糙，高15-25厘米，具1-2节，基部宿存枯死叶鞘。叶鞘具密毛；基生与秆生叶舌短而钝圆，长约1毫米，边缘具长1-2毫米之纤毛；叶片纵卷如针，上面被短毛，下面密生剌毛，基生叶长为秆高2/3。圆锥花序常包藏于顶生叶鞘内，长约10厘米，分枝简短，仅具1小穗；颖尖披针形，先端细丝状，基部具3-5脉，长2-3.5厘米；外稃长7-9毫米，背部的毛呈条状，顶端关节处生1圈短毛，基盘尖锐，密被柔毛，芒一回膝曲扭转，芒柱长1.5厘米，具长约2毫米之柔毛，芒针长3厘米，具长约4毫米之柔毛；内稃与外稃近等长，具1脉，背部稀具短柔毛。花果期5-10月。沙生针茅喜生长于棕钙土或淡栗钙土上，质地为石质化很强的砾石质土具有很强的抗旱性能，在干旱年份也能正常生长发育，生活力很强。一般4月初返青，5月下旬到6月上旬开花，6月中、下旬种子成熟。早年不抽茎结实。沙生针茅对干旱气候具有很强的适应能力。其分布区湿润系数为0.13-0.3</w:t>
                  </w:r>
                </w:p>
              </w:tc>
              <w:tc>
                <w:tcPr>
                  <w:tcW w:w="254" w:type="pct"/>
                  <w:tcBorders>
                    <w:tl2br w:val="nil"/>
                    <w:tr2bl w:val="nil"/>
                  </w:tcBorders>
                  <w:noWrap w:val="0"/>
                  <w:vAlign w:val="center"/>
                </w:tcPr>
                <w:p>
                  <w:pPr>
                    <w:pStyle w:val="31"/>
                    <w:rPr>
                      <w:rFonts w:hint="eastAsia" w:ascii="Times New Roman" w:hAnsi="Times New Roman" w:eastAsia="宋体" w:cs="Times New Roman"/>
                      <w:lang w:val="en-US" w:eastAsia="zh-CN"/>
                    </w:rPr>
                  </w:pPr>
                </w:p>
              </w:tc>
            </w:tr>
          </w:tbl>
          <w:p>
            <w:pPr>
              <w:ind w:firstLine="480"/>
              <w:rPr>
                <w:color w:val="000000"/>
                <w:kern w:val="0"/>
              </w:rPr>
            </w:pPr>
            <w:r>
              <w:rPr>
                <w:color w:val="000000"/>
                <w:kern w:val="0"/>
              </w:rPr>
              <w:t>本项目所在区域植被稀疏，不涉及《国家重点保护野生植物名录（2021版）》、《新疆维吾尔自治区重点保护野生植物名录》（新疆维吾尔自治区林业和草原局2024-01-18发布）等名录中所列保护植物。项目区用地不涉及国家及地方公益林。本项目探矿区土地利用未涉及耕地、基本农田保护区。</w:t>
            </w:r>
          </w:p>
          <w:p>
            <w:pPr>
              <w:ind w:firstLine="482"/>
              <w:rPr>
                <w:b/>
                <w:bCs/>
              </w:rPr>
            </w:pPr>
            <w:r>
              <w:rPr>
                <w:b/>
                <w:bCs/>
              </w:rPr>
              <w:t>2.</w:t>
            </w:r>
            <w:r>
              <w:rPr>
                <w:rFonts w:hint="eastAsia"/>
                <w:b/>
                <w:bCs/>
                <w:lang w:val="en-US" w:eastAsia="zh-CN"/>
              </w:rPr>
              <w:t>5</w:t>
            </w:r>
            <w:r>
              <w:rPr>
                <w:rFonts w:hint="eastAsia"/>
                <w:b/>
                <w:bCs/>
              </w:rPr>
              <w:t>生物量损失分析</w:t>
            </w:r>
          </w:p>
          <w:p>
            <w:pPr>
              <w:ind w:firstLine="480"/>
            </w:pPr>
            <w:r>
              <w:t>从区域生态现状来看，矿山区域及周边均为荒漠，勘探工程对当地生态系统中生物物种的丰度不会产生影响，只是由于某一物种的数量减少导致各种间的相对密度变化而轻微地改变群落的异质性。植被覆盖度在</w:t>
            </w:r>
            <w:r>
              <w:rPr>
                <w:rFonts w:hint="eastAsia"/>
              </w:rPr>
              <w:t>1</w:t>
            </w:r>
            <w:r>
              <w:t>—</w:t>
            </w:r>
            <w:r>
              <w:rPr>
                <w:rFonts w:hint="eastAsia"/>
              </w:rPr>
              <w:t>5</w:t>
            </w:r>
            <w:r>
              <w:t>%之间</w:t>
            </w:r>
            <w:r>
              <w:rPr>
                <w:rFonts w:hint="eastAsia"/>
              </w:rPr>
              <w:t>，</w:t>
            </w:r>
            <w:r>
              <w:t>区域生物量损失引用《新疆荒漠草地生物量估算及影响因素研究》按每平方米损失38.92g（项目扰动用地</w:t>
            </w:r>
            <w:r>
              <w:rPr>
                <w:rFonts w:hint="eastAsia"/>
                <w:lang w:val="en-US" w:eastAsia="zh-CN"/>
              </w:rPr>
              <w:t>500</w:t>
            </w:r>
            <w:r>
              <w:t>m</w:t>
            </w:r>
            <w:r>
              <w:rPr>
                <w:vertAlign w:val="superscript"/>
              </w:rPr>
              <w:t>2</w:t>
            </w:r>
            <w:r>
              <w:t>）进行计算，本项目探矿过程仅会破坏勘探平台，造成生物量损失，矿区内部道路存在简易道路，生物损失量合计约</w:t>
            </w:r>
            <w:r>
              <w:rPr>
                <w:rFonts w:hint="eastAsia"/>
                <w:lang w:val="en-US" w:eastAsia="zh-CN"/>
              </w:rPr>
              <w:t>19.46kg</w:t>
            </w:r>
            <w:r>
              <w:t>，但随着矿山复垦工程的实施，可以在一定程度上补偿地表植被的损失。项目探矿期结束后，其所在区域的生态环境可以基本得到恢复，而且由于地方优势草类的共同生长，会发育形成良好的共栖共生环境而增加该地区的物种多样性。</w:t>
            </w:r>
          </w:p>
          <w:p>
            <w:pPr>
              <w:pStyle w:val="15"/>
              <w:ind w:firstLine="482"/>
            </w:pPr>
            <w:r>
              <w:rPr>
                <w:rFonts w:hint="eastAsia"/>
              </w:rPr>
              <w:t>2</w:t>
            </w:r>
            <w:r>
              <w:t>.</w:t>
            </w:r>
            <w:r>
              <w:rPr>
                <w:rFonts w:hint="eastAsia"/>
                <w:lang w:val="en-US" w:eastAsia="zh-CN"/>
              </w:rPr>
              <w:t>6土地沙化</w:t>
            </w:r>
            <w:r>
              <w:t>现状调查</w:t>
            </w:r>
          </w:p>
          <w:p>
            <w:pPr>
              <w:ind w:firstLine="480"/>
            </w:pPr>
            <w:r>
              <w:rPr>
                <w:rFonts w:hint="default" w:ascii="Times New Roman" w:hAnsi="Times New Roman" w:cs="Times New Roman"/>
                <w:vertAlign w:val="baseline"/>
                <w:lang w:val="en-US" w:eastAsia="zh-CN"/>
              </w:rPr>
              <w:t>土地沙化现状调查若羌县是新疆荒漠、沙化土地最多的县之一，也是风沙危害最严重的县。荒漠化区域主要分布在平原区和山区，面积占全县国土面积的一半左右。水蚀区分布在阿尔金山和昆仑山坡度大的山区和平原沙漠，项目区土地沙化的主要原因为降水稀少，植被稀疏，加之全球气候变暖，持续干旱少雨，对土地沙化起到了加剧作用。根据《新疆第六次沙化监测报告》，本项目土地类型为戈壁，不属于沙化土地，详见《附图12 项目区土地沙化现状图》。</w:t>
            </w:r>
          </w:p>
          <w:p>
            <w:pPr>
              <w:pStyle w:val="15"/>
              <w:ind w:firstLine="482"/>
            </w:pPr>
            <w:r>
              <w:rPr>
                <w:rFonts w:hint="eastAsia"/>
              </w:rPr>
              <w:t>2</w:t>
            </w:r>
            <w:r>
              <w:t>.</w:t>
            </w:r>
            <w:r>
              <w:rPr>
                <w:rFonts w:hint="eastAsia"/>
                <w:lang w:val="en-US" w:eastAsia="zh-CN"/>
              </w:rPr>
              <w:t>7</w:t>
            </w:r>
            <w:r>
              <w:t>野生动物现状调查</w:t>
            </w:r>
          </w:p>
          <w:p>
            <w:pPr>
              <w:ind w:firstLine="482"/>
              <w:rPr>
                <w:rFonts w:hint="eastAsia"/>
              </w:rPr>
            </w:pPr>
            <w:r>
              <w:rPr>
                <w:rFonts w:hint="eastAsia"/>
              </w:rPr>
              <w:t>项目区及周边由于人类活动、植被稀疏且食源匮乏，野生动物种类单一，仅分布常见鸟类和鼠类，未发现国家级或自治区级重点保护物种。根据《国家重点保护野生动物名录（2021年版）》和《新疆国家重点保护野生动物名录》（2021年），评价区内无保护动物分布，且不存在迁徙动物的临时栖息地或固定迁徙通道。</w:t>
            </w:r>
          </w:p>
          <w:p>
            <w:pPr>
              <w:ind w:firstLine="482"/>
              <w:rPr>
                <w:rFonts w:hint="eastAsia" w:eastAsia="宋体"/>
                <w:b/>
                <w:color w:val="000000"/>
                <w:kern w:val="0"/>
                <w:lang w:eastAsia="zh-CN"/>
              </w:rPr>
            </w:pPr>
            <w:r>
              <w:rPr>
                <w:b/>
                <w:color w:val="000000"/>
                <w:kern w:val="0"/>
              </w:rPr>
              <w:t>3.</w:t>
            </w:r>
            <w:r>
              <w:rPr>
                <w:rFonts w:hint="eastAsia"/>
                <w:b/>
                <w:color w:val="000000"/>
                <w:kern w:val="0"/>
              </w:rPr>
              <w:t>环境空气质量</w:t>
            </w:r>
            <w:r>
              <w:rPr>
                <w:rFonts w:hint="eastAsia"/>
                <w:b/>
                <w:color w:val="000000"/>
                <w:kern w:val="0"/>
                <w:lang w:val="en-US" w:eastAsia="zh-CN"/>
              </w:rPr>
              <w:t>现状</w:t>
            </w:r>
          </w:p>
          <w:p>
            <w:pPr>
              <w:spacing w:line="360" w:lineRule="auto"/>
              <w:ind w:firstLine="480" w:firstLineChars="200"/>
              <w:rPr>
                <w:szCs w:val="21"/>
              </w:rPr>
            </w:pPr>
            <w:r>
              <w:rPr>
                <w:rFonts w:hint="eastAsia"/>
                <w:szCs w:val="21"/>
              </w:rPr>
              <w:t>根据《环境影响评价技术导则 大气环境》（HJ2.2-2018）的要求，调查项目所在区域环境质量达标情况。根据收集到的若羌县楼兰广场环境空气质量自动监测站2024年的监测数据，若羌县2024年SO</w:t>
            </w:r>
            <w:r>
              <w:rPr>
                <w:rFonts w:hint="eastAsia"/>
                <w:szCs w:val="21"/>
                <w:vertAlign w:val="subscript"/>
              </w:rPr>
              <w:t>2</w:t>
            </w:r>
            <w:r>
              <w:rPr>
                <w:rFonts w:hint="eastAsia"/>
                <w:szCs w:val="21"/>
              </w:rPr>
              <w:t>、NO</w:t>
            </w:r>
            <w:r>
              <w:rPr>
                <w:rFonts w:hint="eastAsia"/>
                <w:szCs w:val="21"/>
                <w:vertAlign w:val="subscript"/>
              </w:rPr>
              <w:t>2</w:t>
            </w:r>
            <w:r>
              <w:rPr>
                <w:rFonts w:hint="eastAsia"/>
                <w:szCs w:val="21"/>
              </w:rPr>
              <w:t>、CO和O</w:t>
            </w:r>
            <w:r>
              <w:rPr>
                <w:rFonts w:hint="eastAsia"/>
                <w:szCs w:val="21"/>
                <w:vertAlign w:val="subscript"/>
              </w:rPr>
              <w:t>3</w:t>
            </w:r>
            <w:r>
              <w:rPr>
                <w:rFonts w:hint="eastAsia"/>
                <w:szCs w:val="21"/>
              </w:rPr>
              <w:t>的年评价指标均满足《环境空气质量标准》（GB3095-2012）的二级标准要求，PM</w:t>
            </w:r>
            <w:r>
              <w:rPr>
                <w:rFonts w:hint="eastAsia"/>
                <w:szCs w:val="21"/>
                <w:vertAlign w:val="subscript"/>
              </w:rPr>
              <w:t>10</w:t>
            </w:r>
            <w:r>
              <w:rPr>
                <w:rFonts w:hint="eastAsia"/>
                <w:szCs w:val="21"/>
              </w:rPr>
              <w:t>和PM</w:t>
            </w:r>
            <w:r>
              <w:rPr>
                <w:rFonts w:hint="eastAsia"/>
                <w:szCs w:val="21"/>
                <w:vertAlign w:val="subscript"/>
              </w:rPr>
              <w:t>2.5</w:t>
            </w:r>
            <w:r>
              <w:rPr>
                <w:rFonts w:hint="eastAsia"/>
                <w:szCs w:val="21"/>
              </w:rPr>
              <w:t>年均浓度超过《环境空气质量标准》（GB3095-2012）的二级标准要求。因此，本项目所在区域为环境空气质量不达标区。</w:t>
            </w:r>
          </w:p>
          <w:p>
            <w:pPr>
              <w:pStyle w:val="28"/>
              <w:spacing w:before="120"/>
              <w:ind w:firstLine="422"/>
              <w:rPr>
                <w:rFonts w:hint="default" w:ascii="Times New Roman" w:hAnsi="Times New Roman" w:eastAsia="宋体" w:cs="Times New Roman"/>
                <w:lang w:val="zh-CN"/>
              </w:rPr>
            </w:pPr>
            <w:r>
              <w:rPr>
                <w:rFonts w:hint="default" w:ascii="Times New Roman" w:hAnsi="Times New Roman" w:eastAsia="宋体" w:cs="Times New Roman"/>
                <w:lang w:val="zh-CN"/>
              </w:rPr>
              <w:t>表</w:t>
            </w:r>
            <w:r>
              <w:rPr>
                <w:rFonts w:hint="eastAsia" w:ascii="Times New Roman" w:hAnsi="Times New Roman" w:eastAsia="宋体" w:cs="Times New Roman"/>
                <w:lang w:val="zh-CN"/>
              </w:rPr>
              <w:t>3-</w:t>
            </w:r>
            <w:r>
              <w:rPr>
                <w:rFonts w:hint="eastAsia" w:ascii="Times New Roman" w:hAnsi="Times New Roman" w:eastAsia="宋体" w:cs="Times New Roman"/>
                <w:lang w:val="en-US" w:eastAsia="zh-CN"/>
              </w:rPr>
              <w:t>3</w:t>
            </w:r>
            <w:r>
              <w:rPr>
                <w:rFonts w:hint="eastAsia" w:ascii="Times New Roman" w:hAnsi="Times New Roman" w:eastAsia="宋体" w:cs="Times New Roman"/>
                <w:lang w:val="zh-CN"/>
              </w:rPr>
              <w:t>环境空气质量现状评价表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1118"/>
              <w:gridCol w:w="2353"/>
              <w:gridCol w:w="1356"/>
              <w:gridCol w:w="1246"/>
              <w:gridCol w:w="969"/>
              <w:gridCol w:w="81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jc w:val="center"/>
              </w:trPr>
              <w:tc>
                <w:tcPr>
                  <w:tcW w:w="711"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污染物名称</w:t>
                  </w:r>
                </w:p>
              </w:tc>
              <w:tc>
                <w:tcPr>
                  <w:tcW w:w="149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年评价指标</w:t>
                  </w:r>
                </w:p>
              </w:tc>
              <w:tc>
                <w:tcPr>
                  <w:tcW w:w="86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评价标准</w:t>
                  </w:r>
                </w:p>
                <w:p>
                  <w:pPr>
                    <w:pStyle w:val="31"/>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μ</w:t>
                  </w:r>
                  <w:r>
                    <w:rPr>
                      <w:rFonts w:hint="eastAsia" w:ascii="Times New Roman" w:hAnsi="Times New Roman" w:eastAsia="宋体" w:cs="Times New Roman"/>
                    </w:rPr>
                    <w:t>g/m</w:t>
                  </w:r>
                  <w:r>
                    <w:rPr>
                      <w:rFonts w:hint="eastAsia" w:ascii="Times New Roman" w:hAnsi="Times New Roman" w:eastAsia="宋体" w:cs="Times New Roman"/>
                      <w:vertAlign w:val="superscript"/>
                    </w:rPr>
                    <w:t>3</w:t>
                  </w:r>
                  <w:r>
                    <w:rPr>
                      <w:rFonts w:hint="eastAsia" w:ascii="Times New Roman" w:hAnsi="Times New Roman" w:eastAsia="宋体" w:cs="Times New Roman"/>
                    </w:rPr>
                    <w:t>）</w:t>
                  </w:r>
                </w:p>
              </w:tc>
              <w:tc>
                <w:tcPr>
                  <w:tcW w:w="79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现状浓度</w:t>
                  </w:r>
                </w:p>
                <w:p>
                  <w:pPr>
                    <w:pStyle w:val="31"/>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μ</w:t>
                  </w:r>
                  <w:r>
                    <w:rPr>
                      <w:rFonts w:hint="eastAsia" w:ascii="Times New Roman" w:hAnsi="Times New Roman" w:eastAsia="宋体" w:cs="Times New Roman"/>
                    </w:rPr>
                    <w:t>g/m</w:t>
                  </w:r>
                  <w:r>
                    <w:rPr>
                      <w:rFonts w:hint="eastAsia" w:ascii="Times New Roman" w:hAnsi="Times New Roman" w:eastAsia="宋体" w:cs="Times New Roman"/>
                      <w:vertAlign w:val="superscript"/>
                    </w:rPr>
                    <w:t>3</w:t>
                  </w:r>
                  <w:r>
                    <w:rPr>
                      <w:rFonts w:hint="eastAsia" w:ascii="Times New Roman" w:hAnsi="Times New Roman" w:eastAsia="宋体" w:cs="Times New Roman"/>
                    </w:rPr>
                    <w:t>）</w:t>
                  </w:r>
                </w:p>
              </w:tc>
              <w:tc>
                <w:tcPr>
                  <w:tcW w:w="61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占标率</w:t>
                  </w:r>
                </w:p>
              </w:tc>
              <w:tc>
                <w:tcPr>
                  <w:tcW w:w="520"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达标</w:t>
                  </w:r>
                </w:p>
                <w:p>
                  <w:pPr>
                    <w:pStyle w:val="31"/>
                    <w:rPr>
                      <w:rFonts w:hint="default" w:ascii="Times New Roman" w:hAnsi="Times New Roman" w:eastAsia="宋体" w:cs="Times New Roman"/>
                    </w:rPr>
                  </w:pPr>
                  <w:r>
                    <w:rPr>
                      <w:rFonts w:hint="eastAsia" w:ascii="Times New Roman" w:hAnsi="Times New Roman" w:eastAsia="宋体" w:cs="Times New Roman"/>
                    </w:rPr>
                    <w:t>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1"/>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p>
              </w:tc>
              <w:tc>
                <w:tcPr>
                  <w:tcW w:w="149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60</w:t>
                  </w:r>
                </w:p>
              </w:tc>
              <w:tc>
                <w:tcPr>
                  <w:tcW w:w="79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5.95</w:t>
                  </w:r>
                </w:p>
              </w:tc>
              <w:tc>
                <w:tcPr>
                  <w:tcW w:w="61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9.92</w:t>
                  </w:r>
                  <w:r>
                    <w:rPr>
                      <w:rFonts w:hint="default" w:ascii="Times New Roman" w:hAnsi="Times New Roman" w:eastAsia="宋体" w:cs="Times New Roman"/>
                    </w:rPr>
                    <w:t>%</w:t>
                  </w:r>
                </w:p>
              </w:tc>
              <w:tc>
                <w:tcPr>
                  <w:tcW w:w="520"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1"/>
                    <w:rPr>
                      <w:rFonts w:hint="default" w:ascii="Times New Roman" w:hAnsi="Times New Roman" w:eastAsia="宋体" w:cs="Times New Roman"/>
                    </w:rPr>
                  </w:pPr>
                  <w:r>
                    <w:rPr>
                      <w:rFonts w:hint="default" w:ascii="Times New Roman" w:hAnsi="Times New Roman" w:eastAsia="宋体" w:cs="Times New Roman"/>
                    </w:rPr>
                    <w:t>NO</w:t>
                  </w:r>
                  <w:r>
                    <w:rPr>
                      <w:rFonts w:hint="default" w:ascii="Times New Roman" w:hAnsi="Times New Roman" w:eastAsia="宋体" w:cs="Times New Roman"/>
                      <w:vertAlign w:val="subscript"/>
                    </w:rPr>
                    <w:t>2</w:t>
                  </w:r>
                </w:p>
              </w:tc>
              <w:tc>
                <w:tcPr>
                  <w:tcW w:w="149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40</w:t>
                  </w:r>
                </w:p>
              </w:tc>
              <w:tc>
                <w:tcPr>
                  <w:tcW w:w="79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8.15</w:t>
                  </w:r>
                </w:p>
              </w:tc>
              <w:tc>
                <w:tcPr>
                  <w:tcW w:w="61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20.38</w:t>
                  </w:r>
                  <w:r>
                    <w:rPr>
                      <w:rFonts w:hint="default" w:ascii="Times New Roman" w:hAnsi="Times New Roman" w:eastAsia="宋体" w:cs="Times New Roman"/>
                    </w:rPr>
                    <w:t>%</w:t>
                  </w:r>
                </w:p>
              </w:tc>
              <w:tc>
                <w:tcPr>
                  <w:tcW w:w="520"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1"/>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10</w:t>
                  </w:r>
                </w:p>
              </w:tc>
              <w:tc>
                <w:tcPr>
                  <w:tcW w:w="149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70</w:t>
                  </w:r>
                </w:p>
              </w:tc>
              <w:tc>
                <w:tcPr>
                  <w:tcW w:w="79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274.07</w:t>
                  </w:r>
                </w:p>
              </w:tc>
              <w:tc>
                <w:tcPr>
                  <w:tcW w:w="616" w:type="pct"/>
                  <w:tcBorders>
                    <w:tl2br w:val="nil"/>
                    <w:tr2bl w:val="nil"/>
                  </w:tcBorders>
                  <w:vAlign w:val="center"/>
                </w:tcPr>
                <w:p>
                  <w:pPr>
                    <w:pStyle w:val="31"/>
                    <w:rPr>
                      <w:rFonts w:hint="default" w:ascii="Times New Roman" w:hAnsi="Times New Roman" w:eastAsia="宋体" w:cs="Times New Roman"/>
                    </w:rPr>
                  </w:pPr>
                  <w:r>
                    <w:rPr>
                      <w:rFonts w:hint="default" w:ascii="Times New Roman" w:hAnsi="Times New Roman" w:eastAsia="宋体" w:cs="Times New Roman"/>
                    </w:rPr>
                    <w:t>391.53%</w:t>
                  </w:r>
                </w:p>
              </w:tc>
              <w:tc>
                <w:tcPr>
                  <w:tcW w:w="520"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超标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1"/>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2.5</w:t>
                  </w:r>
                </w:p>
              </w:tc>
              <w:tc>
                <w:tcPr>
                  <w:tcW w:w="149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35</w:t>
                  </w:r>
                </w:p>
              </w:tc>
              <w:tc>
                <w:tcPr>
                  <w:tcW w:w="79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90.64</w:t>
                  </w:r>
                </w:p>
              </w:tc>
              <w:tc>
                <w:tcPr>
                  <w:tcW w:w="616" w:type="pct"/>
                  <w:tcBorders>
                    <w:tl2br w:val="nil"/>
                    <w:tr2bl w:val="nil"/>
                  </w:tcBorders>
                  <w:vAlign w:val="center"/>
                </w:tcPr>
                <w:p>
                  <w:pPr>
                    <w:pStyle w:val="31"/>
                    <w:rPr>
                      <w:rFonts w:hint="default" w:ascii="Times New Roman" w:hAnsi="Times New Roman" w:eastAsia="宋体" w:cs="Times New Roman"/>
                    </w:rPr>
                  </w:pPr>
                  <w:r>
                    <w:rPr>
                      <w:rFonts w:hint="default" w:ascii="Times New Roman" w:hAnsi="Times New Roman" w:eastAsia="宋体" w:cs="Times New Roman"/>
                    </w:rPr>
                    <w:t>258.97%</w:t>
                  </w:r>
                </w:p>
              </w:tc>
              <w:tc>
                <w:tcPr>
                  <w:tcW w:w="520"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超标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CO</w:t>
                  </w:r>
                </w:p>
              </w:tc>
              <w:tc>
                <w:tcPr>
                  <w:tcW w:w="149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24h平均第95百分位数</w:t>
                  </w:r>
                </w:p>
              </w:tc>
              <w:tc>
                <w:tcPr>
                  <w:tcW w:w="86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4mg/m3</w:t>
                  </w:r>
                </w:p>
              </w:tc>
              <w:tc>
                <w:tcPr>
                  <w:tcW w:w="79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0.5mg/m3</w:t>
                  </w:r>
                </w:p>
              </w:tc>
              <w:tc>
                <w:tcPr>
                  <w:tcW w:w="616" w:type="pct"/>
                  <w:tcBorders>
                    <w:tl2br w:val="nil"/>
                    <w:tr2bl w:val="nil"/>
                  </w:tcBorders>
                  <w:vAlign w:val="center"/>
                </w:tcPr>
                <w:p>
                  <w:pPr>
                    <w:pStyle w:val="31"/>
                    <w:rPr>
                      <w:rFonts w:hint="default" w:ascii="Times New Roman" w:hAnsi="Times New Roman" w:eastAsia="宋体" w:cs="Times New Roman"/>
                    </w:rPr>
                  </w:pPr>
                  <w:r>
                    <w:rPr>
                      <w:rFonts w:hint="default" w:ascii="Times New Roman" w:hAnsi="Times New Roman" w:eastAsia="宋体" w:cs="Times New Roman"/>
                    </w:rPr>
                    <w:t>12.50%</w:t>
                  </w:r>
                </w:p>
              </w:tc>
              <w:tc>
                <w:tcPr>
                  <w:tcW w:w="520"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O</w:t>
                  </w:r>
                  <w:r>
                    <w:rPr>
                      <w:rFonts w:hint="eastAsia" w:ascii="Times New Roman" w:hAnsi="Times New Roman" w:eastAsia="宋体" w:cs="Times New Roman"/>
                      <w:vertAlign w:val="subscript"/>
                    </w:rPr>
                    <w:t>3</w:t>
                  </w:r>
                </w:p>
              </w:tc>
              <w:tc>
                <w:tcPr>
                  <w:tcW w:w="1496"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日最大8h滑动平均值的第90百分位数</w:t>
                  </w:r>
                </w:p>
              </w:tc>
              <w:tc>
                <w:tcPr>
                  <w:tcW w:w="86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160</w:t>
                  </w:r>
                </w:p>
              </w:tc>
              <w:tc>
                <w:tcPr>
                  <w:tcW w:w="792"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131</w:t>
                  </w:r>
                </w:p>
              </w:tc>
              <w:tc>
                <w:tcPr>
                  <w:tcW w:w="616" w:type="pct"/>
                  <w:tcBorders>
                    <w:tl2br w:val="nil"/>
                    <w:tr2bl w:val="nil"/>
                  </w:tcBorders>
                  <w:vAlign w:val="center"/>
                </w:tcPr>
                <w:p>
                  <w:pPr>
                    <w:pStyle w:val="31"/>
                    <w:rPr>
                      <w:rFonts w:hint="default" w:ascii="Times New Roman" w:hAnsi="Times New Roman" w:eastAsia="宋体" w:cs="Times New Roman"/>
                    </w:rPr>
                  </w:pPr>
                  <w:r>
                    <w:rPr>
                      <w:rFonts w:hint="default" w:ascii="Times New Roman" w:hAnsi="Times New Roman" w:eastAsia="宋体" w:cs="Times New Roman"/>
                    </w:rPr>
                    <w:t>81.88%</w:t>
                  </w:r>
                </w:p>
              </w:tc>
              <w:tc>
                <w:tcPr>
                  <w:tcW w:w="520" w:type="pct"/>
                  <w:tcBorders>
                    <w:tl2br w:val="nil"/>
                    <w:tr2bl w:val="nil"/>
                  </w:tcBorders>
                  <w:vAlign w:val="center"/>
                </w:tcPr>
                <w:p>
                  <w:pPr>
                    <w:pStyle w:val="31"/>
                    <w:rPr>
                      <w:rFonts w:hint="default" w:ascii="Times New Roman" w:hAnsi="Times New Roman" w:eastAsia="宋体" w:cs="Times New Roman"/>
                    </w:rPr>
                  </w:pPr>
                  <w:r>
                    <w:rPr>
                      <w:rFonts w:hint="eastAsia" w:ascii="Times New Roman" w:hAnsi="Times New Roman" w:eastAsia="宋体" w:cs="Times New Roman"/>
                    </w:rPr>
                    <w:t>达标</w:t>
                  </w:r>
                </w:p>
              </w:tc>
            </w:tr>
          </w:tbl>
          <w:p>
            <w:pPr>
              <w:ind w:firstLine="482"/>
              <w:rPr>
                <w:b/>
                <w:color w:val="000000"/>
                <w:kern w:val="0"/>
              </w:rPr>
            </w:pPr>
            <w:r>
              <w:rPr>
                <w:b/>
                <w:color w:val="000000"/>
                <w:kern w:val="0"/>
              </w:rPr>
              <w:t>4.</w:t>
            </w:r>
            <w:r>
              <w:rPr>
                <w:rFonts w:hint="eastAsia"/>
                <w:b/>
                <w:color w:val="000000"/>
                <w:kern w:val="0"/>
              </w:rPr>
              <w:t>声环境质量现状</w:t>
            </w:r>
          </w:p>
          <w:p>
            <w:pPr>
              <w:tabs>
                <w:tab w:val="left" w:pos="7170"/>
              </w:tabs>
              <w:snapToGrid w:val="0"/>
              <w:ind w:firstLine="480"/>
            </w:pPr>
            <w:r>
              <w:t>根据《声环境功能区划分技术规范》（GB/T15190-2014），本项目属于声环境功能区2类区域，声环境执行《声环境质量标准》（GB3096-2008）的2类声环境功能限值。</w:t>
            </w:r>
          </w:p>
          <w:p>
            <w:pPr>
              <w:tabs>
                <w:tab w:val="left" w:pos="7170"/>
              </w:tabs>
              <w:snapToGrid w:val="0"/>
              <w:ind w:firstLine="480"/>
            </w:pPr>
            <w:r>
              <w:rPr>
                <w:rFonts w:hint="eastAsia"/>
              </w:rPr>
              <w:t>项目厂界外周边5</w:t>
            </w:r>
            <w:r>
              <w:t>0</w:t>
            </w:r>
            <w:r>
              <w:rPr>
                <w:rFonts w:hint="eastAsia"/>
              </w:rPr>
              <w:t>米范围内不存在声环境保护目标，因此对项目不进行声环境监测。</w:t>
            </w:r>
          </w:p>
          <w:p>
            <w:pPr>
              <w:ind w:firstLine="482"/>
              <w:rPr>
                <w:b/>
                <w:color w:val="000000"/>
                <w:kern w:val="0"/>
              </w:rPr>
            </w:pPr>
            <w:bookmarkStart w:id="1" w:name="_Toc29722417"/>
            <w:bookmarkStart w:id="2" w:name="_Toc240865444"/>
            <w:r>
              <w:rPr>
                <w:b/>
                <w:color w:val="000000"/>
                <w:kern w:val="0"/>
              </w:rPr>
              <w:t>5.</w:t>
            </w:r>
            <w:r>
              <w:rPr>
                <w:rFonts w:hint="eastAsia"/>
                <w:b/>
                <w:color w:val="000000"/>
                <w:kern w:val="0"/>
              </w:rPr>
              <w:t>地表水环境质量现状</w:t>
            </w:r>
            <w:bookmarkEnd w:id="1"/>
          </w:p>
          <w:bookmarkEnd w:id="2"/>
          <w:p>
            <w:pPr>
              <w:widowControl/>
              <w:ind w:firstLine="480"/>
              <w:jc w:val="left"/>
              <w:rPr>
                <w:color w:val="000000"/>
                <w:kern w:val="0"/>
                <w:lang w:bidi="ar"/>
              </w:rPr>
            </w:pPr>
            <w:r>
              <w:t>根据《202</w:t>
            </w:r>
            <w:r>
              <w:rPr>
                <w:rFonts w:hint="eastAsia"/>
                <w:lang w:val="en-US" w:eastAsia="zh-CN"/>
              </w:rPr>
              <w:t>4</w:t>
            </w:r>
            <w:r>
              <w:t>巴音郭楞蒙古自治州生态环境状况公报》，</w:t>
            </w:r>
            <w:r>
              <w:rPr>
                <w:rFonts w:hint="eastAsia"/>
              </w:rPr>
              <w:t>全州地表水监测的31个考核断面(点位)中，I~Ⅲ类优良水质断面(点位)占比90.3%，无IV类水质。6条主要河流19个监测断面中I~Ⅲ类优良水质断面占100%，3个重要湖泊(水库)12个监测点位中I~Ⅲ类优良水质断面占75%，无V类水体，湖泊水质影响因子为化学需氧量。</w:t>
            </w:r>
          </w:p>
          <w:p>
            <w:pPr>
              <w:ind w:firstLine="482"/>
              <w:rPr>
                <w:color w:val="000000"/>
                <w:kern w:val="0"/>
                <w:lang w:bidi="ar"/>
              </w:rPr>
            </w:pPr>
            <w:r>
              <w:rPr>
                <w:rFonts w:hint="default" w:ascii="Times New Roman" w:hAnsi="Times New Roman" w:cs="Times New Roman"/>
                <w:color w:val="000000"/>
                <w:kern w:val="0"/>
                <w:lang w:val="en-US" w:eastAsia="zh-CN" w:bidi="ar"/>
              </w:rPr>
              <w:t>本项目</w:t>
            </w:r>
            <w:r>
              <w:rPr>
                <w:rFonts w:hint="eastAsia" w:ascii="Times New Roman" w:hAnsi="Times New Roman" w:cs="Times New Roman"/>
                <w:color w:val="000000"/>
                <w:kern w:val="0"/>
                <w:lang w:val="en-US" w:eastAsia="zh-CN" w:bidi="ar"/>
              </w:rPr>
              <w:t>南</w:t>
            </w:r>
            <w:r>
              <w:rPr>
                <w:rFonts w:hint="default" w:ascii="Times New Roman" w:hAnsi="Times New Roman" w:cs="Times New Roman"/>
                <w:color w:val="000000"/>
                <w:kern w:val="0"/>
                <w:lang w:val="en-US" w:eastAsia="zh-CN" w:bidi="ar"/>
              </w:rPr>
              <w:t>侧300m为米兰河支流-</w:t>
            </w:r>
            <w:r>
              <w:rPr>
                <w:rFonts w:hint="eastAsia" w:cs="Times New Roman"/>
                <w:color w:val="000000"/>
                <w:kern w:val="0"/>
                <w:lang w:val="en-US" w:eastAsia="zh-CN" w:bidi="ar"/>
              </w:rPr>
              <w:t>帕夏力克</w:t>
            </w:r>
            <w:r>
              <w:rPr>
                <w:rFonts w:hint="default" w:ascii="Times New Roman" w:hAnsi="Times New Roman" w:cs="Times New Roman"/>
                <w:color w:val="000000"/>
                <w:kern w:val="0"/>
                <w:lang w:val="en-US" w:eastAsia="zh-CN" w:bidi="ar"/>
              </w:rPr>
              <w:t>，</w:t>
            </w:r>
            <w:r>
              <w:rPr>
                <w:rFonts w:hint="default" w:ascii="Times New Roman" w:hAnsi="Times New Roman" w:eastAsia="Segoe UI" w:cs="Times New Roman"/>
                <w:i w:val="0"/>
                <w:iCs w:val="0"/>
                <w:caps w:val="0"/>
                <w:spacing w:val="0"/>
                <w:sz w:val="24"/>
                <w:szCs w:val="24"/>
                <w:shd w:val="clear" w:fill="FFFFFF"/>
              </w:rPr>
              <w:t>米兰河的水量相对较为稳定，其主要水源为高山冰雪融水。米兰河的水质较好，水质达到《地表水环境质量标准》（GB3838-2002）中的Ⅱ类标准</w:t>
            </w:r>
            <w:r>
              <w:rPr>
                <w:rFonts w:ascii="Segoe UI" w:hAnsi="Segoe UI" w:eastAsia="Segoe UI" w:cs="Segoe UI"/>
                <w:i w:val="0"/>
                <w:iCs w:val="0"/>
                <w:caps w:val="0"/>
                <w:spacing w:val="0"/>
                <w:sz w:val="24"/>
                <w:szCs w:val="24"/>
                <w:shd w:val="clear" w:fill="FFFFFF"/>
              </w:rPr>
              <w:t>。</w:t>
            </w:r>
            <w:r>
              <w:rPr>
                <w:color w:val="000000"/>
                <w:kern w:val="0"/>
                <w:lang w:bidi="ar"/>
              </w:rPr>
              <w:t>本项目不向周边地表水体排放废水，合理规划勘探线路和作业区域，避免穿越季节性河流及冲沟，对水体环境影响较小。</w:t>
            </w:r>
          </w:p>
          <w:p>
            <w:pPr>
              <w:ind w:firstLine="482"/>
              <w:rPr>
                <w:rFonts w:hint="default" w:eastAsia="宋体"/>
                <w:b/>
                <w:color w:val="000000"/>
                <w:kern w:val="0"/>
                <w:lang w:val="en-US" w:eastAsia="zh-CN"/>
              </w:rPr>
            </w:pPr>
            <w:r>
              <w:rPr>
                <w:rFonts w:hint="eastAsia" w:eastAsia="宋体"/>
                <w:b/>
                <w:color w:val="000000"/>
                <w:kern w:val="0"/>
                <w:lang w:val="en-US" w:eastAsia="zh-CN"/>
              </w:rPr>
              <w:t>6</w:t>
            </w:r>
            <w:r>
              <w:rPr>
                <w:rFonts w:hint="default" w:eastAsia="宋体"/>
                <w:b/>
                <w:color w:val="000000"/>
                <w:kern w:val="0"/>
                <w:lang w:val="en-US" w:eastAsia="zh-CN"/>
              </w:rPr>
              <w:t>.地下水环境质量现状</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为陆地矿产资源地质勘查项目，根据《环境影响评价技术导则－地下水环境》（HJ2.2-2016），属于附录A中：24.矿产资源地质勘查（包括勘探活动），地下水环境影响评价项目类别为Ⅳ类。因此，本项目不开展地下水环境质量现状调查评价。</w:t>
            </w:r>
          </w:p>
          <w:p>
            <w:pPr>
              <w:ind w:firstLine="482"/>
              <w:rPr>
                <w:rFonts w:hint="default" w:eastAsia="宋体"/>
                <w:b/>
                <w:color w:val="000000"/>
                <w:kern w:val="0"/>
                <w:lang w:val="en-US" w:eastAsia="zh-CN"/>
              </w:rPr>
            </w:pPr>
            <w:r>
              <w:rPr>
                <w:rFonts w:hint="eastAsia" w:eastAsia="宋体"/>
                <w:b/>
                <w:color w:val="000000"/>
                <w:kern w:val="0"/>
                <w:lang w:val="en-US" w:eastAsia="zh-CN"/>
              </w:rPr>
              <w:t>7</w:t>
            </w:r>
            <w:r>
              <w:rPr>
                <w:rFonts w:hint="default" w:eastAsia="宋体"/>
                <w:b/>
                <w:color w:val="000000"/>
                <w:kern w:val="0"/>
                <w:lang w:val="en-US" w:eastAsia="zh-CN"/>
              </w:rPr>
              <w:t>.土壤环境质量现状</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根据《环境影响评价技术导则 土壤环境》（HJ964-2018），本项目为地质勘探类项目，属于“其他行业－全部”，为Ⅳ类项目，可不开展土壤现状调查。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dxa"/>
            <w:tcMar>
              <w:left w:w="28" w:type="dxa"/>
              <w:right w:w="28" w:type="dxa"/>
            </w:tcMar>
            <w:vAlign w:val="center"/>
          </w:tcPr>
          <w:p>
            <w:pPr>
              <w:pStyle w:val="26"/>
            </w:pPr>
            <w:r>
              <w:t>与项目有关的原有</w:t>
            </w:r>
            <w:r>
              <w:rPr>
                <w:rFonts w:hint="eastAsia"/>
              </w:rPr>
              <w:t>环境</w:t>
            </w:r>
            <w:r>
              <w:t>污染</w:t>
            </w:r>
            <w:r>
              <w:rPr>
                <w:rFonts w:hint="eastAsia"/>
              </w:rPr>
              <w:t>和生态破坏</w:t>
            </w:r>
            <w:r>
              <w:t>问题</w:t>
            </w:r>
          </w:p>
        </w:tc>
        <w:tc>
          <w:tcPr>
            <w:tcW w:w="8109" w:type="dxa"/>
            <w:vAlign w:val="center"/>
          </w:tcPr>
          <w:p>
            <w:pPr>
              <w:adjustRightInd w:val="0"/>
              <w:snapToGrid w:val="0"/>
              <w:ind w:firstLine="480"/>
              <w:jc w:val="center"/>
              <w:rPr>
                <w:rFonts w:ascii="宋体" w:hAnsi="宋体" w:cs="宋体"/>
                <w:kern w:val="0"/>
                <w:szCs w:val="21"/>
              </w:rPr>
            </w:pPr>
            <w:r>
              <w:rPr>
                <w:rFonts w:hint="eastAsia"/>
                <w:lang w:val="en-US" w:eastAsia="zh-CN"/>
              </w:rPr>
              <w:t>本项目</w:t>
            </w:r>
            <w:r>
              <w:rPr>
                <w:rFonts w:hint="eastAsia" w:ascii="宋体" w:hAnsi="宋体"/>
                <w:color w:val="000000"/>
              </w:rPr>
              <w:t>属于</w:t>
            </w:r>
            <w:r>
              <w:rPr>
                <w:rFonts w:ascii="宋体" w:hAnsi="宋体"/>
                <w:color w:val="000000"/>
              </w:rPr>
              <w:t>新建</w:t>
            </w:r>
            <w:r>
              <w:rPr>
                <w:rFonts w:hint="eastAsia" w:ascii="宋体" w:hAnsi="宋体"/>
                <w:color w:val="000000"/>
              </w:rPr>
              <w:t>项目</w:t>
            </w:r>
            <w:r>
              <w:rPr>
                <w:rFonts w:ascii="宋体" w:hAnsi="宋体"/>
                <w:color w:val="000000"/>
              </w:rPr>
              <w:t>，无原有污染情况</w:t>
            </w:r>
            <w:r>
              <w:rPr>
                <w:rFonts w:hint="eastAsia"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413" w:type="dxa"/>
            <w:vAlign w:val="center"/>
          </w:tcPr>
          <w:p>
            <w:pPr>
              <w:pStyle w:val="26"/>
            </w:pPr>
            <w:r>
              <w:rPr>
                <w:rFonts w:hint="eastAsia"/>
              </w:rPr>
              <w:t>生态环境保护目标</w:t>
            </w:r>
          </w:p>
        </w:tc>
        <w:tc>
          <w:tcPr>
            <w:tcW w:w="8109" w:type="dxa"/>
            <w:vAlign w:val="center"/>
          </w:tcPr>
          <w:p>
            <w:pPr>
              <w:pStyle w:val="15"/>
              <w:ind w:firstLine="482"/>
            </w:pPr>
            <w:bookmarkStart w:id="3" w:name="_Hlk124255559"/>
            <w:r>
              <w:rPr>
                <w:rFonts w:hint="eastAsia"/>
              </w:rPr>
              <w:t>1.大气环境</w:t>
            </w:r>
          </w:p>
          <w:p>
            <w:pPr>
              <w:ind w:firstLine="480"/>
            </w:pPr>
            <w:r>
              <w:t>本项目场界外500m范围内无自然保护区、风景名胜区、居住区、文化区和农村地区中人群较集中的区域等大气环境保护目标；</w:t>
            </w:r>
          </w:p>
          <w:p>
            <w:pPr>
              <w:pStyle w:val="15"/>
              <w:ind w:firstLine="482"/>
            </w:pPr>
            <w:r>
              <w:rPr>
                <w:rFonts w:hint="eastAsia"/>
              </w:rPr>
              <w:t>2</w:t>
            </w:r>
            <w:r>
              <w:t>.</w:t>
            </w:r>
            <w:r>
              <w:rPr>
                <w:rFonts w:hint="eastAsia"/>
              </w:rPr>
              <w:t>声环境</w:t>
            </w:r>
          </w:p>
          <w:p>
            <w:pPr>
              <w:ind w:firstLine="480"/>
            </w:pPr>
            <w:r>
              <w:t>根据《环境影响评价技术导则声环境》(</w:t>
            </w:r>
            <w:r>
              <w:rPr>
                <w:rFonts w:hint="eastAsia"/>
              </w:rPr>
              <w:t>HJ2.4-2021</w:t>
            </w:r>
            <w:r>
              <w:t>)，声环境敏感目标指医院、学校、机关、科研单位、住宅、自然保护区等对噪声敏感的建筑物或区域。本项目场界外50m范围内无声环境保护目标；</w:t>
            </w:r>
          </w:p>
          <w:p>
            <w:pPr>
              <w:pStyle w:val="15"/>
              <w:ind w:firstLine="482"/>
            </w:pPr>
            <w:r>
              <w:rPr>
                <w:rFonts w:hint="eastAsia"/>
              </w:rPr>
              <w:t>3</w:t>
            </w:r>
            <w:r>
              <w:t>.</w:t>
            </w:r>
            <w:r>
              <w:rPr>
                <w:rFonts w:hint="eastAsia"/>
              </w:rPr>
              <w:t>生态环境</w:t>
            </w:r>
          </w:p>
          <w:p>
            <w:pPr>
              <w:ind w:firstLine="480"/>
              <w:outlineLvl w:val="1"/>
              <w:rPr>
                <w:color w:val="000000"/>
              </w:rPr>
            </w:pPr>
            <w:r>
              <w:rPr>
                <w:rFonts w:hint="eastAsia"/>
              </w:rPr>
              <w:t>根据现场踏勘，项目区</w:t>
            </w:r>
            <w:r>
              <w:rPr>
                <w:rFonts w:hint="eastAsia"/>
                <w:lang w:val="en-US" w:eastAsia="zh-CN"/>
              </w:rPr>
              <w:t>位于新疆若羌县东南120°方向，直线距离为100-140千米。勘查区隶属新疆巴音郭楞蒙古自治州若羌县依吞布拉克镇管辖</w:t>
            </w:r>
            <w:r>
              <w:rPr>
                <w:rFonts w:hint="eastAsia"/>
              </w:rPr>
              <w:t>，项目矿权范围内不涉及《环境影</w:t>
            </w:r>
            <w:r>
              <w:rPr>
                <w:rFonts w:hint="eastAsia"/>
                <w:color w:val="000000"/>
              </w:rPr>
              <w:t>响评价技术导则生态影响》（HJ19-2022）中规定的特殊生态敏感区、重要生态敏感区。</w:t>
            </w:r>
          </w:p>
          <w:p>
            <w:pPr>
              <w:ind w:firstLine="480"/>
              <w:outlineLvl w:val="1"/>
              <w:rPr>
                <w:rFonts w:hint="eastAsia"/>
                <w:color w:val="000000"/>
              </w:rPr>
            </w:pPr>
            <w:r>
              <w:rPr>
                <w:rFonts w:hint="eastAsia"/>
                <w:color w:val="000000"/>
              </w:rPr>
              <w:t>项目周边区域无饮用水水源保护区、国家及地方公益林、森林公园、湿地公园等生态环境敏感点，</w:t>
            </w:r>
            <w:r>
              <w:rPr>
                <w:rFonts w:hint="eastAsia"/>
                <w:color w:val="000000"/>
                <w:lang w:val="en-US" w:eastAsia="zh-CN"/>
              </w:rPr>
              <w:t>本项目紧邻阿尔金山生物多样性维护生态保护红线区</w:t>
            </w:r>
            <w:r>
              <w:rPr>
                <w:rFonts w:hint="eastAsia"/>
                <w:color w:val="000000"/>
              </w:rPr>
              <w:t>，</w:t>
            </w:r>
            <w:r>
              <w:rPr>
                <w:rFonts w:hint="eastAsia"/>
                <w:color w:val="000000"/>
                <w:lang w:val="en-US" w:eastAsia="zh-CN"/>
              </w:rPr>
              <w:t>详见《附图7项目区与生态红线位置关系图》。</w:t>
            </w:r>
            <w:r>
              <w:rPr>
                <w:rFonts w:hint="eastAsia"/>
                <w:color w:val="000000"/>
              </w:rPr>
              <w:t>本项目属于地质勘探工程，生产活动较少，采取有效的污染防治措施后对</w:t>
            </w:r>
            <w:r>
              <w:rPr>
                <w:rFonts w:hint="eastAsia"/>
                <w:color w:val="000000"/>
                <w:lang w:val="en-US" w:eastAsia="zh-CN"/>
              </w:rPr>
              <w:t>阿尔金山生物多样性维护生态保护红线区</w:t>
            </w:r>
            <w:r>
              <w:rPr>
                <w:rFonts w:hint="eastAsia"/>
                <w:color w:val="000000"/>
              </w:rPr>
              <w:t>基本无影响。</w:t>
            </w:r>
          </w:p>
          <w:p>
            <w:pPr>
              <w:ind w:firstLine="480"/>
              <w:outlineLvl w:val="1"/>
              <w:rPr>
                <w:rFonts w:hint="eastAsia"/>
                <w:color w:val="000000"/>
                <w:lang w:val="en-US" w:eastAsia="zh-CN"/>
              </w:rPr>
            </w:pPr>
            <w:r>
              <w:rPr>
                <w:rFonts w:hint="eastAsia"/>
                <w:color w:val="000000"/>
                <w:lang w:val="en-US" w:eastAsia="zh-CN"/>
              </w:rPr>
              <w:t>一、紧邻生态保护红线时防止施工人员误入的措施</w:t>
            </w:r>
          </w:p>
          <w:p>
            <w:pPr>
              <w:ind w:firstLine="480"/>
              <w:outlineLvl w:val="1"/>
              <w:rPr>
                <w:rFonts w:hint="eastAsia"/>
                <w:color w:val="000000"/>
                <w:lang w:val="en-US" w:eastAsia="zh-CN"/>
              </w:rPr>
            </w:pPr>
            <w:r>
              <w:rPr>
                <w:rFonts w:hint="eastAsia"/>
                <w:color w:val="000000"/>
                <w:lang w:val="en-US" w:eastAsia="zh-CN"/>
              </w:rPr>
              <w:t>1.精准划界与物理隔离</w:t>
            </w:r>
          </w:p>
          <w:p>
            <w:pPr>
              <w:ind w:firstLine="480"/>
              <w:outlineLvl w:val="1"/>
              <w:rPr>
                <w:rFonts w:hint="eastAsia"/>
                <w:color w:val="000000"/>
                <w:lang w:val="en-US" w:eastAsia="zh-CN"/>
              </w:rPr>
            </w:pPr>
            <w:r>
              <w:rPr>
                <w:rFonts w:hint="eastAsia"/>
                <w:color w:val="000000"/>
                <w:lang w:val="en-US" w:eastAsia="zh-CN"/>
              </w:rPr>
              <w:t>委托专业机构测绘红线边界，设置连续的警示带、界桩（标注“生态保护红线禁止进入”）及警示牌（明确法律责任），形成可视化隔离带。划定红线外5-10米的“缓冲警戒区”，严禁非必要进入，仅允许生态巡查人员进入。</w:t>
            </w:r>
          </w:p>
          <w:p>
            <w:pPr>
              <w:ind w:firstLine="480"/>
              <w:outlineLvl w:val="1"/>
              <w:rPr>
                <w:rFonts w:hint="eastAsia"/>
                <w:color w:val="000000"/>
                <w:lang w:val="en-US" w:eastAsia="zh-CN"/>
              </w:rPr>
            </w:pPr>
            <w:r>
              <w:rPr>
                <w:rFonts w:hint="eastAsia"/>
                <w:color w:val="000000"/>
                <w:lang w:val="en-US" w:eastAsia="zh-CN"/>
              </w:rPr>
              <w:t>2.人员管控与技术预警</w:t>
            </w:r>
          </w:p>
          <w:p>
            <w:pPr>
              <w:ind w:firstLine="480"/>
              <w:outlineLvl w:val="1"/>
              <w:rPr>
                <w:rFonts w:hint="eastAsia"/>
                <w:color w:val="000000"/>
                <w:lang w:val="en-US" w:eastAsia="zh-CN"/>
              </w:rPr>
            </w:pPr>
            <w:r>
              <w:rPr>
                <w:rFonts w:hint="eastAsia"/>
                <w:color w:val="000000"/>
                <w:lang w:val="en-US" w:eastAsia="zh-CN"/>
              </w:rPr>
              <w:t>岗前培训：明确红线范围、法规后果，通过现场指认、案例警示强化认知。</w:t>
            </w:r>
          </w:p>
          <w:p>
            <w:pPr>
              <w:ind w:firstLine="480"/>
              <w:outlineLvl w:val="1"/>
              <w:rPr>
                <w:rFonts w:hint="eastAsia"/>
                <w:color w:val="000000"/>
                <w:lang w:val="en-US" w:eastAsia="zh-CN"/>
              </w:rPr>
            </w:pPr>
            <w:r>
              <w:rPr>
                <w:rFonts w:hint="eastAsia"/>
                <w:color w:val="000000"/>
                <w:lang w:val="en-US" w:eastAsia="zh-CN"/>
              </w:rPr>
              <w:t>实时监控：为施工人员配备GPS定位设备。</w:t>
            </w:r>
          </w:p>
          <w:p>
            <w:pPr>
              <w:ind w:firstLine="480"/>
              <w:outlineLvl w:val="1"/>
              <w:rPr>
                <w:rFonts w:hint="eastAsia"/>
                <w:color w:val="000000"/>
                <w:lang w:val="en-US" w:eastAsia="zh-CN"/>
              </w:rPr>
            </w:pPr>
            <w:r>
              <w:rPr>
                <w:rFonts w:hint="eastAsia"/>
                <w:color w:val="000000"/>
                <w:lang w:val="en-US" w:eastAsia="zh-CN"/>
              </w:rPr>
              <w:t>3.流程与巡查机制</w:t>
            </w:r>
          </w:p>
          <w:p>
            <w:pPr>
              <w:ind w:firstLine="480"/>
              <w:outlineLvl w:val="1"/>
              <w:rPr>
                <w:rFonts w:hint="eastAsia"/>
                <w:color w:val="000000"/>
              </w:rPr>
            </w:pPr>
            <w:r>
              <w:rPr>
                <w:rFonts w:hint="eastAsia"/>
                <w:color w:val="000000"/>
                <w:lang w:val="en-US" w:eastAsia="zh-CN"/>
              </w:rPr>
              <w:t>勘探路线、作业点提前报备，避开红线及缓冲警戒区。安排专人每2小时巡查边界，核对标识完整性，制止违规行为并记录。</w:t>
            </w:r>
          </w:p>
          <w:p>
            <w:pPr>
              <w:pStyle w:val="15"/>
              <w:ind w:firstLine="482"/>
              <w:rPr>
                <w:rFonts w:hint="eastAsia"/>
                <w:color w:val="000000"/>
              </w:rPr>
            </w:pPr>
            <w:r>
              <w:rPr>
                <w:rFonts w:hint="eastAsia" w:ascii="Times New Roman" w:hAnsi="Times New Roman" w:eastAsia="宋体" w:cs="Times New Roman"/>
                <w:lang w:val="en-US" w:eastAsia="zh-CN"/>
              </w:rPr>
              <w:t>4.水环境</w:t>
            </w:r>
          </w:p>
          <w:p>
            <w:pPr>
              <w:ind w:firstLine="480"/>
              <w:outlineLvl w:val="1"/>
              <w:rPr>
                <w:color w:val="000000"/>
              </w:rPr>
            </w:pPr>
            <w:r>
              <w:rPr>
                <w:rFonts w:hint="eastAsia"/>
                <w:color w:val="000000"/>
              </w:rPr>
              <w:t>距离本项目最近水体为</w:t>
            </w:r>
            <w:r>
              <w:rPr>
                <w:rFonts w:hint="eastAsia"/>
              </w:rPr>
              <w:t>本项目探矿区</w:t>
            </w:r>
            <w:r>
              <w:rPr>
                <w:rFonts w:hint="eastAsia"/>
                <w:lang w:val="en-US" w:eastAsia="zh-CN"/>
              </w:rPr>
              <w:t>南</w:t>
            </w:r>
            <w:r>
              <w:rPr>
                <w:rFonts w:hint="eastAsia"/>
              </w:rPr>
              <w:t>侧</w:t>
            </w:r>
            <w:r>
              <w:rPr>
                <w:rFonts w:hint="eastAsia"/>
                <w:lang w:val="en-US" w:eastAsia="zh-CN"/>
              </w:rPr>
              <w:t>300</w:t>
            </w:r>
            <w:r>
              <w:rPr>
                <w:rFonts w:hint="eastAsia"/>
              </w:rPr>
              <w:t>m处的</w:t>
            </w:r>
            <w:r>
              <w:rPr>
                <w:rFonts w:hint="eastAsia"/>
                <w:lang w:val="en-US" w:eastAsia="zh-CN"/>
              </w:rPr>
              <w:t>帕夏力克</w:t>
            </w:r>
            <w:r>
              <w:rPr>
                <w:rFonts w:hint="eastAsia"/>
              </w:rPr>
              <w:t>，</w:t>
            </w:r>
            <w:r>
              <w:rPr>
                <w:rFonts w:hint="eastAsia"/>
                <w:color w:val="000000"/>
              </w:rPr>
              <w:t>主要保护目标为项目探矿期间周边的生态环境质量维持现有水平。</w:t>
            </w:r>
            <w:bookmarkEnd w:id="3"/>
          </w:p>
          <w:p>
            <w:pPr>
              <w:pStyle w:val="24"/>
              <w:ind w:firstLine="480"/>
              <w:rPr>
                <w:color w:val="auto"/>
                <w:kern w:val="2"/>
                <w:sz w:val="24"/>
                <w:szCs w:val="24"/>
                <w:lang w:val="en-US"/>
              </w:rPr>
            </w:pPr>
            <w:r>
              <w:rPr>
                <w:rFonts w:hint="eastAsia"/>
                <w:color w:val="auto"/>
                <w:kern w:val="2"/>
                <w:sz w:val="24"/>
                <w:szCs w:val="24"/>
                <w:lang w:val="en-US"/>
              </w:rPr>
              <w:t>具体环境保护目标及保护级别详见表3-</w:t>
            </w:r>
            <w:r>
              <w:rPr>
                <w:rFonts w:hint="eastAsia"/>
                <w:color w:val="auto"/>
                <w:kern w:val="2"/>
                <w:sz w:val="24"/>
                <w:szCs w:val="24"/>
                <w:lang w:val="en-US" w:eastAsia="zh-CN"/>
              </w:rPr>
              <w:t>3</w:t>
            </w:r>
            <w:r>
              <w:rPr>
                <w:rFonts w:hint="eastAsia"/>
                <w:color w:val="auto"/>
                <w:kern w:val="2"/>
                <w:sz w:val="24"/>
                <w:szCs w:val="24"/>
                <w:lang w:val="en-US"/>
              </w:rPr>
              <w:t>，本项目探矿区与最近水体距离和</w:t>
            </w:r>
            <w:r>
              <w:rPr>
                <w:rFonts w:hint="eastAsia"/>
                <w:color w:val="auto"/>
                <w:kern w:val="2"/>
                <w:sz w:val="24"/>
                <w:szCs w:val="24"/>
                <w:lang w:val="en-US" w:eastAsia="zh-CN"/>
              </w:rPr>
              <w:t>阿尔金山生物多样性维护生态保护红线区</w:t>
            </w:r>
            <w:r>
              <w:rPr>
                <w:rFonts w:hint="eastAsia"/>
                <w:color w:val="auto"/>
                <w:kern w:val="2"/>
                <w:sz w:val="24"/>
                <w:szCs w:val="24"/>
                <w:lang w:val="en-US"/>
              </w:rPr>
              <w:t>距离详见《附图</w:t>
            </w:r>
            <w:r>
              <w:rPr>
                <w:rFonts w:hint="eastAsia"/>
                <w:color w:val="auto"/>
                <w:kern w:val="2"/>
                <w:sz w:val="24"/>
                <w:szCs w:val="24"/>
                <w:lang w:val="en-US" w:eastAsia="zh-CN"/>
              </w:rPr>
              <w:t>4</w:t>
            </w:r>
            <w:r>
              <w:rPr>
                <w:rFonts w:hint="eastAsia"/>
                <w:color w:val="auto"/>
                <w:kern w:val="2"/>
                <w:sz w:val="24"/>
                <w:szCs w:val="24"/>
                <w:lang w:val="en-US"/>
              </w:rPr>
              <w:t>项目周边关系图》。</w:t>
            </w:r>
          </w:p>
          <w:p>
            <w:pPr>
              <w:pStyle w:val="28"/>
              <w:spacing w:before="120"/>
              <w:ind w:firstLine="422"/>
              <w:rPr>
                <w:lang w:val="zh-CN"/>
              </w:rPr>
            </w:pPr>
            <w:r>
              <w:rPr>
                <w:lang w:val="zh-CN"/>
              </w:rPr>
              <w:t>表</w:t>
            </w:r>
            <w:r>
              <w:rPr>
                <w:rFonts w:hint="eastAsia"/>
              </w:rPr>
              <w:t>3-</w:t>
            </w:r>
            <w:r>
              <w:rPr>
                <w:rFonts w:hint="eastAsia"/>
                <w:lang w:val="en-US" w:eastAsia="zh-CN"/>
              </w:rPr>
              <w:t>3</w:t>
            </w:r>
            <w:r>
              <w:rPr>
                <w:lang w:val="zh-CN"/>
              </w:rPr>
              <w:t>环境保护目标及保护级别一览表</w:t>
            </w:r>
          </w:p>
          <w:tbl>
            <w:tblPr>
              <w:tblStyle w:val="19"/>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55"/>
              <w:gridCol w:w="796"/>
              <w:gridCol w:w="711"/>
              <w:gridCol w:w="1111"/>
              <w:gridCol w:w="33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1180" w:type="pct"/>
                  <w:vAlign w:val="center"/>
                </w:tcPr>
                <w:p>
                  <w:pPr>
                    <w:pStyle w:val="31"/>
                  </w:pPr>
                  <w:r>
                    <w:t>环境保护目标</w:t>
                  </w:r>
                </w:p>
              </w:tc>
              <w:tc>
                <w:tcPr>
                  <w:tcW w:w="506" w:type="pct"/>
                  <w:vAlign w:val="center"/>
                </w:tcPr>
                <w:p>
                  <w:pPr>
                    <w:pStyle w:val="31"/>
                  </w:pPr>
                  <w:r>
                    <w:t>距离(m)</w:t>
                  </w:r>
                </w:p>
              </w:tc>
              <w:tc>
                <w:tcPr>
                  <w:tcW w:w="452" w:type="pct"/>
                  <w:vAlign w:val="center"/>
                </w:tcPr>
                <w:p>
                  <w:pPr>
                    <w:pStyle w:val="31"/>
                  </w:pPr>
                  <w:r>
                    <w:t>方位</w:t>
                  </w:r>
                </w:p>
              </w:tc>
              <w:tc>
                <w:tcPr>
                  <w:tcW w:w="706" w:type="pct"/>
                  <w:vAlign w:val="center"/>
                </w:tcPr>
                <w:p>
                  <w:pPr>
                    <w:pStyle w:val="31"/>
                  </w:pPr>
                  <w:r>
                    <w:t>保护对象</w:t>
                  </w:r>
                </w:p>
              </w:tc>
              <w:tc>
                <w:tcPr>
                  <w:tcW w:w="2153" w:type="pct"/>
                  <w:vAlign w:val="center"/>
                </w:tcPr>
                <w:p>
                  <w:pPr>
                    <w:pStyle w:val="31"/>
                  </w:pPr>
                  <w:r>
                    <w:t>保护级别</w:t>
                  </w:r>
                  <w:r>
                    <w:rPr>
                      <w:rFonts w:hint="eastAsia"/>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180" w:type="pct"/>
                  <w:vAlign w:val="center"/>
                </w:tcPr>
                <w:p>
                  <w:pPr>
                    <w:pStyle w:val="31"/>
                  </w:pPr>
                  <w:r>
                    <w:rPr>
                      <w:rFonts w:hint="eastAsia"/>
                      <w:lang w:val="en-US" w:eastAsia="zh-CN"/>
                    </w:rPr>
                    <w:t>帕夏力克</w:t>
                  </w:r>
                </w:p>
              </w:tc>
              <w:tc>
                <w:tcPr>
                  <w:tcW w:w="506" w:type="pct"/>
                  <w:vAlign w:val="center"/>
                </w:tcPr>
                <w:p>
                  <w:pPr>
                    <w:pStyle w:val="31"/>
                    <w:rPr>
                      <w:rFonts w:hint="default"/>
                      <w:lang w:val="en-US"/>
                    </w:rPr>
                  </w:pPr>
                  <w:r>
                    <w:rPr>
                      <w:rFonts w:hint="eastAsia"/>
                      <w:lang w:val="en-US" w:eastAsia="zh-CN"/>
                    </w:rPr>
                    <w:t>300m</w:t>
                  </w:r>
                </w:p>
              </w:tc>
              <w:tc>
                <w:tcPr>
                  <w:tcW w:w="452" w:type="pct"/>
                  <w:vAlign w:val="center"/>
                </w:tcPr>
                <w:p>
                  <w:pPr>
                    <w:pStyle w:val="31"/>
                  </w:pPr>
                  <w:r>
                    <w:rPr>
                      <w:rFonts w:hint="eastAsia"/>
                      <w:lang w:val="en-US" w:eastAsia="zh-CN"/>
                    </w:rPr>
                    <w:t>南</w:t>
                  </w:r>
                  <w:r>
                    <w:rPr>
                      <w:rFonts w:hint="eastAsia"/>
                    </w:rPr>
                    <w:t>侧</w:t>
                  </w:r>
                </w:p>
              </w:tc>
              <w:tc>
                <w:tcPr>
                  <w:tcW w:w="706" w:type="pct"/>
                  <w:vAlign w:val="center"/>
                </w:tcPr>
                <w:p>
                  <w:pPr>
                    <w:pStyle w:val="31"/>
                  </w:pPr>
                  <w:r>
                    <w:rPr>
                      <w:rFonts w:hint="eastAsia"/>
                    </w:rPr>
                    <w:t>地表水</w:t>
                  </w:r>
                </w:p>
              </w:tc>
              <w:tc>
                <w:tcPr>
                  <w:tcW w:w="2153" w:type="pct"/>
                  <w:vAlign w:val="center"/>
                </w:tcPr>
                <w:p>
                  <w:pPr>
                    <w:pStyle w:val="31"/>
                  </w:pPr>
                  <w:r>
                    <w:t>《地表水环境质量标准》（GB3838-2002）Ⅱ类水质标准</w:t>
                  </w:r>
                </w:p>
              </w:tc>
            </w:tr>
          </w:tbl>
          <w:p>
            <w:pPr>
              <w:ind w:firstLine="480"/>
              <w:outlineLvl w:val="1"/>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13" w:type="dxa"/>
            <w:vAlign w:val="center"/>
          </w:tcPr>
          <w:p>
            <w:pPr>
              <w:pStyle w:val="26"/>
            </w:pPr>
            <w:r>
              <w:rPr>
                <w:rFonts w:hint="eastAsia"/>
              </w:rPr>
              <w:t>评价标准</w:t>
            </w:r>
          </w:p>
        </w:tc>
        <w:tc>
          <w:tcPr>
            <w:tcW w:w="8109" w:type="dxa"/>
            <w:vAlign w:val="center"/>
          </w:tcPr>
          <w:p>
            <w:pPr>
              <w:ind w:firstLine="482"/>
              <w:textAlignment w:val="center"/>
              <w:rPr>
                <w:b/>
                <w:bCs/>
                <w:color w:val="000000"/>
              </w:rPr>
            </w:pPr>
            <w:r>
              <w:rPr>
                <w:rFonts w:hint="eastAsia"/>
                <w:b/>
                <w:bCs/>
                <w:color w:val="000000"/>
              </w:rPr>
              <w:t>1、环境质量标准</w:t>
            </w:r>
          </w:p>
          <w:p>
            <w:pPr>
              <w:ind w:firstLine="482"/>
              <w:textAlignment w:val="center"/>
              <w:rPr>
                <w:b/>
                <w:bCs/>
                <w:color w:val="000000"/>
              </w:rPr>
            </w:pPr>
            <w:r>
              <w:rPr>
                <w:b/>
                <w:bCs/>
                <w:color w:val="000000"/>
              </w:rPr>
              <w:t>1.1环境空气</w:t>
            </w:r>
          </w:p>
          <w:p>
            <w:pPr>
              <w:ind w:firstLine="480"/>
              <w:textAlignment w:val="center"/>
            </w:pPr>
            <w:r>
              <w:rPr>
                <w:color w:val="000000"/>
                <w:szCs w:val="22"/>
              </w:rPr>
              <w:t>环境空气质量执行《环境空气质量标准》（GB3095-2012）中的二级标准</w:t>
            </w:r>
            <w:r>
              <w:rPr>
                <w:bCs/>
                <w:color w:val="000000"/>
                <w:szCs w:val="22"/>
              </w:rPr>
              <w:t>。</w:t>
            </w:r>
          </w:p>
          <w:p>
            <w:pPr>
              <w:ind w:firstLine="482"/>
              <w:textAlignment w:val="center"/>
              <w:rPr>
                <w:b/>
                <w:bCs/>
                <w:color w:val="000000"/>
              </w:rPr>
            </w:pPr>
            <w:r>
              <w:rPr>
                <w:rFonts w:hint="eastAsia"/>
                <w:b/>
                <w:bCs/>
                <w:color w:val="000000"/>
              </w:rPr>
              <w:t>1</w:t>
            </w:r>
            <w:r>
              <w:rPr>
                <w:b/>
                <w:bCs/>
                <w:color w:val="000000"/>
              </w:rPr>
              <w:t>.2声环境</w:t>
            </w:r>
          </w:p>
          <w:p>
            <w:pPr>
              <w:snapToGrid w:val="0"/>
              <w:ind w:firstLine="480"/>
              <w:rPr>
                <w:color w:val="000000"/>
                <w:szCs w:val="22"/>
              </w:rPr>
            </w:pPr>
            <w:r>
              <w:rPr>
                <w:color w:val="000000"/>
                <w:szCs w:val="22"/>
              </w:rPr>
              <w:t>项目区声环境质量执行《声环境质量标准》（GB3096-2008）2类标准，即昼间≤60dB(A)，夜间≤50dB(A)。</w:t>
            </w:r>
          </w:p>
          <w:p>
            <w:pPr>
              <w:pStyle w:val="24"/>
              <w:ind w:firstLine="482"/>
              <w:rPr>
                <w:b/>
                <w:bCs/>
                <w:kern w:val="2"/>
                <w:sz w:val="24"/>
                <w:szCs w:val="24"/>
                <w:lang w:val="en-US"/>
              </w:rPr>
            </w:pPr>
            <w:r>
              <w:rPr>
                <w:rFonts w:hint="eastAsia"/>
                <w:b/>
                <w:bCs/>
                <w:kern w:val="2"/>
                <w:sz w:val="24"/>
                <w:szCs w:val="24"/>
                <w:lang w:val="en-US"/>
              </w:rPr>
              <w:t>1.3地表水</w:t>
            </w:r>
          </w:p>
          <w:p>
            <w:pPr>
              <w:pStyle w:val="12"/>
              <w:ind w:left="0" w:firstLine="480" w:firstLineChars="200"/>
              <w:rPr>
                <w:color w:val="000000"/>
              </w:rPr>
            </w:pPr>
            <w:r>
              <w:rPr>
                <w:color w:val="000000"/>
              </w:rPr>
              <w:t>项目最近的地表水体为</w:t>
            </w:r>
            <w:r>
              <w:rPr>
                <w:rFonts w:hint="eastAsia"/>
                <w:color w:val="000000"/>
                <w:lang w:val="en-US" w:eastAsia="zh-CN"/>
              </w:rPr>
              <w:t>位于</w:t>
            </w:r>
            <w:r>
              <w:rPr>
                <w:rFonts w:hint="eastAsia"/>
                <w:color w:val="000000"/>
              </w:rPr>
              <w:t>项目区南侧300m的</w:t>
            </w:r>
            <w:r>
              <w:rPr>
                <w:rFonts w:hint="eastAsia"/>
                <w:color w:val="000000"/>
                <w:lang w:val="en-US" w:eastAsia="zh-CN"/>
              </w:rPr>
              <w:t>米兰河支流—</w:t>
            </w:r>
            <w:r>
              <w:rPr>
                <w:rFonts w:hint="eastAsia"/>
                <w:lang w:eastAsia="zh-CN"/>
              </w:rPr>
              <w:t>帕夏力克。</w:t>
            </w:r>
            <w:r>
              <w:rPr>
                <w:rFonts w:hint="eastAsia"/>
                <w:lang w:val="en-US" w:eastAsia="zh-CN"/>
              </w:rPr>
              <w:t>根据《新疆水环境功能区划》，米兰河全河段功能区类型为自然保护区，执行地表水环境Ⅰ、Ⅱ类标准。另</w:t>
            </w:r>
            <w:r>
              <w:t>据《2023巴音郭楞蒙古自治州生态环境状况公报》</w:t>
            </w:r>
            <w:r>
              <w:rPr>
                <w:rFonts w:hint="eastAsia"/>
                <w:lang w:eastAsia="zh-CN"/>
              </w:rPr>
              <w:t>帕夏力克</w:t>
            </w:r>
            <w:r>
              <w:rPr>
                <w:color w:val="000000"/>
              </w:rPr>
              <w:t>水环境质量执行《地表水环境质量标准》（GB3838-2002）</w:t>
            </w:r>
            <w:r>
              <w:t>Ⅱ</w:t>
            </w:r>
            <w:r>
              <w:rPr>
                <w:color w:val="000000"/>
              </w:rPr>
              <w:t>类水质标准。</w:t>
            </w:r>
          </w:p>
          <w:p>
            <w:pPr>
              <w:pStyle w:val="28"/>
              <w:spacing w:before="120"/>
              <w:ind w:firstLine="422"/>
            </w:pPr>
            <w:r>
              <w:rPr>
                <w:rFonts w:hint="eastAsia"/>
              </w:rPr>
              <w:t>表3-</w:t>
            </w:r>
            <w:r>
              <w:rPr>
                <w:rFonts w:hint="eastAsia"/>
                <w:lang w:val="en-US" w:eastAsia="zh-CN"/>
              </w:rPr>
              <w:t>4</w:t>
            </w:r>
            <w:r>
              <w:rPr>
                <w:rFonts w:hint="eastAsia"/>
              </w:rPr>
              <w:t>地表水环境质量标准</w:t>
            </w:r>
          </w:p>
          <w:tbl>
            <w:tblPr>
              <w:tblStyle w:val="19"/>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55"/>
              <w:gridCol w:w="2532"/>
              <w:gridCol w:w="1052"/>
              <w:gridCol w:w="24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180" w:type="pct"/>
                  <w:vAlign w:val="center"/>
                </w:tcPr>
                <w:p>
                  <w:pPr>
                    <w:pStyle w:val="31"/>
                  </w:pPr>
                  <w:r>
                    <w:rPr>
                      <w:rFonts w:hint="eastAsia"/>
                    </w:rPr>
                    <w:t>标准名称及代号</w:t>
                  </w:r>
                </w:p>
              </w:tc>
              <w:tc>
                <w:tcPr>
                  <w:tcW w:w="1610" w:type="pct"/>
                  <w:vAlign w:val="center"/>
                </w:tcPr>
                <w:p>
                  <w:pPr>
                    <w:pStyle w:val="31"/>
                  </w:pPr>
                  <w:r>
                    <w:rPr>
                      <w:rFonts w:hint="eastAsia"/>
                    </w:rPr>
                    <w:t>污染物名称</w:t>
                  </w:r>
                </w:p>
              </w:tc>
              <w:tc>
                <w:tcPr>
                  <w:tcW w:w="669" w:type="pct"/>
                  <w:vAlign w:val="center"/>
                </w:tcPr>
                <w:p>
                  <w:pPr>
                    <w:pStyle w:val="31"/>
                  </w:pPr>
                  <w:r>
                    <w:rPr>
                      <w:rFonts w:hint="eastAsia"/>
                    </w:rPr>
                    <w:t>单位</w:t>
                  </w:r>
                </w:p>
              </w:tc>
              <w:tc>
                <w:tcPr>
                  <w:tcW w:w="1540" w:type="pct"/>
                  <w:vAlign w:val="center"/>
                </w:tcPr>
                <w:p>
                  <w:pPr>
                    <w:pStyle w:val="31"/>
                  </w:pPr>
                  <w:r>
                    <w:rPr>
                      <w:rFonts w:hint="eastAsia"/>
                    </w:rPr>
                    <w:t>标准限值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restart"/>
                  <w:vAlign w:val="center"/>
                </w:tcPr>
                <w:p>
                  <w:pPr>
                    <w:pStyle w:val="31"/>
                  </w:pPr>
                  <w:r>
                    <w:t>《地表水环境质量标准》（GB3838-2002）Ⅱ类水质标准</w:t>
                  </w:r>
                </w:p>
              </w:tc>
              <w:tc>
                <w:tcPr>
                  <w:tcW w:w="1610" w:type="pct"/>
                  <w:vAlign w:val="center"/>
                </w:tcPr>
                <w:p>
                  <w:pPr>
                    <w:pStyle w:val="31"/>
                  </w:pPr>
                  <w:r>
                    <w:rPr>
                      <w:rFonts w:hint="eastAsia"/>
                    </w:rPr>
                    <w:t>pH值</w:t>
                  </w:r>
                </w:p>
              </w:tc>
              <w:tc>
                <w:tcPr>
                  <w:tcW w:w="669" w:type="pct"/>
                  <w:vAlign w:val="center"/>
                </w:tcPr>
                <w:p>
                  <w:pPr>
                    <w:pStyle w:val="31"/>
                  </w:pPr>
                  <w:r>
                    <w:rPr>
                      <w:rFonts w:hint="eastAsia"/>
                    </w:rPr>
                    <w:t>无量纲</w:t>
                  </w:r>
                </w:p>
              </w:tc>
              <w:tc>
                <w:tcPr>
                  <w:tcW w:w="1540" w:type="pct"/>
                  <w:vAlign w:val="center"/>
                </w:tcPr>
                <w:p>
                  <w:pPr>
                    <w:pStyle w:val="31"/>
                    <w:tabs>
                      <w:tab w:val="left" w:pos="582"/>
                      <w:tab w:val="center" w:pos="1033"/>
                    </w:tabs>
                  </w:pPr>
                  <w:r>
                    <w:rPr>
                      <w:rFonts w:hint="eastAsia"/>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1"/>
                  </w:pPr>
                </w:p>
              </w:tc>
              <w:tc>
                <w:tcPr>
                  <w:tcW w:w="1610" w:type="pct"/>
                  <w:vAlign w:val="center"/>
                </w:tcPr>
                <w:p>
                  <w:pPr>
                    <w:pStyle w:val="31"/>
                  </w:pPr>
                  <w:r>
                    <w:rPr>
                      <w:rFonts w:hint="eastAsia"/>
                    </w:rPr>
                    <w:t>溶解氧</w:t>
                  </w:r>
                </w:p>
              </w:tc>
              <w:tc>
                <w:tcPr>
                  <w:tcW w:w="669" w:type="pct"/>
                  <w:vMerge w:val="restart"/>
                  <w:vAlign w:val="center"/>
                </w:tcPr>
                <w:p>
                  <w:pPr>
                    <w:pStyle w:val="31"/>
                  </w:pPr>
                  <w:r>
                    <w:rPr>
                      <w:rFonts w:hint="eastAsia"/>
                    </w:rPr>
                    <w:t>m</w:t>
                  </w:r>
                  <w:r>
                    <w:t>g/</w:t>
                  </w:r>
                  <w:r>
                    <w:rPr>
                      <w:rFonts w:hint="eastAsia"/>
                    </w:rPr>
                    <w:t>L</w:t>
                  </w:r>
                </w:p>
              </w:tc>
              <w:tc>
                <w:tcPr>
                  <w:tcW w:w="1540" w:type="pct"/>
                  <w:vAlign w:val="center"/>
                </w:tcPr>
                <w:p>
                  <w:pPr>
                    <w:pStyle w:val="31"/>
                    <w:rPr>
                      <w:rFonts w:hint="eastAsia" w:eastAsia="宋体"/>
                      <w:lang w:eastAsia="zh-CN"/>
                    </w:rPr>
                  </w:pPr>
                  <w:r>
                    <w:t>≥</w:t>
                  </w:r>
                  <w:r>
                    <w:rPr>
                      <w:rFonts w:hint="eastAsia"/>
                      <w:lang w:val="en-US" w:eastAsia="zh-CN"/>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1"/>
                  </w:pPr>
                </w:p>
              </w:tc>
              <w:tc>
                <w:tcPr>
                  <w:tcW w:w="1610" w:type="pct"/>
                  <w:vAlign w:val="center"/>
                </w:tcPr>
                <w:p>
                  <w:pPr>
                    <w:pStyle w:val="31"/>
                  </w:pPr>
                  <w:r>
                    <w:rPr>
                      <w:rFonts w:hint="eastAsia"/>
                    </w:rPr>
                    <w:t>高锰酸盐指数</w:t>
                  </w:r>
                </w:p>
              </w:tc>
              <w:tc>
                <w:tcPr>
                  <w:tcW w:w="669" w:type="pct"/>
                  <w:vMerge w:val="continue"/>
                  <w:vAlign w:val="center"/>
                </w:tcPr>
                <w:p>
                  <w:pPr>
                    <w:pStyle w:val="31"/>
                  </w:pPr>
                </w:p>
              </w:tc>
              <w:tc>
                <w:tcPr>
                  <w:tcW w:w="1540" w:type="pct"/>
                  <w:vAlign w:val="center"/>
                </w:tcPr>
                <w:p>
                  <w:pPr>
                    <w:pStyle w:val="31"/>
                    <w:rPr>
                      <w:rFonts w:hint="eastAsia" w:eastAsia="宋体"/>
                      <w:lang w:eastAsia="zh-CN"/>
                    </w:rPr>
                  </w:pPr>
                  <w:r>
                    <w:t>≤</w:t>
                  </w:r>
                  <w:r>
                    <w:rPr>
                      <w:rFonts w:hint="eastAsia"/>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1"/>
                  </w:pPr>
                </w:p>
              </w:tc>
              <w:tc>
                <w:tcPr>
                  <w:tcW w:w="1610" w:type="pct"/>
                  <w:vAlign w:val="center"/>
                </w:tcPr>
                <w:p>
                  <w:pPr>
                    <w:pStyle w:val="31"/>
                  </w:pPr>
                  <w:r>
                    <w:rPr>
                      <w:rFonts w:hint="eastAsia"/>
                    </w:rPr>
                    <w:t>COD</w:t>
                  </w:r>
                </w:p>
              </w:tc>
              <w:tc>
                <w:tcPr>
                  <w:tcW w:w="669" w:type="pct"/>
                  <w:vMerge w:val="continue"/>
                  <w:vAlign w:val="center"/>
                </w:tcPr>
                <w:p>
                  <w:pPr>
                    <w:pStyle w:val="31"/>
                  </w:pPr>
                </w:p>
              </w:tc>
              <w:tc>
                <w:tcPr>
                  <w:tcW w:w="1540" w:type="pct"/>
                  <w:vAlign w:val="center"/>
                </w:tcPr>
                <w:p>
                  <w:pPr>
                    <w:pStyle w:val="31"/>
                  </w:pPr>
                  <w:r>
                    <w:t>≤</w:t>
                  </w:r>
                  <w:r>
                    <w:rPr>
                      <w:rFonts w:hint="eastAsia"/>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1"/>
                  </w:pPr>
                </w:p>
              </w:tc>
              <w:tc>
                <w:tcPr>
                  <w:tcW w:w="1610" w:type="pct"/>
                  <w:vAlign w:val="center"/>
                </w:tcPr>
                <w:p>
                  <w:pPr>
                    <w:pStyle w:val="31"/>
                  </w:pPr>
                  <w:r>
                    <w:rPr>
                      <w:rFonts w:hint="eastAsia"/>
                    </w:rPr>
                    <w:t>BOD</w:t>
                  </w:r>
                  <w:r>
                    <w:rPr>
                      <w:rFonts w:hint="eastAsia"/>
                      <w:vertAlign w:val="subscript"/>
                    </w:rPr>
                    <w:t>5</w:t>
                  </w:r>
                </w:p>
              </w:tc>
              <w:tc>
                <w:tcPr>
                  <w:tcW w:w="669" w:type="pct"/>
                  <w:vMerge w:val="continue"/>
                  <w:vAlign w:val="center"/>
                </w:tcPr>
                <w:p>
                  <w:pPr>
                    <w:pStyle w:val="31"/>
                  </w:pPr>
                </w:p>
              </w:tc>
              <w:tc>
                <w:tcPr>
                  <w:tcW w:w="1540" w:type="pct"/>
                  <w:vAlign w:val="center"/>
                </w:tcPr>
                <w:p>
                  <w:pPr>
                    <w:pStyle w:val="31"/>
                  </w:pPr>
                  <w:r>
                    <w:t>≤</w:t>
                  </w:r>
                  <w:r>
                    <w:rPr>
                      <w:rFonts w:hint="eastAsia"/>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1"/>
                  </w:pPr>
                </w:p>
              </w:tc>
              <w:tc>
                <w:tcPr>
                  <w:tcW w:w="1610" w:type="pct"/>
                  <w:vAlign w:val="center"/>
                </w:tcPr>
                <w:p>
                  <w:pPr>
                    <w:pStyle w:val="31"/>
                  </w:pPr>
                  <w:r>
                    <w:rPr>
                      <w:rFonts w:hint="eastAsia"/>
                    </w:rPr>
                    <w:t>氨氮</w:t>
                  </w:r>
                </w:p>
              </w:tc>
              <w:tc>
                <w:tcPr>
                  <w:tcW w:w="669" w:type="pct"/>
                  <w:vMerge w:val="continue"/>
                  <w:vAlign w:val="center"/>
                </w:tcPr>
                <w:p>
                  <w:pPr>
                    <w:pStyle w:val="31"/>
                  </w:pPr>
                </w:p>
              </w:tc>
              <w:tc>
                <w:tcPr>
                  <w:tcW w:w="1540" w:type="pct"/>
                  <w:vAlign w:val="center"/>
                </w:tcPr>
                <w:p>
                  <w:pPr>
                    <w:pStyle w:val="31"/>
                  </w:pPr>
                  <w:r>
                    <w:t>≤</w:t>
                  </w:r>
                  <w:r>
                    <w:rPr>
                      <w:rFonts w:hint="eastAsia"/>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80" w:type="pct"/>
                  <w:vMerge w:val="continue"/>
                  <w:vAlign w:val="center"/>
                </w:tcPr>
                <w:p>
                  <w:pPr>
                    <w:pStyle w:val="31"/>
                  </w:pPr>
                </w:p>
              </w:tc>
              <w:tc>
                <w:tcPr>
                  <w:tcW w:w="1610" w:type="pct"/>
                  <w:vAlign w:val="center"/>
                </w:tcPr>
                <w:p>
                  <w:pPr>
                    <w:pStyle w:val="31"/>
                  </w:pPr>
                  <w:r>
                    <w:rPr>
                      <w:rFonts w:hint="eastAsia"/>
                    </w:rPr>
                    <w:t>总磷</w:t>
                  </w:r>
                </w:p>
              </w:tc>
              <w:tc>
                <w:tcPr>
                  <w:tcW w:w="669" w:type="pct"/>
                  <w:vMerge w:val="continue"/>
                  <w:vAlign w:val="center"/>
                </w:tcPr>
                <w:p>
                  <w:pPr>
                    <w:pStyle w:val="31"/>
                  </w:pPr>
                </w:p>
              </w:tc>
              <w:tc>
                <w:tcPr>
                  <w:tcW w:w="1540" w:type="pct"/>
                  <w:vAlign w:val="center"/>
                </w:tcPr>
                <w:p>
                  <w:pPr>
                    <w:pStyle w:val="31"/>
                    <w:rPr>
                      <w:rFonts w:hint="eastAsia" w:eastAsia="宋体"/>
                      <w:lang w:val="en-US" w:eastAsia="zh-CN"/>
                    </w:rPr>
                  </w:pPr>
                  <w:r>
                    <w:t>≤</w:t>
                  </w:r>
                  <w:r>
                    <w:rPr>
                      <w:rFonts w:hint="eastAsia"/>
                    </w:rPr>
                    <w:t>0.</w:t>
                  </w:r>
                  <w:r>
                    <w:rPr>
                      <w:rFonts w:hint="eastAsia"/>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80" w:type="pct"/>
                  <w:vMerge w:val="continue"/>
                  <w:vAlign w:val="center"/>
                </w:tcPr>
                <w:p>
                  <w:pPr>
                    <w:pStyle w:val="31"/>
                  </w:pPr>
                </w:p>
              </w:tc>
              <w:tc>
                <w:tcPr>
                  <w:tcW w:w="1610" w:type="pct"/>
                  <w:vAlign w:val="center"/>
                </w:tcPr>
                <w:p>
                  <w:pPr>
                    <w:pStyle w:val="31"/>
                  </w:pPr>
                  <w:r>
                    <w:rPr>
                      <w:rFonts w:hint="eastAsia"/>
                    </w:rPr>
                    <w:t>总氮</w:t>
                  </w:r>
                </w:p>
              </w:tc>
              <w:tc>
                <w:tcPr>
                  <w:tcW w:w="669" w:type="pct"/>
                  <w:vMerge w:val="continue"/>
                  <w:vAlign w:val="center"/>
                </w:tcPr>
                <w:p>
                  <w:pPr>
                    <w:pStyle w:val="31"/>
                  </w:pPr>
                </w:p>
              </w:tc>
              <w:tc>
                <w:tcPr>
                  <w:tcW w:w="1540" w:type="pct"/>
                  <w:vAlign w:val="center"/>
                </w:tcPr>
                <w:p>
                  <w:pPr>
                    <w:pStyle w:val="31"/>
                    <w:rPr>
                      <w:rFonts w:hint="eastAsia" w:eastAsia="宋体"/>
                      <w:lang w:eastAsia="zh-CN"/>
                    </w:rPr>
                  </w:pPr>
                  <w:r>
                    <w:t>≤</w:t>
                  </w:r>
                  <w:r>
                    <w:rPr>
                      <w:rFonts w:hint="eastAsia"/>
                    </w:rPr>
                    <w:t>0.</w:t>
                  </w:r>
                  <w:r>
                    <w:rPr>
                      <w:rFonts w:hint="eastAsia"/>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铜</w:t>
                  </w:r>
                </w:p>
              </w:tc>
              <w:tc>
                <w:tcPr>
                  <w:tcW w:w="669" w:type="pct"/>
                  <w:vMerge w:val="continue"/>
                  <w:vAlign w:val="center"/>
                </w:tcPr>
                <w:p>
                  <w:pPr>
                    <w:pStyle w:val="31"/>
                  </w:pPr>
                </w:p>
              </w:tc>
              <w:tc>
                <w:tcPr>
                  <w:tcW w:w="1540" w:type="pct"/>
                  <w:vAlign w:val="center"/>
                </w:tcPr>
                <w:p>
                  <w:pPr>
                    <w:pStyle w:val="31"/>
                    <w:rPr>
                      <w:rFonts w:hint="default" w:eastAsia="宋体"/>
                      <w:lang w:val="en-US" w:eastAsia="zh-CN"/>
                    </w:rPr>
                  </w:pPr>
                  <w:r>
                    <w:t>≤</w:t>
                  </w:r>
                  <w:r>
                    <w:rPr>
                      <w:rFonts w:hint="eastAsia"/>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锌</w:t>
                  </w:r>
                </w:p>
              </w:tc>
              <w:tc>
                <w:tcPr>
                  <w:tcW w:w="669" w:type="pct"/>
                  <w:vMerge w:val="continue"/>
                  <w:vAlign w:val="center"/>
                </w:tcPr>
                <w:p>
                  <w:pPr>
                    <w:pStyle w:val="31"/>
                  </w:pPr>
                </w:p>
              </w:tc>
              <w:tc>
                <w:tcPr>
                  <w:tcW w:w="1540" w:type="pct"/>
                  <w:vAlign w:val="center"/>
                </w:tcPr>
                <w:p>
                  <w:pPr>
                    <w:pStyle w:val="31"/>
                    <w:rPr>
                      <w:rFonts w:hint="default" w:eastAsia="宋体"/>
                      <w:lang w:val="en-US" w:eastAsia="zh-CN"/>
                    </w:rPr>
                  </w:pPr>
                  <w:r>
                    <w:t>≤</w:t>
                  </w:r>
                  <w:r>
                    <w:rPr>
                      <w:rFonts w:hint="eastAsia"/>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氟化物</w:t>
                  </w:r>
                </w:p>
              </w:tc>
              <w:tc>
                <w:tcPr>
                  <w:tcW w:w="669" w:type="pct"/>
                  <w:vMerge w:val="continue"/>
                  <w:vAlign w:val="center"/>
                </w:tcPr>
                <w:p>
                  <w:pPr>
                    <w:pStyle w:val="31"/>
                  </w:pPr>
                </w:p>
              </w:tc>
              <w:tc>
                <w:tcPr>
                  <w:tcW w:w="1540" w:type="pct"/>
                  <w:vAlign w:val="center"/>
                </w:tcPr>
                <w:p>
                  <w:pPr>
                    <w:pStyle w:val="31"/>
                  </w:pPr>
                  <w:r>
                    <w:t>≤</w:t>
                  </w:r>
                  <w:r>
                    <w:rPr>
                      <w:rFonts w:hint="eastAsi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硒</w:t>
                  </w:r>
                </w:p>
              </w:tc>
              <w:tc>
                <w:tcPr>
                  <w:tcW w:w="669" w:type="pct"/>
                  <w:vMerge w:val="continue"/>
                  <w:vAlign w:val="center"/>
                </w:tcPr>
                <w:p>
                  <w:pPr>
                    <w:pStyle w:val="31"/>
                  </w:pPr>
                </w:p>
              </w:tc>
              <w:tc>
                <w:tcPr>
                  <w:tcW w:w="1540" w:type="pct"/>
                  <w:vAlign w:val="center"/>
                </w:tcPr>
                <w:p>
                  <w:pPr>
                    <w:pStyle w:val="31"/>
                  </w:pPr>
                  <w:r>
                    <w:t>≤</w:t>
                  </w:r>
                  <w:r>
                    <w:rPr>
                      <w:rFonts w:hint="eastAsia"/>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砷</w:t>
                  </w:r>
                </w:p>
              </w:tc>
              <w:tc>
                <w:tcPr>
                  <w:tcW w:w="669" w:type="pct"/>
                  <w:vMerge w:val="continue"/>
                  <w:vAlign w:val="center"/>
                </w:tcPr>
                <w:p>
                  <w:pPr>
                    <w:pStyle w:val="31"/>
                  </w:pPr>
                </w:p>
              </w:tc>
              <w:tc>
                <w:tcPr>
                  <w:tcW w:w="1540" w:type="pct"/>
                  <w:vAlign w:val="center"/>
                </w:tcPr>
                <w:p>
                  <w:pPr>
                    <w:pStyle w:val="31"/>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汞</w:t>
                  </w:r>
                </w:p>
              </w:tc>
              <w:tc>
                <w:tcPr>
                  <w:tcW w:w="669" w:type="pct"/>
                  <w:vMerge w:val="continue"/>
                  <w:vAlign w:val="center"/>
                </w:tcPr>
                <w:p>
                  <w:pPr>
                    <w:pStyle w:val="31"/>
                  </w:pPr>
                </w:p>
              </w:tc>
              <w:tc>
                <w:tcPr>
                  <w:tcW w:w="1540" w:type="pct"/>
                  <w:vAlign w:val="center"/>
                </w:tcPr>
                <w:p>
                  <w:pPr>
                    <w:pStyle w:val="31"/>
                  </w:pPr>
                  <w:r>
                    <w:t>≤</w:t>
                  </w:r>
                  <w:r>
                    <w:rPr>
                      <w:rFonts w:hint="eastAsia"/>
                    </w:rPr>
                    <w:t>0.00005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镉</w:t>
                  </w:r>
                </w:p>
              </w:tc>
              <w:tc>
                <w:tcPr>
                  <w:tcW w:w="669" w:type="pct"/>
                  <w:vMerge w:val="continue"/>
                  <w:vAlign w:val="center"/>
                </w:tcPr>
                <w:p>
                  <w:pPr>
                    <w:pStyle w:val="31"/>
                  </w:pPr>
                </w:p>
              </w:tc>
              <w:tc>
                <w:tcPr>
                  <w:tcW w:w="1540" w:type="pct"/>
                  <w:vAlign w:val="center"/>
                </w:tcPr>
                <w:p>
                  <w:pPr>
                    <w:pStyle w:val="31"/>
                    <w:rPr>
                      <w:rFonts w:hint="eastAsia" w:eastAsia="宋体"/>
                      <w:lang w:val="en-US" w:eastAsia="zh-CN"/>
                    </w:rPr>
                  </w:pPr>
                  <w:r>
                    <w:t>≤</w:t>
                  </w:r>
                  <w:r>
                    <w:rPr>
                      <w:rFonts w:hint="eastAsia"/>
                    </w:rPr>
                    <w:t>0.00</w:t>
                  </w:r>
                  <w:r>
                    <w:rPr>
                      <w:rFonts w:hint="eastAsia"/>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铬（六价）</w:t>
                  </w:r>
                </w:p>
              </w:tc>
              <w:tc>
                <w:tcPr>
                  <w:tcW w:w="669" w:type="pct"/>
                  <w:vMerge w:val="continue"/>
                  <w:vAlign w:val="center"/>
                </w:tcPr>
                <w:p>
                  <w:pPr>
                    <w:pStyle w:val="31"/>
                  </w:pPr>
                </w:p>
              </w:tc>
              <w:tc>
                <w:tcPr>
                  <w:tcW w:w="1540" w:type="pct"/>
                  <w:vAlign w:val="center"/>
                </w:tcPr>
                <w:p>
                  <w:pPr>
                    <w:pStyle w:val="31"/>
                    <w:rPr>
                      <w:rFonts w:hint="eastAsia" w:eastAsia="宋体"/>
                      <w:lang w:val="en-US" w:eastAsia="zh-CN"/>
                    </w:rPr>
                  </w:pPr>
                  <w:r>
                    <w:t>≤</w:t>
                  </w:r>
                  <w:r>
                    <w:rPr>
                      <w:rFonts w:hint="eastAsia"/>
                    </w:rPr>
                    <w:t>0.0</w:t>
                  </w:r>
                  <w:r>
                    <w:rPr>
                      <w:rFonts w:hint="eastAsia"/>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铅</w:t>
                  </w:r>
                </w:p>
              </w:tc>
              <w:tc>
                <w:tcPr>
                  <w:tcW w:w="669" w:type="pct"/>
                  <w:vMerge w:val="continue"/>
                  <w:vAlign w:val="center"/>
                </w:tcPr>
                <w:p>
                  <w:pPr>
                    <w:pStyle w:val="31"/>
                  </w:pPr>
                </w:p>
              </w:tc>
              <w:tc>
                <w:tcPr>
                  <w:tcW w:w="1540" w:type="pct"/>
                  <w:vAlign w:val="center"/>
                </w:tcPr>
                <w:p>
                  <w:pPr>
                    <w:pStyle w:val="31"/>
                    <w:rPr>
                      <w:rFonts w:hint="eastAsia" w:eastAsia="宋体"/>
                      <w:lang w:val="en-US" w:eastAsia="zh-CN"/>
                    </w:rPr>
                  </w:pPr>
                  <w:r>
                    <w:t>≤</w:t>
                  </w:r>
                  <w:r>
                    <w:rPr>
                      <w:rFonts w:hint="eastAsia"/>
                    </w:rPr>
                    <w:t>0.0</w:t>
                  </w:r>
                  <w:r>
                    <w:rPr>
                      <w:rFonts w:hint="eastAsia"/>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氰化物</w:t>
                  </w:r>
                </w:p>
              </w:tc>
              <w:tc>
                <w:tcPr>
                  <w:tcW w:w="669" w:type="pct"/>
                  <w:vMerge w:val="continue"/>
                  <w:vAlign w:val="center"/>
                </w:tcPr>
                <w:p>
                  <w:pPr>
                    <w:pStyle w:val="31"/>
                  </w:pPr>
                </w:p>
              </w:tc>
              <w:tc>
                <w:tcPr>
                  <w:tcW w:w="1540" w:type="pct"/>
                  <w:vAlign w:val="center"/>
                </w:tcPr>
                <w:p>
                  <w:pPr>
                    <w:pStyle w:val="31"/>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挥发酚</w:t>
                  </w:r>
                </w:p>
              </w:tc>
              <w:tc>
                <w:tcPr>
                  <w:tcW w:w="669" w:type="pct"/>
                  <w:vMerge w:val="continue"/>
                  <w:vAlign w:val="center"/>
                </w:tcPr>
                <w:p>
                  <w:pPr>
                    <w:pStyle w:val="31"/>
                  </w:pPr>
                </w:p>
              </w:tc>
              <w:tc>
                <w:tcPr>
                  <w:tcW w:w="1540" w:type="pct"/>
                  <w:vAlign w:val="center"/>
                </w:tcPr>
                <w:p>
                  <w:pPr>
                    <w:pStyle w:val="31"/>
                  </w:pPr>
                  <w:r>
                    <w:t>≤</w:t>
                  </w:r>
                  <w:r>
                    <w:rPr>
                      <w:rFonts w:hint="eastAsia"/>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石油类</w:t>
                  </w:r>
                </w:p>
              </w:tc>
              <w:tc>
                <w:tcPr>
                  <w:tcW w:w="669" w:type="pct"/>
                  <w:vMerge w:val="continue"/>
                  <w:vAlign w:val="center"/>
                </w:tcPr>
                <w:p>
                  <w:pPr>
                    <w:pStyle w:val="31"/>
                  </w:pPr>
                </w:p>
              </w:tc>
              <w:tc>
                <w:tcPr>
                  <w:tcW w:w="1540" w:type="pct"/>
                  <w:vAlign w:val="center"/>
                </w:tcPr>
                <w:p>
                  <w:pPr>
                    <w:pStyle w:val="31"/>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阴离子表面活性剂</w:t>
                  </w:r>
                </w:p>
              </w:tc>
              <w:tc>
                <w:tcPr>
                  <w:tcW w:w="669" w:type="pct"/>
                  <w:vMerge w:val="continue"/>
                  <w:vAlign w:val="center"/>
                </w:tcPr>
                <w:p>
                  <w:pPr>
                    <w:pStyle w:val="31"/>
                  </w:pPr>
                </w:p>
              </w:tc>
              <w:tc>
                <w:tcPr>
                  <w:tcW w:w="1540" w:type="pct"/>
                  <w:vAlign w:val="center"/>
                </w:tcPr>
                <w:p>
                  <w:pPr>
                    <w:pStyle w:val="31"/>
                  </w:pPr>
                  <w:r>
                    <w:t>≤</w:t>
                  </w:r>
                  <w:r>
                    <w:rPr>
                      <w:rFonts w:hint="eastAsia"/>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硫化物</w:t>
                  </w:r>
                </w:p>
              </w:tc>
              <w:tc>
                <w:tcPr>
                  <w:tcW w:w="669" w:type="pct"/>
                  <w:vMerge w:val="continue"/>
                  <w:vAlign w:val="center"/>
                </w:tcPr>
                <w:p>
                  <w:pPr>
                    <w:pStyle w:val="31"/>
                  </w:pPr>
                </w:p>
              </w:tc>
              <w:tc>
                <w:tcPr>
                  <w:tcW w:w="1540" w:type="pct"/>
                  <w:vAlign w:val="center"/>
                </w:tcPr>
                <w:p>
                  <w:pPr>
                    <w:pStyle w:val="31"/>
                    <w:rPr>
                      <w:rFonts w:hint="eastAsia" w:eastAsia="宋体"/>
                      <w:lang w:val="en-US" w:eastAsia="zh-CN"/>
                    </w:rPr>
                  </w:pPr>
                  <w:r>
                    <w:t>≤</w:t>
                  </w:r>
                  <w:r>
                    <w:rPr>
                      <w:rFonts w:hint="eastAsia"/>
                    </w:rPr>
                    <w:t>0.</w:t>
                  </w:r>
                  <w:r>
                    <w:rPr>
                      <w:rFonts w:hint="eastAsia"/>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1"/>
                  </w:pPr>
                </w:p>
              </w:tc>
              <w:tc>
                <w:tcPr>
                  <w:tcW w:w="1610" w:type="pct"/>
                  <w:vAlign w:val="center"/>
                </w:tcPr>
                <w:p>
                  <w:pPr>
                    <w:pStyle w:val="31"/>
                  </w:pPr>
                  <w:r>
                    <w:rPr>
                      <w:rFonts w:hint="eastAsia"/>
                    </w:rPr>
                    <w:t>粪大肠菌群</w:t>
                  </w:r>
                </w:p>
              </w:tc>
              <w:tc>
                <w:tcPr>
                  <w:tcW w:w="669" w:type="pct"/>
                  <w:vAlign w:val="center"/>
                </w:tcPr>
                <w:p>
                  <w:pPr>
                    <w:pStyle w:val="31"/>
                  </w:pPr>
                  <w:r>
                    <w:rPr>
                      <w:rFonts w:hint="eastAsia"/>
                    </w:rPr>
                    <w:t>个/L</w:t>
                  </w:r>
                </w:p>
              </w:tc>
              <w:tc>
                <w:tcPr>
                  <w:tcW w:w="1540" w:type="pct"/>
                  <w:vAlign w:val="center"/>
                </w:tcPr>
                <w:p>
                  <w:pPr>
                    <w:pStyle w:val="31"/>
                    <w:rPr>
                      <w:rFonts w:hint="eastAsia" w:eastAsia="宋体"/>
                      <w:lang w:val="en-US" w:eastAsia="zh-CN"/>
                    </w:rPr>
                  </w:pPr>
                  <w:r>
                    <w:t>≤</w:t>
                  </w:r>
                  <w:r>
                    <w:rPr>
                      <w:rFonts w:hint="eastAsia"/>
                    </w:rPr>
                    <w:t>200</w:t>
                  </w:r>
                  <w:r>
                    <w:rPr>
                      <w:rFonts w:hint="eastAsia"/>
                      <w:lang w:val="en-US" w:eastAsia="zh-CN"/>
                    </w:rPr>
                    <w:t>0</w:t>
                  </w:r>
                </w:p>
              </w:tc>
            </w:tr>
          </w:tbl>
          <w:p>
            <w:pPr>
              <w:snapToGrid w:val="0"/>
              <w:ind w:firstLine="482"/>
              <w:rPr>
                <w:b/>
                <w:bCs/>
              </w:rPr>
            </w:pPr>
            <w:r>
              <w:rPr>
                <w:b/>
                <w:bCs/>
              </w:rPr>
              <w:t>2</w:t>
            </w:r>
            <w:r>
              <w:rPr>
                <w:rFonts w:hint="eastAsia"/>
                <w:b/>
                <w:bCs/>
              </w:rPr>
              <w:t>、污染物排放标准</w:t>
            </w:r>
          </w:p>
          <w:p>
            <w:pPr>
              <w:ind w:firstLine="482"/>
            </w:pPr>
            <w:r>
              <w:rPr>
                <w:rFonts w:hint="eastAsia"/>
                <w:b/>
                <w:bCs/>
              </w:rPr>
              <w:t>2</w:t>
            </w:r>
            <w:r>
              <w:rPr>
                <w:b/>
                <w:bCs/>
              </w:rPr>
              <w:t>.1废气</w:t>
            </w:r>
          </w:p>
          <w:p>
            <w:pPr>
              <w:snapToGrid w:val="0"/>
              <w:ind w:firstLine="480"/>
            </w:pPr>
            <w:r>
              <w:rPr>
                <w:rFonts w:hint="eastAsia"/>
              </w:rPr>
              <w:t>施工扬尘</w:t>
            </w:r>
            <w:r>
              <w:t>执行《大气污染物综合排放标准》（GB16297-</w:t>
            </w:r>
            <w:r>
              <w:rPr>
                <w:rFonts w:hint="eastAsia"/>
              </w:rPr>
              <w:t>19</w:t>
            </w:r>
            <w:r>
              <w:t>96）</w:t>
            </w:r>
            <w:r>
              <w:rPr>
                <w:rFonts w:hint="eastAsia"/>
              </w:rPr>
              <w:t>中无组织排放监控浓度限值，</w:t>
            </w:r>
            <w:r>
              <w:t>详见表</w:t>
            </w:r>
            <w:r>
              <w:rPr>
                <w:rFonts w:hint="eastAsia"/>
              </w:rPr>
              <w:t>3-5</w:t>
            </w:r>
            <w:r>
              <w:t>。</w:t>
            </w:r>
          </w:p>
          <w:p>
            <w:pPr>
              <w:pStyle w:val="28"/>
              <w:spacing w:before="120"/>
              <w:ind w:firstLine="480"/>
              <w:rPr>
                <w:vertAlign w:val="superscript"/>
              </w:rPr>
            </w:pPr>
            <w:r>
              <w:t>表3-</w:t>
            </w:r>
            <w:r>
              <w:rPr>
                <w:rFonts w:hint="eastAsia"/>
              </w:rPr>
              <w:t>5</w:t>
            </w:r>
            <w:r>
              <w:t>大气污染物综合排放标准</w:t>
            </w:r>
            <w:r>
              <w:rPr>
                <w:rFonts w:hint="eastAsia"/>
              </w:rPr>
              <w:t>（摘录）</w:t>
            </w:r>
            <w:r>
              <w:t>单位：mg/m</w:t>
            </w:r>
            <w:r>
              <w:rPr>
                <w:vertAlign w:val="superscript"/>
              </w:rPr>
              <w:t>3</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2198"/>
              <w:gridCol w:w="43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6"/>
                    <w:jc w:val="center"/>
                  </w:pPr>
                  <w:r>
                    <w:rPr>
                      <w:rFonts w:hint="eastAsia"/>
                    </w:rPr>
                    <w:t>序号</w:t>
                  </w:r>
                </w:p>
              </w:tc>
              <w:tc>
                <w:tcPr>
                  <w:tcW w:w="1398" w:type="pct"/>
                  <w:vAlign w:val="center"/>
                </w:tcPr>
                <w:p>
                  <w:pPr>
                    <w:pStyle w:val="26"/>
                    <w:ind w:firstLine="480"/>
                    <w:jc w:val="center"/>
                  </w:pPr>
                  <w:r>
                    <w:rPr>
                      <w:rFonts w:hint="eastAsia"/>
                    </w:rPr>
                    <w:t>污染物</w:t>
                  </w:r>
                </w:p>
              </w:tc>
              <w:tc>
                <w:tcPr>
                  <w:tcW w:w="2797" w:type="pct"/>
                  <w:vAlign w:val="center"/>
                </w:tcPr>
                <w:p>
                  <w:pPr>
                    <w:pStyle w:val="26"/>
                    <w:jc w:val="center"/>
                  </w:pPr>
                  <w:r>
                    <w:rPr>
                      <w:rFonts w:hint="eastAsia"/>
                    </w:rPr>
                    <w:t>无组织排放监控浓度限值（</w:t>
                  </w:r>
                  <w:r>
                    <w:t>mg/m</w:t>
                  </w:r>
                  <w:r>
                    <w:rPr>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6"/>
                    <w:jc w:val="center"/>
                    <w:rPr>
                      <w:lang w:val="pt-BR"/>
                    </w:rPr>
                  </w:pPr>
                  <w:r>
                    <w:rPr>
                      <w:rFonts w:hint="eastAsia"/>
                      <w:lang w:val="pt-BR"/>
                    </w:rPr>
                    <w:t>1</w:t>
                  </w:r>
                </w:p>
              </w:tc>
              <w:tc>
                <w:tcPr>
                  <w:tcW w:w="1398" w:type="pct"/>
                  <w:vAlign w:val="center"/>
                </w:tcPr>
                <w:p>
                  <w:pPr>
                    <w:pStyle w:val="26"/>
                    <w:jc w:val="center"/>
                  </w:pPr>
                  <w:r>
                    <w:rPr>
                      <w:rFonts w:hint="eastAsia"/>
                    </w:rPr>
                    <w:t>颗粒物</w:t>
                  </w:r>
                </w:p>
              </w:tc>
              <w:tc>
                <w:tcPr>
                  <w:tcW w:w="2797" w:type="pct"/>
                  <w:vAlign w:val="center"/>
                </w:tcPr>
                <w:p>
                  <w:pPr>
                    <w:pStyle w:val="26"/>
                    <w:jc w:val="center"/>
                  </w:pPr>
                  <w:r>
                    <w:t>1.0</w:t>
                  </w:r>
                </w:p>
              </w:tc>
            </w:tr>
          </w:tbl>
          <w:p>
            <w:pPr>
              <w:ind w:firstLine="480"/>
            </w:pPr>
            <w:r>
              <w:t>2014年5月16日，</w:t>
            </w:r>
            <w:r>
              <w:rPr>
                <w:rFonts w:hint="eastAsia"/>
                <w:lang w:val="en-US" w:eastAsia="zh-CN"/>
              </w:rPr>
              <w:t>生态环境部</w:t>
            </w:r>
            <w:r>
              <w:t>及国家质量监督检验检疫总局联合发布了《非道路移动机械用柴油机排气污染物排放限值及测量方法（中国第三、四阶段）》（GB20891-2014），标准规定了非道路移动机械用柴油机（含额定净功率不超过37</w:t>
            </w:r>
            <w:r>
              <w:rPr>
                <w:rFonts w:hint="eastAsia"/>
                <w:lang w:eastAsia="zh-CN"/>
              </w:rPr>
              <w:t>kW</w:t>
            </w:r>
            <w:r>
              <w:t>的船用柴油机）和在道路上用于载人（货）的车辆装用的第二台柴油机排气污染物排放限值及测量方法，因此本项目所使用柴油发电机执行该标准中表2的第</w:t>
            </w:r>
            <w:r>
              <w:rPr>
                <w:rFonts w:hint="eastAsia"/>
              </w:rPr>
              <w:t>四</w:t>
            </w:r>
            <w:r>
              <w:t>阶段限值要求。</w:t>
            </w:r>
          </w:p>
          <w:p>
            <w:pPr>
              <w:pStyle w:val="28"/>
              <w:spacing w:before="120"/>
              <w:ind w:firstLine="480"/>
            </w:pPr>
            <w:r>
              <w:rPr>
                <w:rFonts w:hint="eastAsia"/>
              </w:rPr>
              <w:t>表</w:t>
            </w:r>
            <w:r>
              <w:t>3-</w:t>
            </w:r>
            <w:r>
              <w:rPr>
                <w:rFonts w:hint="eastAsia"/>
              </w:rPr>
              <w:t>6非道路移动机械用柴油机排气污染物排放限值及测量方法</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0"/>
              <w:gridCol w:w="1669"/>
              <w:gridCol w:w="1199"/>
              <w:gridCol w:w="1933"/>
              <w:gridCol w:w="1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5" w:type="pct"/>
                  <w:vAlign w:val="center"/>
                </w:tcPr>
                <w:p>
                  <w:pPr>
                    <w:spacing w:line="240" w:lineRule="auto"/>
                    <w:ind w:firstLine="0" w:firstLineChars="0"/>
                    <w:jc w:val="center"/>
                    <w:rPr>
                      <w:color w:val="000000"/>
                      <w:sz w:val="21"/>
                      <w:szCs w:val="21"/>
                    </w:rPr>
                  </w:pPr>
                  <w:r>
                    <w:rPr>
                      <w:rFonts w:hint="eastAsia"/>
                      <w:color w:val="000000"/>
                      <w:sz w:val="21"/>
                      <w:szCs w:val="21"/>
                    </w:rPr>
                    <w:t>阶段</w:t>
                  </w:r>
                </w:p>
              </w:tc>
              <w:tc>
                <w:tcPr>
                  <w:tcW w:w="1061" w:type="pct"/>
                  <w:vAlign w:val="center"/>
                </w:tcPr>
                <w:p>
                  <w:pPr>
                    <w:spacing w:line="240" w:lineRule="auto"/>
                    <w:ind w:firstLine="0" w:firstLineChars="0"/>
                    <w:jc w:val="center"/>
                    <w:rPr>
                      <w:color w:val="000000"/>
                      <w:sz w:val="21"/>
                      <w:szCs w:val="21"/>
                    </w:rPr>
                  </w:pPr>
                  <w:r>
                    <w:rPr>
                      <w:rFonts w:hint="eastAsia"/>
                      <w:color w:val="000000"/>
                      <w:sz w:val="21"/>
                      <w:szCs w:val="21"/>
                    </w:rPr>
                    <w:t>额定定功率</w:t>
                  </w:r>
                </w:p>
              </w:tc>
              <w:tc>
                <w:tcPr>
                  <w:tcW w:w="762" w:type="pct"/>
                  <w:vAlign w:val="center"/>
                </w:tcPr>
                <w:p>
                  <w:pPr>
                    <w:spacing w:line="240" w:lineRule="auto"/>
                    <w:ind w:firstLine="0" w:firstLineChars="0"/>
                    <w:jc w:val="center"/>
                    <w:rPr>
                      <w:color w:val="000000"/>
                      <w:sz w:val="21"/>
                      <w:szCs w:val="21"/>
                    </w:rPr>
                  </w:pPr>
                  <w:r>
                    <w:rPr>
                      <w:rFonts w:hint="eastAsia"/>
                      <w:color w:val="000000"/>
                      <w:sz w:val="21"/>
                      <w:szCs w:val="21"/>
                    </w:rPr>
                    <w:t>CO(g/kWh)</w:t>
                  </w:r>
                </w:p>
              </w:tc>
              <w:tc>
                <w:tcPr>
                  <w:tcW w:w="1229" w:type="pct"/>
                  <w:vAlign w:val="center"/>
                </w:tcPr>
                <w:p>
                  <w:pPr>
                    <w:spacing w:line="240" w:lineRule="auto"/>
                    <w:ind w:firstLine="0" w:firstLineChars="0"/>
                    <w:jc w:val="center"/>
                    <w:rPr>
                      <w:color w:val="000000"/>
                      <w:sz w:val="21"/>
                      <w:szCs w:val="21"/>
                    </w:rPr>
                  </w:pPr>
                  <w:r>
                    <w:rPr>
                      <w:rFonts w:hint="eastAsia"/>
                      <w:color w:val="000000"/>
                      <w:sz w:val="21"/>
                      <w:szCs w:val="21"/>
                    </w:rPr>
                    <w:t>CH+NOx(g/kWh)</w:t>
                  </w:r>
                </w:p>
              </w:tc>
              <w:tc>
                <w:tcPr>
                  <w:tcW w:w="1152" w:type="pct"/>
                  <w:vAlign w:val="center"/>
                </w:tcPr>
                <w:p>
                  <w:pPr>
                    <w:spacing w:line="240" w:lineRule="auto"/>
                    <w:ind w:firstLine="0" w:firstLineChars="0"/>
                    <w:jc w:val="center"/>
                    <w:rPr>
                      <w:color w:val="000000"/>
                      <w:sz w:val="21"/>
                      <w:szCs w:val="21"/>
                    </w:rPr>
                  </w:pPr>
                  <w:r>
                    <w:rPr>
                      <w:rFonts w:hint="eastAsia"/>
                      <w:color w:val="000000"/>
                      <w:sz w:val="21"/>
                      <w:szCs w:val="21"/>
                    </w:rPr>
                    <w:t>PM(g/kWh)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5" w:type="pct"/>
                  <w:vAlign w:val="center"/>
                </w:tcPr>
                <w:p>
                  <w:pPr>
                    <w:spacing w:line="240" w:lineRule="auto"/>
                    <w:ind w:firstLine="0" w:firstLineChars="0"/>
                    <w:jc w:val="center"/>
                    <w:rPr>
                      <w:bCs/>
                      <w:color w:val="000000"/>
                      <w:sz w:val="21"/>
                      <w:szCs w:val="21"/>
                    </w:rPr>
                  </w:pPr>
                  <w:r>
                    <w:rPr>
                      <w:rFonts w:hint="eastAsia"/>
                      <w:bCs/>
                      <w:color w:val="000000"/>
                      <w:sz w:val="21"/>
                      <w:szCs w:val="21"/>
                    </w:rPr>
                    <w:t>第四阶段</w:t>
                  </w:r>
                </w:p>
              </w:tc>
              <w:tc>
                <w:tcPr>
                  <w:tcW w:w="1061" w:type="pct"/>
                  <w:vAlign w:val="center"/>
                </w:tcPr>
                <w:p>
                  <w:pPr>
                    <w:spacing w:line="240" w:lineRule="auto"/>
                    <w:ind w:firstLine="0" w:firstLineChars="0"/>
                    <w:jc w:val="center"/>
                    <w:rPr>
                      <w:color w:val="000000"/>
                      <w:sz w:val="21"/>
                      <w:szCs w:val="21"/>
                    </w:rPr>
                  </w:pPr>
                  <w:r>
                    <w:rPr>
                      <w:color w:val="000000"/>
                      <w:sz w:val="21"/>
                      <w:szCs w:val="21"/>
                    </w:rPr>
                    <w:t>130</w:t>
                  </w:r>
                  <w:r>
                    <w:rPr>
                      <w:rFonts w:hint="eastAsia"/>
                      <w:color w:val="000000"/>
                      <w:sz w:val="21"/>
                      <w:szCs w:val="21"/>
                    </w:rPr>
                    <w:t>≤Pmax≤560</w:t>
                  </w:r>
                </w:p>
              </w:tc>
              <w:tc>
                <w:tcPr>
                  <w:tcW w:w="762" w:type="pct"/>
                  <w:vAlign w:val="center"/>
                </w:tcPr>
                <w:p>
                  <w:pPr>
                    <w:spacing w:line="240" w:lineRule="auto"/>
                    <w:ind w:firstLine="0" w:firstLineChars="0"/>
                    <w:jc w:val="center"/>
                    <w:rPr>
                      <w:color w:val="000000"/>
                      <w:sz w:val="21"/>
                      <w:szCs w:val="21"/>
                    </w:rPr>
                  </w:pPr>
                  <w:r>
                    <w:rPr>
                      <w:rFonts w:hint="eastAsia"/>
                      <w:color w:val="000000"/>
                      <w:sz w:val="21"/>
                      <w:szCs w:val="21"/>
                    </w:rPr>
                    <w:t>3.5</w:t>
                  </w:r>
                </w:p>
              </w:tc>
              <w:tc>
                <w:tcPr>
                  <w:tcW w:w="1229" w:type="pct"/>
                  <w:vAlign w:val="center"/>
                </w:tcPr>
                <w:p>
                  <w:pPr>
                    <w:spacing w:line="240" w:lineRule="auto"/>
                    <w:ind w:firstLine="0" w:firstLineChars="0"/>
                    <w:jc w:val="center"/>
                    <w:rPr>
                      <w:color w:val="000000"/>
                      <w:sz w:val="21"/>
                      <w:szCs w:val="21"/>
                    </w:rPr>
                  </w:pPr>
                  <w:r>
                    <w:rPr>
                      <w:rFonts w:hint="eastAsia"/>
                      <w:color w:val="000000"/>
                      <w:sz w:val="21"/>
                      <w:szCs w:val="21"/>
                    </w:rPr>
                    <w:t>6.4</w:t>
                  </w:r>
                </w:p>
              </w:tc>
              <w:tc>
                <w:tcPr>
                  <w:tcW w:w="1152" w:type="pct"/>
                  <w:vAlign w:val="center"/>
                </w:tcPr>
                <w:p>
                  <w:pPr>
                    <w:spacing w:line="240" w:lineRule="auto"/>
                    <w:ind w:firstLine="0" w:firstLineChars="0"/>
                    <w:jc w:val="center"/>
                    <w:rPr>
                      <w:color w:val="000000"/>
                      <w:sz w:val="21"/>
                      <w:szCs w:val="21"/>
                    </w:rPr>
                  </w:pPr>
                  <w:r>
                    <w:rPr>
                      <w:rFonts w:hint="eastAsia"/>
                      <w:color w:val="000000"/>
                      <w:sz w:val="21"/>
                      <w:szCs w:val="21"/>
                    </w:rPr>
                    <w:t>0.2</w:t>
                  </w:r>
                </w:p>
              </w:tc>
            </w:tr>
          </w:tbl>
          <w:p>
            <w:pPr>
              <w:pStyle w:val="15"/>
              <w:ind w:firstLine="482"/>
            </w:pPr>
            <w:r>
              <w:rPr>
                <w:rFonts w:hint="eastAsia"/>
              </w:rPr>
              <w:t>2</w:t>
            </w:r>
            <w:r>
              <w:t>.2噪声</w:t>
            </w:r>
          </w:p>
          <w:p>
            <w:pPr>
              <w:snapToGrid w:val="0"/>
              <w:ind w:firstLine="480"/>
              <w:rPr>
                <w:b/>
              </w:rPr>
            </w:pPr>
            <w:r>
              <w:t>施工期执行《</w:t>
            </w:r>
            <w:r>
              <w:rPr>
                <w:rFonts w:hint="eastAsia"/>
              </w:rPr>
              <w:t>建筑施工场界环境噪声排放标准</w:t>
            </w:r>
            <w:r>
              <w:t>》（GB12523</w:t>
            </w:r>
            <w:r>
              <w:rPr>
                <w:rFonts w:hint="eastAsia"/>
              </w:rPr>
              <w:t>-2011</w:t>
            </w:r>
            <w:r>
              <w:t>）中的相关标准</w:t>
            </w:r>
            <w:r>
              <w:rPr>
                <w:rFonts w:hint="eastAsia"/>
              </w:rPr>
              <w:t>。</w:t>
            </w:r>
          </w:p>
          <w:p>
            <w:pPr>
              <w:pStyle w:val="28"/>
              <w:spacing w:before="120"/>
              <w:jc w:val="center"/>
            </w:pPr>
            <w:r>
              <w:t>表3-</w:t>
            </w:r>
            <w:r>
              <w:rPr>
                <w:rFonts w:hint="eastAsia"/>
              </w:rPr>
              <w:t>7</w:t>
            </w:r>
            <w:r>
              <w:t>建筑施工场界环境噪声排放标准（摘录）单位：dB（A）</w:t>
            </w:r>
          </w:p>
          <w:tbl>
            <w:tblPr>
              <w:tblStyle w:val="19"/>
              <w:tblW w:w="4999" w:type="pct"/>
              <w:tblInd w:w="1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930"/>
              <w:gridCol w:w="39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2500" w:type="pct"/>
                </w:tcPr>
                <w:p>
                  <w:pPr>
                    <w:pStyle w:val="26"/>
                  </w:pPr>
                  <w:r>
                    <w:t>昼间</w:t>
                  </w:r>
                </w:p>
              </w:tc>
              <w:tc>
                <w:tcPr>
                  <w:tcW w:w="2500" w:type="pct"/>
                </w:tcPr>
                <w:p>
                  <w:pPr>
                    <w:pStyle w:val="26"/>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2500" w:type="pct"/>
                  <w:vAlign w:val="center"/>
                </w:tcPr>
                <w:p>
                  <w:pPr>
                    <w:pStyle w:val="26"/>
                  </w:pPr>
                  <w:r>
                    <w:t>70</w:t>
                  </w:r>
                </w:p>
              </w:tc>
              <w:tc>
                <w:tcPr>
                  <w:tcW w:w="2500" w:type="pct"/>
                  <w:vAlign w:val="center"/>
                </w:tcPr>
                <w:p>
                  <w:pPr>
                    <w:pStyle w:val="26"/>
                  </w:pPr>
                  <w:r>
                    <w:t>55</w:t>
                  </w:r>
                </w:p>
              </w:tc>
            </w:tr>
          </w:tbl>
          <w:p>
            <w:pPr>
              <w:pStyle w:val="15"/>
              <w:ind w:firstLine="482"/>
            </w:pPr>
            <w:r>
              <w:rPr>
                <w:rFonts w:hint="eastAsia"/>
              </w:rPr>
              <w:t>2</w:t>
            </w:r>
            <w:r>
              <w:t>.3</w:t>
            </w:r>
            <w:r>
              <w:rPr>
                <w:rFonts w:hint="eastAsia"/>
              </w:rPr>
              <w:t>固体废弃物</w:t>
            </w:r>
          </w:p>
          <w:p>
            <w:pPr>
              <w:ind w:firstLine="480"/>
            </w:pPr>
            <w:r>
              <w:rPr>
                <w:rFonts w:hint="eastAsia"/>
              </w:rPr>
              <w:t>一般废物执行</w:t>
            </w:r>
            <w:r>
              <w:rPr>
                <w:rFonts w:hint="eastAsia"/>
                <w:bCs/>
                <w:color w:val="000000"/>
                <w:kern w:val="0"/>
              </w:rPr>
              <w:t>《</w:t>
            </w:r>
            <w:r>
              <w:rPr>
                <w:rFonts w:hint="eastAsia"/>
                <w:color w:val="000000"/>
              </w:rPr>
              <w:t>一般工业固体废物贮存和填埋污染控制标准</w:t>
            </w:r>
            <w:r>
              <w:rPr>
                <w:rFonts w:hint="eastAsia"/>
                <w:bCs/>
                <w:color w:val="000000"/>
                <w:kern w:val="0"/>
              </w:rPr>
              <w:t>》（</w:t>
            </w:r>
            <w:r>
              <w:rPr>
                <w:bCs/>
                <w:color w:val="000000"/>
                <w:kern w:val="0"/>
              </w:rPr>
              <w:t>GB18599-2020</w:t>
            </w:r>
            <w:r>
              <w:rPr>
                <w:rFonts w:hint="eastAsia"/>
                <w:bCs/>
                <w:color w:val="000000"/>
                <w:kern w:val="0"/>
              </w:rPr>
              <w:t>）</w:t>
            </w:r>
            <w:r>
              <w:rPr>
                <w:rFonts w:hint="eastAsia"/>
              </w:rPr>
              <w:t>中相关标准。</w:t>
            </w:r>
          </w:p>
          <w:p>
            <w:pPr>
              <w:snapToGrid w:val="0"/>
              <w:ind w:firstLine="480"/>
              <w:rPr>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13" w:type="dxa"/>
            <w:vAlign w:val="center"/>
          </w:tcPr>
          <w:p>
            <w:pPr>
              <w:pStyle w:val="26"/>
            </w:pPr>
            <w:r>
              <w:rPr>
                <w:rFonts w:hint="eastAsia"/>
              </w:rPr>
              <w:t>其他</w:t>
            </w:r>
          </w:p>
        </w:tc>
        <w:tc>
          <w:tcPr>
            <w:tcW w:w="8109" w:type="dxa"/>
            <w:vAlign w:val="center"/>
          </w:tcPr>
          <w:p>
            <w:pPr>
              <w:snapToGrid w:val="0"/>
              <w:ind w:left="0" w:leftChars="0" w:firstLine="480" w:firstLineChars="200"/>
              <w:jc w:val="both"/>
            </w:pPr>
            <w:r>
              <w:rPr>
                <w:rFonts w:hint="eastAsia"/>
              </w:rPr>
              <w:t>无</w:t>
            </w:r>
          </w:p>
        </w:tc>
      </w:tr>
    </w:tbl>
    <w:p>
      <w:pPr>
        <w:pStyle w:val="2"/>
        <w:rPr>
          <w:snapToGrid w:val="0"/>
        </w:rPr>
      </w:pPr>
      <w:r>
        <w:rPr>
          <w:snapToGrid w:val="0"/>
          <w:sz w:val="36"/>
          <w:szCs w:val="36"/>
        </w:rPr>
        <w:br w:type="page"/>
      </w:r>
      <w:r>
        <w:rPr>
          <w:rFonts w:hint="eastAsia"/>
          <w:snapToGrid w:val="0"/>
        </w:rPr>
        <w:t>四、生态环境影响分析</w:t>
      </w:r>
    </w:p>
    <w:tbl>
      <w:tblPr>
        <w:tblStyle w:val="1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441" w:type="dxa"/>
            <w:tcMar>
              <w:left w:w="28" w:type="dxa"/>
              <w:right w:w="28" w:type="dxa"/>
            </w:tcMar>
            <w:vAlign w:val="center"/>
          </w:tcPr>
          <w:p>
            <w:pPr>
              <w:pStyle w:val="26"/>
            </w:pPr>
            <w:bookmarkStart w:id="4" w:name="_Hlk69138538"/>
            <w:r>
              <w:rPr>
                <w:rFonts w:hint="eastAsia"/>
              </w:rPr>
              <w:t>施工期生态环境影响分析</w:t>
            </w:r>
          </w:p>
        </w:tc>
        <w:tc>
          <w:tcPr>
            <w:tcW w:w="8540" w:type="dxa"/>
            <w:vAlign w:val="center"/>
          </w:tcPr>
          <w:p>
            <w:pPr>
              <w:ind w:firstLine="480"/>
            </w:pPr>
            <w:r>
              <w:rPr>
                <w:rFonts w:hint="eastAsia"/>
              </w:rPr>
              <w:t>本项目探矿期间主要的环境影响为探矿过程产生的废水、废气、噪声、固体废物排放对环境的影响及生态保护措施。</w:t>
            </w:r>
          </w:p>
          <w:p>
            <w:pPr>
              <w:pStyle w:val="15"/>
              <w:ind w:firstLine="482"/>
            </w:pPr>
            <w:r>
              <w:rPr>
                <w:rFonts w:hint="eastAsia"/>
              </w:rPr>
              <w:t>1、大气环境影响分析</w:t>
            </w:r>
          </w:p>
          <w:p>
            <w:pPr>
              <w:ind w:firstLine="480"/>
            </w:pPr>
            <w:r>
              <w:rPr>
                <w:rFonts w:hint="eastAsia"/>
              </w:rPr>
              <w:t>结合项目施工特点及施工内容，本项目施工期大气污染源主要</w:t>
            </w:r>
            <w:r>
              <w:rPr>
                <w:rFonts w:hint="eastAsia"/>
                <w:lang w:eastAsia="zh-CN"/>
              </w:rPr>
              <w:t>来自</w:t>
            </w:r>
            <w:r>
              <w:rPr>
                <w:rFonts w:hint="eastAsia"/>
              </w:rPr>
              <w:t>钻探过程中产生的扬尘以及运输车辆、柴油发电机废气和施工机械等产生的燃油烟气。</w:t>
            </w:r>
          </w:p>
          <w:p>
            <w:pPr>
              <w:pStyle w:val="15"/>
              <w:ind w:firstLine="482"/>
            </w:pPr>
            <w:r>
              <w:rPr>
                <w:rFonts w:hint="eastAsia"/>
              </w:rPr>
              <w:t>1.1扬尘</w:t>
            </w:r>
          </w:p>
          <w:p>
            <w:pPr>
              <w:ind w:firstLine="480"/>
            </w:pPr>
            <w:r>
              <w:rPr>
                <w:rFonts w:hint="eastAsia"/>
              </w:rPr>
              <w:t>在勘查过程中，扬尘污染主要来源于：钻探工程产生的扬尘，土石方堆放时因风力作用产生的扬尘以及运输扬尘。</w:t>
            </w:r>
          </w:p>
          <w:p>
            <w:pPr>
              <w:ind w:firstLine="480"/>
            </w:pPr>
            <w:r>
              <w:rPr>
                <w:rFonts w:hint="eastAsia" w:ascii="宋体" w:hAnsi="宋体" w:cs="宋体"/>
              </w:rPr>
              <w:t>①</w:t>
            </w:r>
            <w:r>
              <w:t>钻</w:t>
            </w:r>
            <w:r>
              <w:rPr>
                <w:rFonts w:hint="eastAsia"/>
              </w:rPr>
              <w:t>探挖掘</w:t>
            </w:r>
            <w:r>
              <w:t>粉尘</w:t>
            </w:r>
          </w:p>
          <w:p>
            <w:pPr>
              <w:ind w:firstLine="480"/>
            </w:pPr>
            <w:r>
              <w:t>据有关研究，在不设置围</w:t>
            </w:r>
            <w:r>
              <w:rPr>
                <w:rFonts w:hint="eastAsia"/>
              </w:rPr>
              <w:t>挡</w:t>
            </w:r>
            <w:r>
              <w:t>时，扬尘影响主要在下风向距离250m范围内；有围</w:t>
            </w:r>
            <w:r>
              <w:rPr>
                <w:rFonts w:hint="eastAsia"/>
              </w:rPr>
              <w:t>挡</w:t>
            </w:r>
            <w:r>
              <w:t>时，扬尘影响主要在下风向距离200m范围内。因此，在对作业场界设置</w:t>
            </w:r>
            <w:r>
              <w:rPr>
                <w:rFonts w:hint="eastAsia"/>
              </w:rPr>
              <w:t>围挡</w:t>
            </w:r>
            <w:r>
              <w:t>并辅以现场洒水抑尘等措施，抑尘效率70%～80%，能有效减少扬尘的影响。</w:t>
            </w:r>
          </w:p>
          <w:p>
            <w:pPr>
              <w:ind w:firstLine="480"/>
            </w:pPr>
            <w:r>
              <w:t>本项目各作业点施工量较小，同时，加强作业区洒水抑尘的情况下，扬尘影响主要集中在施工场地内，对外环境影响较小。但为确保工人身体健康，须佩戴防护口罩。</w:t>
            </w:r>
          </w:p>
          <w:p>
            <w:pPr>
              <w:ind w:firstLine="480"/>
            </w:pPr>
            <w:r>
              <w:rPr>
                <w:rFonts w:hint="eastAsia"/>
              </w:rPr>
              <w:t>②渣土堆放扬尘</w:t>
            </w:r>
          </w:p>
          <w:p>
            <w:pPr>
              <w:ind w:firstLine="480"/>
            </w:pPr>
            <w:r>
              <w:rPr>
                <w:rFonts w:hint="eastAsia"/>
              </w:rPr>
              <w:t>对挖掘过程临时堆放的渣土表面进行压实，必要时设置</w:t>
            </w:r>
            <w:r>
              <w:rPr>
                <w:rFonts w:hint="eastAsia"/>
                <w:lang w:val="en-US" w:eastAsia="zh-CN"/>
              </w:rPr>
              <w:t>篷布苫盖</w:t>
            </w:r>
            <w:r>
              <w:rPr>
                <w:rFonts w:hint="eastAsia"/>
              </w:rPr>
              <w:t>，并辅以洒水抑尘，可有效控制尘源，进一步减轻对环境的影响。</w:t>
            </w:r>
          </w:p>
          <w:p>
            <w:pPr>
              <w:ind w:firstLine="480"/>
            </w:pPr>
            <w:r>
              <w:rPr>
                <w:rFonts w:hint="eastAsia" w:ascii="宋体" w:hAnsi="宋体" w:cs="宋体"/>
              </w:rPr>
              <w:t>③</w:t>
            </w:r>
            <w:r>
              <w:rPr>
                <w:rFonts w:hint="eastAsia"/>
              </w:rPr>
              <w:t>运输道路扬尘</w:t>
            </w:r>
          </w:p>
          <w:p>
            <w:pPr>
              <w:ind w:firstLine="480"/>
            </w:pPr>
            <w:r>
              <w:rPr>
                <w:rFonts w:hint="eastAsia"/>
              </w:rPr>
              <w:t>前期矿区内部道路平整过程以及车辆运输样品及生活用品时会产生一定扬尘，施工扬尘的污染程度与风速、粉尘颗粒、粉尘含水量和汽车行驶速度等因素有关，汽车行驶速度和风速增大，产生的起尘量呈正比或级数增加，粉尘污染范围相应扩大。粉尘含水量增大，粉尘污染范围相应减小。施工扬尘会造成局部地段降尘量增多，对施工现场周围的大气环境会产生一定的影响。但这种污染是局部的、短期的，工程完成之后这种影响就会消失。</w:t>
            </w:r>
          </w:p>
          <w:p>
            <w:pPr>
              <w:ind w:firstLine="480"/>
            </w:pPr>
            <w:r>
              <w:rPr>
                <w:rFonts w:hint="eastAsia"/>
              </w:rPr>
              <w:t>经查阅资料，施工扬尘对施工区周围15m内的范围影响最大，15m之外的降尘浓度衰减较快，到200m处达到平衡点。据现场踏勘，项目200m内均无居民点，项目各施工段均不会对项目周围的居民点居民生活环境造成明显影响。</w:t>
            </w:r>
          </w:p>
          <w:p>
            <w:pPr>
              <w:ind w:firstLine="480"/>
            </w:pPr>
            <w:r>
              <w:rPr>
                <w:rFonts w:hint="eastAsia"/>
              </w:rPr>
              <w:t>要求与建议：</w:t>
            </w:r>
          </w:p>
          <w:p>
            <w:pPr>
              <w:ind w:firstLine="480"/>
            </w:pPr>
            <w:r>
              <w:t>a.</w:t>
            </w:r>
            <w:r>
              <w:rPr>
                <w:rFonts w:hint="eastAsia"/>
              </w:rPr>
              <w:t>渣土运输、堆放要求遮盖；</w:t>
            </w:r>
          </w:p>
          <w:p>
            <w:pPr>
              <w:ind w:firstLine="480"/>
            </w:pPr>
            <w:r>
              <w:t>b.</w:t>
            </w:r>
            <w:r>
              <w:rPr>
                <w:rFonts w:hint="eastAsia"/>
              </w:rPr>
              <w:t>及时清理场地弃渣料，不能及时清运的要求采取覆盖，洒水抑尘等措施；</w:t>
            </w:r>
          </w:p>
          <w:p>
            <w:pPr>
              <w:ind w:firstLine="480"/>
            </w:pPr>
            <w:r>
              <w:rPr>
                <w:rFonts w:hint="eastAsia"/>
              </w:rPr>
              <w:t>c.尽量缩短施工期，干燥、大风天气施工必须采取洒水抑尘措施；</w:t>
            </w:r>
          </w:p>
          <w:p>
            <w:pPr>
              <w:ind w:firstLine="480"/>
            </w:pPr>
            <w:r>
              <w:rPr>
                <w:rFonts w:hint="eastAsia"/>
              </w:rPr>
              <w:t>d.运输道路要定时进行清扫、洒水；</w:t>
            </w:r>
          </w:p>
          <w:p>
            <w:pPr>
              <w:ind w:firstLine="480"/>
            </w:pPr>
            <w:r>
              <w:rPr>
                <w:rFonts w:hint="eastAsia"/>
              </w:rPr>
              <w:t>治理措施：在钻探、挖掘作中建议施工人员</w:t>
            </w:r>
            <w:r>
              <w:t>戴口罩、防尘面罩等劳动防护装备</w:t>
            </w:r>
            <w:r>
              <w:rPr>
                <w:rFonts w:hint="eastAsia"/>
              </w:rPr>
              <w:t>，同时</w:t>
            </w:r>
            <w:r>
              <w:t>避开大风天气作业</w:t>
            </w:r>
            <w:r>
              <w:rPr>
                <w:rFonts w:hint="eastAsia"/>
              </w:rPr>
              <w:t>，矿区内部道路限速行驶</w:t>
            </w:r>
            <w:r>
              <w:t>。</w:t>
            </w:r>
            <w:r>
              <w:rPr>
                <w:rFonts w:hint="eastAsia"/>
              </w:rPr>
              <w:t>对于钻探剥离的土石方，</w:t>
            </w:r>
            <w:r>
              <w:rPr>
                <w:rFonts w:hint="eastAsia"/>
                <w:bCs/>
              </w:rPr>
              <w:t>要求采用竹席或篷布覆盖，可有效减少扬尘的产生，</w:t>
            </w:r>
            <w:r>
              <w:rPr>
                <w:rFonts w:hint="eastAsia"/>
              </w:rPr>
              <w:t>由于挖方量较小，所以扬尘产生量较小。</w:t>
            </w:r>
          </w:p>
          <w:p>
            <w:pPr>
              <w:pStyle w:val="15"/>
              <w:ind w:firstLine="482"/>
            </w:pPr>
            <w:r>
              <w:rPr>
                <w:rFonts w:hint="eastAsia"/>
              </w:rPr>
              <w:t>1.2燃油废气</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本项目施工过程中采用自备发电机发电，发电机功率为50kW，耗费柴油量为</w:t>
            </w:r>
            <w:r>
              <w:rPr>
                <w:rFonts w:hint="eastAsia" w:cs="Times New Roman"/>
                <w:lang w:val="en-US" w:eastAsia="zh-CN"/>
              </w:rPr>
              <w:t>3</w:t>
            </w:r>
            <w:r>
              <w:rPr>
                <w:rFonts w:hint="eastAsia" w:ascii="Times New Roman" w:hAnsi="Times New Roman" w:eastAsia="宋体" w:cs="Times New Roman"/>
                <w:lang w:val="en-US" w:eastAsia="zh-CN"/>
              </w:rPr>
              <w:t>0t，根据《非道路移动源大气污染物排放清单编制技术指南》（生态环境部2024第92号）中非道路移动机械（包括柴油发电机组）大气污染物排放量计算方法1，计算CO、NO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和HC、PM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的排放量。计算公式如下：</w:t>
            </w:r>
          </w:p>
          <w:p>
            <w:pPr>
              <w:ind w:left="0" w:leftChars="0" w:firstLine="480" w:firstLineChars="20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E=(Y</w:t>
            </w:r>
            <w:r>
              <w:rPr>
                <w:rFonts w:hint="eastAsia" w:cs="Times New Roman"/>
                <w:lang w:val="en-US" w:eastAsia="zh-CN"/>
              </w:rPr>
              <w:t>×</w:t>
            </w:r>
            <w:r>
              <w:rPr>
                <w:rFonts w:hint="eastAsia" w:ascii="Times New Roman" w:hAnsi="Times New Roman" w:eastAsia="宋体" w:cs="Times New Roman"/>
                <w:lang w:val="en-US" w:eastAsia="zh-CN"/>
              </w:rPr>
              <w:t>EF)</w:t>
            </w:r>
            <w:r>
              <w:rPr>
                <w:rFonts w:hint="default" w:ascii="Arial" w:hAnsi="Arial" w:eastAsia="宋体" w:cs="Arial"/>
                <w:lang w:val="en-US" w:eastAsia="zh-CN"/>
              </w:rPr>
              <w:t>×</w:t>
            </w:r>
            <w:r>
              <w:rPr>
                <w:rFonts w:hint="eastAsia" w:ascii="Times New Roman" w:hAnsi="Times New Roman" w:eastAsia="宋体" w:cs="Times New Roman"/>
                <w:lang w:val="en-US" w:eastAsia="zh-CN"/>
              </w:rPr>
              <w:t>10</w:t>
            </w:r>
            <w:r>
              <w:rPr>
                <w:rFonts w:hint="eastAsia" w:ascii="Times New Roman" w:hAnsi="Times New Roman" w:eastAsia="宋体" w:cs="Times New Roman"/>
                <w:vertAlign w:val="superscript"/>
                <w:lang w:val="en-US" w:eastAsia="zh-CN"/>
              </w:rPr>
              <w:t>-6</w:t>
            </w:r>
          </w:p>
          <w:p>
            <w:pPr>
              <w:ind w:left="0" w:leftChars="0"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式中，E为非道路移动机械的CO、HC、NO</w:t>
            </w:r>
            <w:r>
              <w:rPr>
                <w:rFonts w:hint="eastAsia" w:ascii="Times New Roman" w:hAnsi="Times New Roman" w:eastAsia="宋体" w:cs="Times New Roman"/>
                <w:vertAlign w:val="subscript"/>
                <w:lang w:val="en-US" w:eastAsia="zh-CN"/>
              </w:rPr>
              <w:t>X</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排放量，单位为吨；Y为燃油消耗量，单位为千克；E</w:t>
            </w:r>
            <w:r>
              <w:rPr>
                <w:rFonts w:hint="eastAsia" w:cs="Times New Roman"/>
                <w:lang w:val="en-US" w:eastAsia="zh-CN"/>
              </w:rPr>
              <w:t>F</w:t>
            </w:r>
            <w:r>
              <w:rPr>
                <w:rFonts w:hint="eastAsia" w:ascii="Times New Roman" w:hAnsi="Times New Roman" w:eastAsia="宋体" w:cs="Times New Roman"/>
                <w:lang w:val="en-US" w:eastAsia="zh-CN"/>
              </w:rPr>
              <w:t>为排放系数，单位为g/kg燃料。</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根据该指南方法1适用的非道路移动机械平均排放系数（g/kg燃料），柴油发电机组CO、THC、NO</w:t>
            </w:r>
            <w:r>
              <w:rPr>
                <w:rFonts w:hint="eastAsia" w:ascii="Times New Roman" w:hAnsi="Times New Roman" w:eastAsia="宋体" w:cs="Times New Roman"/>
                <w:vertAlign w:val="subscript"/>
                <w:lang w:val="en-US" w:eastAsia="zh-CN"/>
              </w:rPr>
              <w:t>X</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的排放系数分别为10.72g/kg燃料、3.39g/kg燃料、32.79g/kg燃料、2.09g/kg燃料、2.09g/kg燃料。</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本项目施工地点较为开阔，扩散条件较好，不会对周边环境产生影响。项目施工期间排放的大气污染物将随工程的结束而消失。则本项目施工期间机械设备的尾气产生情况见表4-1。</w:t>
            </w:r>
          </w:p>
          <w:p>
            <w:pPr>
              <w:pStyle w:val="28"/>
              <w:spacing w:before="120"/>
              <w:rPr>
                <w:rFonts w:hint="default" w:eastAsia="宋体"/>
                <w:lang w:val="en-US" w:eastAsia="zh-CN"/>
              </w:rPr>
            </w:pPr>
            <w:r>
              <w:rPr>
                <w:rFonts w:hint="eastAsia"/>
              </w:rPr>
              <w:t>表4-1</w:t>
            </w:r>
            <w:r>
              <w:rPr>
                <w:rFonts w:hint="eastAsia"/>
                <w:lang w:val="en-US" w:eastAsia="zh-CN"/>
              </w:rPr>
              <w:t>燃烧柴油污染物产生量</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2030"/>
              <w:gridCol w:w="2483"/>
              <w:gridCol w:w="2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2" w:type="pct"/>
                  <w:tcBorders>
                    <w:tl2br w:val="nil"/>
                    <w:tr2bl w:val="nil"/>
                  </w:tcBorders>
                  <w:shd w:val="clear" w:color="auto" w:fill="auto"/>
                  <w:vAlign w:val="center"/>
                </w:tcPr>
                <w:p>
                  <w:pPr>
                    <w:pStyle w:val="26"/>
                  </w:pPr>
                  <w:r>
                    <w:t>序号</w:t>
                  </w:r>
                </w:p>
              </w:tc>
              <w:tc>
                <w:tcPr>
                  <w:tcW w:w="1224" w:type="pct"/>
                  <w:tcBorders>
                    <w:tl2br w:val="nil"/>
                    <w:tr2bl w:val="nil"/>
                  </w:tcBorders>
                  <w:shd w:val="clear" w:color="auto" w:fill="auto"/>
                  <w:vAlign w:val="center"/>
                </w:tcPr>
                <w:p>
                  <w:pPr>
                    <w:pStyle w:val="26"/>
                  </w:pPr>
                  <w:r>
                    <w:t>污染物</w:t>
                  </w:r>
                </w:p>
              </w:tc>
              <w:tc>
                <w:tcPr>
                  <w:tcW w:w="1497" w:type="pct"/>
                  <w:tcBorders>
                    <w:tl2br w:val="nil"/>
                    <w:tr2bl w:val="nil"/>
                  </w:tcBorders>
                  <w:shd w:val="clear" w:color="auto" w:fill="auto"/>
                  <w:vAlign w:val="center"/>
                </w:tcPr>
                <w:p>
                  <w:pPr>
                    <w:pStyle w:val="26"/>
                  </w:pPr>
                  <w:r>
                    <w:t>燃烧产污系数</w:t>
                  </w:r>
                </w:p>
              </w:tc>
              <w:tc>
                <w:tcPr>
                  <w:tcW w:w="1495" w:type="pct"/>
                  <w:tcBorders>
                    <w:tl2br w:val="nil"/>
                    <w:tr2bl w:val="nil"/>
                  </w:tcBorders>
                  <w:shd w:val="clear" w:color="auto" w:fill="auto"/>
                  <w:vAlign w:val="center"/>
                </w:tcPr>
                <w:p>
                  <w:pPr>
                    <w:pStyle w:val="26"/>
                  </w:pPr>
                  <w:r>
                    <w:t>污染物</w:t>
                  </w:r>
                  <w:r>
                    <w:rPr>
                      <w:rFonts w:hint="eastAsia"/>
                    </w:rPr>
                    <w:t>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6"/>
                  </w:pPr>
                  <w:r>
                    <w:t>1</w:t>
                  </w:r>
                </w:p>
              </w:tc>
              <w:tc>
                <w:tcPr>
                  <w:tcW w:w="1224"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CO</w:t>
                  </w:r>
                </w:p>
              </w:tc>
              <w:tc>
                <w:tcPr>
                  <w:tcW w:w="1497"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10.72g/kg</w:t>
                  </w:r>
                </w:p>
              </w:tc>
              <w:tc>
                <w:tcPr>
                  <w:tcW w:w="1495"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0.000322t/a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6"/>
                    <w:rPr>
                      <w:rFonts w:hint="eastAsia" w:eastAsia="宋体"/>
                      <w:lang w:val="en-US" w:eastAsia="zh-CN"/>
                    </w:rPr>
                  </w:pPr>
                  <w:r>
                    <w:rPr>
                      <w:rFonts w:hint="eastAsia"/>
                      <w:lang w:val="en-US" w:eastAsia="zh-CN"/>
                    </w:rPr>
                    <w:t>2</w:t>
                  </w:r>
                </w:p>
              </w:tc>
              <w:tc>
                <w:tcPr>
                  <w:tcW w:w="1224" w:type="pct"/>
                  <w:tcBorders>
                    <w:tl2br w:val="nil"/>
                    <w:tr2bl w:val="nil"/>
                  </w:tcBorders>
                  <w:shd w:val="clear" w:color="auto" w:fill="auto"/>
                  <w:vAlign w:val="center"/>
                </w:tcPr>
                <w:p>
                  <w:pPr>
                    <w:pStyle w:val="26"/>
                    <w:rPr>
                      <w:rFonts w:hint="default"/>
                      <w:lang w:val="en-US" w:eastAsia="zh-CN"/>
                    </w:rPr>
                  </w:pPr>
                  <w:r>
                    <w:rPr>
                      <w:rFonts w:hint="eastAsia"/>
                      <w:lang w:val="en-US" w:eastAsia="zh-CN"/>
                    </w:rPr>
                    <w:t>THC</w:t>
                  </w:r>
                </w:p>
              </w:tc>
              <w:tc>
                <w:tcPr>
                  <w:tcW w:w="1497"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3.39g/kg</w:t>
                  </w:r>
                </w:p>
              </w:tc>
              <w:tc>
                <w:tcPr>
                  <w:tcW w:w="1495"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0.000101t/a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6"/>
                    <w:rPr>
                      <w:rFonts w:hint="eastAsia" w:eastAsia="宋体"/>
                      <w:lang w:val="en-US" w:eastAsia="zh-CN"/>
                    </w:rPr>
                  </w:pPr>
                  <w:r>
                    <w:rPr>
                      <w:rFonts w:hint="eastAsia"/>
                      <w:lang w:val="en-US" w:eastAsia="zh-CN"/>
                    </w:rPr>
                    <w:t>3</w:t>
                  </w:r>
                </w:p>
              </w:tc>
              <w:tc>
                <w:tcPr>
                  <w:tcW w:w="1224" w:type="pct"/>
                  <w:tcBorders>
                    <w:tl2br w:val="nil"/>
                    <w:tr2bl w:val="nil"/>
                  </w:tcBorders>
                  <w:shd w:val="clear" w:color="auto" w:fill="auto"/>
                  <w:vAlign w:val="center"/>
                </w:tcPr>
                <w:p>
                  <w:pPr>
                    <w:pStyle w:val="26"/>
                    <w:rPr>
                      <w:rFonts w:hint="default"/>
                      <w:lang w:val="en-US" w:eastAsia="zh-CN"/>
                    </w:rPr>
                  </w:pPr>
                  <w:r>
                    <w:rPr>
                      <w:rFonts w:hint="eastAsia"/>
                      <w:lang w:val="en-US" w:eastAsia="zh-CN"/>
                    </w:rPr>
                    <w:t>NO</w:t>
                  </w:r>
                  <w:r>
                    <w:rPr>
                      <w:rFonts w:hint="eastAsia"/>
                      <w:vertAlign w:val="subscript"/>
                      <w:lang w:val="en-US" w:eastAsia="zh-CN"/>
                    </w:rPr>
                    <w:t>X</w:t>
                  </w:r>
                </w:p>
              </w:tc>
              <w:tc>
                <w:tcPr>
                  <w:tcW w:w="1497"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32.79g/kg</w:t>
                  </w:r>
                </w:p>
              </w:tc>
              <w:tc>
                <w:tcPr>
                  <w:tcW w:w="1495"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0.00984t/a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6"/>
                    <w:rPr>
                      <w:rFonts w:hint="eastAsia" w:eastAsia="宋体"/>
                      <w:lang w:eastAsia="zh-CN"/>
                    </w:rPr>
                  </w:pPr>
                  <w:r>
                    <w:rPr>
                      <w:rFonts w:hint="eastAsia"/>
                      <w:lang w:val="en-US" w:eastAsia="zh-CN"/>
                    </w:rPr>
                    <w:t>4</w:t>
                  </w:r>
                </w:p>
              </w:tc>
              <w:tc>
                <w:tcPr>
                  <w:tcW w:w="1224" w:type="pct"/>
                  <w:tcBorders>
                    <w:tl2br w:val="nil"/>
                    <w:tr2bl w:val="nil"/>
                  </w:tcBorders>
                  <w:shd w:val="clear" w:color="auto" w:fill="auto"/>
                  <w:vAlign w:val="center"/>
                </w:tcPr>
                <w:p>
                  <w:pPr>
                    <w:pStyle w:val="26"/>
                  </w:pP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p>
              </w:tc>
              <w:tc>
                <w:tcPr>
                  <w:tcW w:w="1497"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2.09g/kg</w:t>
                  </w:r>
                </w:p>
              </w:tc>
              <w:tc>
                <w:tcPr>
                  <w:tcW w:w="1495"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0.000062t/a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6"/>
                    <w:rPr>
                      <w:rFonts w:hint="eastAsia" w:eastAsia="宋体"/>
                      <w:lang w:eastAsia="zh-CN"/>
                    </w:rPr>
                  </w:pPr>
                  <w:r>
                    <w:rPr>
                      <w:rFonts w:hint="eastAsia"/>
                      <w:lang w:val="en-US" w:eastAsia="zh-CN"/>
                    </w:rPr>
                    <w:t>5</w:t>
                  </w:r>
                </w:p>
              </w:tc>
              <w:tc>
                <w:tcPr>
                  <w:tcW w:w="1224" w:type="pct"/>
                  <w:tcBorders>
                    <w:tl2br w:val="nil"/>
                    <w:tr2bl w:val="nil"/>
                  </w:tcBorders>
                  <w:shd w:val="clear" w:color="auto" w:fill="auto"/>
                  <w:vAlign w:val="center"/>
                </w:tcPr>
                <w:p>
                  <w:pPr>
                    <w:pStyle w:val="26"/>
                    <w:rPr>
                      <w:rFonts w:hint="default"/>
                      <w:lang w:val="en-US"/>
                    </w:rPr>
                  </w:pP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10</w:t>
                  </w:r>
                </w:p>
              </w:tc>
              <w:tc>
                <w:tcPr>
                  <w:tcW w:w="1497"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2.09g/kg</w:t>
                  </w:r>
                </w:p>
              </w:tc>
              <w:tc>
                <w:tcPr>
                  <w:tcW w:w="1495" w:type="pct"/>
                  <w:tcBorders>
                    <w:tl2br w:val="nil"/>
                    <w:tr2bl w:val="nil"/>
                  </w:tcBorders>
                  <w:shd w:val="clear" w:color="auto" w:fill="auto"/>
                  <w:vAlign w:val="center"/>
                </w:tcPr>
                <w:p>
                  <w:pPr>
                    <w:pStyle w:val="26"/>
                  </w:pPr>
                  <w:r>
                    <w:rPr>
                      <w:rFonts w:hint="eastAsia"/>
                      <w:lang w:val="en-US" w:eastAsia="zh-CN"/>
                    </w:rPr>
                    <w:t>0.000062t/a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82" w:type="pct"/>
                  <w:tcBorders>
                    <w:tl2br w:val="nil"/>
                    <w:tr2bl w:val="nil"/>
                  </w:tcBorders>
                  <w:shd w:val="clear" w:color="auto" w:fill="auto"/>
                  <w:vAlign w:val="center"/>
                </w:tcPr>
                <w:p>
                  <w:pPr>
                    <w:pStyle w:val="26"/>
                    <w:rPr>
                      <w:rFonts w:hint="eastAsia" w:eastAsia="宋体"/>
                      <w:lang w:eastAsia="zh-CN"/>
                    </w:rPr>
                  </w:pPr>
                  <w:r>
                    <w:rPr>
                      <w:rFonts w:hint="eastAsia"/>
                      <w:lang w:val="en-US" w:eastAsia="zh-CN"/>
                    </w:rPr>
                    <w:t>6</w:t>
                  </w:r>
                </w:p>
              </w:tc>
              <w:tc>
                <w:tcPr>
                  <w:tcW w:w="1224"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SO</w:t>
                  </w:r>
                  <w:r>
                    <w:rPr>
                      <w:rFonts w:hint="eastAsia"/>
                      <w:vertAlign w:val="subscript"/>
                      <w:lang w:val="en-US" w:eastAsia="zh-CN"/>
                    </w:rPr>
                    <w:t>2</w:t>
                  </w:r>
                </w:p>
              </w:tc>
              <w:tc>
                <w:tcPr>
                  <w:tcW w:w="1497"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0.35g/kg</w:t>
                  </w:r>
                </w:p>
              </w:tc>
              <w:tc>
                <w:tcPr>
                  <w:tcW w:w="1495" w:type="pct"/>
                  <w:tcBorders>
                    <w:tl2br w:val="nil"/>
                    <w:tr2bl w:val="nil"/>
                  </w:tcBorders>
                  <w:shd w:val="clear" w:color="auto" w:fill="auto"/>
                  <w:vAlign w:val="center"/>
                </w:tcPr>
                <w:p>
                  <w:pPr>
                    <w:pStyle w:val="26"/>
                    <w:rPr>
                      <w:rFonts w:hint="default" w:eastAsia="宋体"/>
                      <w:lang w:val="en-US" w:eastAsia="zh-CN"/>
                    </w:rPr>
                  </w:pPr>
                  <w:r>
                    <w:rPr>
                      <w:rFonts w:hint="eastAsia"/>
                      <w:lang w:val="en-US" w:eastAsia="zh-CN"/>
                    </w:rPr>
                    <w:t>0.000010t/a</w:t>
                  </w:r>
                </w:p>
              </w:tc>
            </w:tr>
          </w:tbl>
          <w:p>
            <w:pPr>
              <w:ind w:firstLine="480"/>
            </w:pPr>
            <w:r>
              <w:rPr>
                <w:rFonts w:hint="eastAsia"/>
              </w:rPr>
              <w:t>柴油发电机</w:t>
            </w:r>
            <w:r>
              <w:t>燃烧废气</w:t>
            </w:r>
            <w:r>
              <w:rPr>
                <w:rFonts w:hint="eastAsia"/>
              </w:rPr>
              <w:t>各污染物</w:t>
            </w:r>
            <w:r>
              <w:t>排放浓度</w:t>
            </w:r>
            <w:r>
              <w:rPr>
                <w:rFonts w:hint="eastAsia"/>
              </w:rPr>
              <w:t>能够</w:t>
            </w:r>
            <w:r>
              <w:t>满足《非道路移动机械用柴油机排气污染物排放限值及测量方法（中国第三、四阶段）》（GB20891-2014）</w:t>
            </w:r>
            <w:r>
              <w:rPr>
                <w:rFonts w:hint="eastAsia"/>
              </w:rPr>
              <w:t>中排放标准要求。</w:t>
            </w:r>
          </w:p>
          <w:p>
            <w:pPr>
              <w:pStyle w:val="15"/>
              <w:ind w:firstLine="482"/>
            </w:pPr>
            <w:r>
              <w:rPr>
                <w:rFonts w:hint="eastAsia"/>
              </w:rPr>
              <w:t>2、地表水环境影响分析</w:t>
            </w:r>
          </w:p>
          <w:p>
            <w:pPr>
              <w:ind w:firstLine="480"/>
            </w:pPr>
            <w:r>
              <w:rPr>
                <w:rFonts w:hint="eastAsia"/>
              </w:rPr>
              <w:t>勘探作业期间产生的废水分为生产废水和生活废水，其中生产废水为钻探废水。</w:t>
            </w:r>
          </w:p>
          <w:p>
            <w:pPr>
              <w:pStyle w:val="15"/>
              <w:ind w:firstLine="482"/>
            </w:pPr>
            <w:r>
              <w:rPr>
                <w:rFonts w:hint="eastAsia"/>
              </w:rPr>
              <w:t>1.1生产废水</w:t>
            </w:r>
          </w:p>
          <w:p>
            <w:pPr>
              <w:ind w:firstLine="482"/>
            </w:pPr>
            <w:r>
              <w:rPr>
                <w:rFonts w:hint="eastAsia"/>
                <w:b/>
                <w:bCs/>
              </w:rPr>
              <w:t>产生情况：</w:t>
            </w:r>
            <w:r>
              <w:rPr>
                <w:rFonts w:hint="eastAsia"/>
              </w:rPr>
              <w:t>钻探过程中会产生一定量的钻探废水，预计为4</w:t>
            </w:r>
            <w:r>
              <w:t>m</w:t>
            </w:r>
            <w:r>
              <w:rPr>
                <w:vertAlign w:val="superscript"/>
              </w:rPr>
              <w:t>3</w:t>
            </w:r>
            <w:r>
              <w:t>/d</w:t>
            </w:r>
            <w:r>
              <w:rPr>
                <w:rFonts w:hint="eastAsia"/>
              </w:rPr>
              <w:t>，该废水主要污染物为SS。本项目在每个钻孔附近设置1个</w:t>
            </w:r>
            <w:r>
              <w:t>5</w:t>
            </w:r>
            <w:r>
              <w:rPr>
                <w:rFonts w:hint="eastAsia"/>
              </w:rPr>
              <w:t>m</w:t>
            </w:r>
            <w:r>
              <w:rPr>
                <w:vertAlign w:val="superscript"/>
              </w:rPr>
              <w:t>3</w:t>
            </w:r>
            <w:r>
              <w:rPr>
                <w:rFonts w:hint="eastAsia"/>
              </w:rPr>
              <w:t>的沉淀池收集废水，废水沉淀后</w:t>
            </w:r>
            <w:r>
              <w:rPr>
                <w:rFonts w:hint="eastAsia"/>
                <w:lang w:val="en-US" w:eastAsia="zh-CN"/>
              </w:rPr>
              <w:t>循环使用</w:t>
            </w:r>
            <w:r>
              <w:rPr>
                <w:rFonts w:hint="eastAsia"/>
              </w:rPr>
              <w:t>，不外排。钻探废水损耗量按1</w:t>
            </w:r>
            <w:r>
              <w:t>0</w:t>
            </w:r>
            <w:r>
              <w:rPr>
                <w:rFonts w:hint="eastAsia"/>
              </w:rPr>
              <w:t>%计，每日需补充新鲜水0</w:t>
            </w:r>
            <w:r>
              <w:t>.4</w:t>
            </w:r>
            <w:r>
              <w:rPr>
                <w:rFonts w:hint="eastAsia"/>
              </w:rPr>
              <w:t>m</w:t>
            </w:r>
            <w:r>
              <w:rPr>
                <w:vertAlign w:val="superscript"/>
              </w:rPr>
              <w:t>3</w:t>
            </w:r>
            <w:r>
              <w:rPr>
                <w:rFonts w:hint="eastAsia"/>
              </w:rPr>
              <w:t>。废水中SS的浓度一般约为2000mg/L，则SS产生量约为0.008t/d（</w:t>
            </w:r>
            <w:r>
              <w:rPr>
                <w:rFonts w:hint="eastAsia"/>
                <w:lang w:val="en-US" w:eastAsia="zh-CN"/>
              </w:rPr>
              <w:t>0.4</w:t>
            </w:r>
            <w:r>
              <w:rPr>
                <w:rFonts w:hint="eastAsia"/>
              </w:rPr>
              <w:t>t/a）。</w:t>
            </w:r>
          </w:p>
          <w:p>
            <w:pPr>
              <w:ind w:firstLine="482"/>
            </w:pPr>
            <w:r>
              <w:rPr>
                <w:rFonts w:hint="eastAsia"/>
                <w:b/>
                <w:bCs/>
              </w:rPr>
              <w:t>治理措施：</w:t>
            </w:r>
            <w:r>
              <w:rPr>
                <w:rFonts w:hint="eastAsia"/>
              </w:rPr>
              <w:t>本项目每孔钻井设置1个沉淀池（设计容积5m</w:t>
            </w:r>
            <w:r>
              <w:rPr>
                <w:rFonts w:hint="eastAsia"/>
                <w:vertAlign w:val="superscript"/>
              </w:rPr>
              <w:t>3</w:t>
            </w:r>
            <w:r>
              <w:rPr>
                <w:rFonts w:hint="eastAsia"/>
              </w:rPr>
              <w:t>），沉淀池采用防渗膜塑料布及支架组装成。循环使用定期补充，不外排，在所有钻探工作完成后，最终产生的废泥浆（主要成分为SS，不含有毒有害成分）进行固化后</w:t>
            </w:r>
            <w:r>
              <w:rPr>
                <w:rFonts w:hint="eastAsia"/>
                <w:lang w:val="en-US" w:eastAsia="zh-CN"/>
              </w:rPr>
              <w:t>回填</w:t>
            </w:r>
            <w:r>
              <w:rPr>
                <w:rFonts w:hint="eastAsia"/>
              </w:rPr>
              <w:t>，措施可行。</w:t>
            </w:r>
          </w:p>
          <w:p>
            <w:pPr>
              <w:pStyle w:val="15"/>
              <w:ind w:firstLine="482"/>
              <w:rPr>
                <w:rFonts w:hint="eastAsia" w:eastAsia="宋体"/>
                <w:lang w:val="en-US" w:eastAsia="zh-CN"/>
              </w:rPr>
            </w:pPr>
            <w:r>
              <w:rPr>
                <w:rFonts w:hint="eastAsia"/>
              </w:rPr>
              <w:t>1.2</w:t>
            </w:r>
            <w:r>
              <w:rPr>
                <w:rFonts w:hint="eastAsia"/>
                <w:lang w:val="en-US" w:eastAsia="zh-CN"/>
              </w:rPr>
              <w:t>生活污水</w:t>
            </w:r>
          </w:p>
          <w:p>
            <w:pPr>
              <w:ind w:firstLine="480"/>
            </w:pPr>
            <w:r>
              <w:rPr>
                <w:rFonts w:hint="eastAsia"/>
              </w:rPr>
              <w:t>产生情况：本项目钻探工作中采用临时帐篷作为居住生活区，本项目</w:t>
            </w:r>
            <w:r>
              <w:t>在施工场地的生活</w:t>
            </w:r>
            <w:r>
              <w:rPr>
                <w:rFonts w:hint="eastAsia"/>
              </w:rPr>
              <w:t>用水</w:t>
            </w:r>
            <w:r>
              <w:t>量</w:t>
            </w:r>
            <w:r>
              <w:rPr>
                <w:rFonts w:hint="eastAsia"/>
              </w:rPr>
              <w:t>按55</w:t>
            </w:r>
            <w:r>
              <w:t>L/</w:t>
            </w:r>
            <w:r>
              <w:rPr>
                <w:rFonts w:hint="eastAsia"/>
              </w:rPr>
              <w:t>人</w:t>
            </w:r>
            <w:r>
              <w:t>·d</w:t>
            </w:r>
            <w:r>
              <w:rPr>
                <w:rFonts w:hint="eastAsia"/>
              </w:rPr>
              <w:t>计，生活时间约</w:t>
            </w:r>
            <w:r>
              <w:rPr>
                <w:rFonts w:hint="eastAsia"/>
                <w:lang w:val="en-US" w:eastAsia="zh-CN"/>
              </w:rPr>
              <w:t>5</w:t>
            </w:r>
            <w:r>
              <w:rPr>
                <w:rFonts w:hint="eastAsia"/>
              </w:rPr>
              <w:t>0</w:t>
            </w:r>
            <w:r>
              <w:t>d/a</w:t>
            </w:r>
            <w:r>
              <w:rPr>
                <w:rFonts w:hint="eastAsia"/>
              </w:rPr>
              <w:t>，</w:t>
            </w:r>
            <w:r>
              <w:t>本项目按照最大施工人员</w:t>
            </w:r>
            <w:r>
              <w:rPr>
                <w:rFonts w:hint="eastAsia"/>
              </w:rPr>
              <w:t>10人</w:t>
            </w:r>
            <w:r>
              <w:t>计算，排污按照</w:t>
            </w:r>
            <w:r>
              <w:rPr>
                <w:rFonts w:hint="eastAsia"/>
              </w:rPr>
              <w:t>80</w:t>
            </w:r>
            <w:r>
              <w:t>%计算，则本项目</w:t>
            </w:r>
            <w:r>
              <w:rPr>
                <w:rFonts w:hint="eastAsia"/>
              </w:rPr>
              <w:t>生活用水量</w:t>
            </w:r>
            <w:r>
              <w:t>为</w:t>
            </w:r>
            <w:r>
              <w:rPr>
                <w:rFonts w:hint="eastAsia"/>
              </w:rPr>
              <w:t>0.55</w:t>
            </w:r>
            <w:r>
              <w:t>m</w:t>
            </w:r>
            <w:r>
              <w:rPr>
                <w:vertAlign w:val="superscript"/>
              </w:rPr>
              <w:t>3</w:t>
            </w:r>
            <w:r>
              <w:t>/d，</w:t>
            </w:r>
            <w:r>
              <w:rPr>
                <w:rFonts w:hint="eastAsia"/>
                <w:lang w:val="en-US" w:eastAsia="zh-CN"/>
              </w:rPr>
              <w:t>27.5</w:t>
            </w:r>
            <w:r>
              <w:t>m</w:t>
            </w:r>
            <w:r>
              <w:rPr>
                <w:vertAlign w:val="superscript"/>
              </w:rPr>
              <w:t>3</w:t>
            </w:r>
            <w:r>
              <w:t>/a</w:t>
            </w:r>
            <w:r>
              <w:rPr>
                <w:rFonts w:hint="eastAsia"/>
              </w:rPr>
              <w:t>，生活污水产生量</w:t>
            </w:r>
            <w:r>
              <w:t>为</w:t>
            </w:r>
            <w:r>
              <w:rPr>
                <w:rFonts w:hint="eastAsia"/>
              </w:rPr>
              <w:t>0.44</w:t>
            </w:r>
            <w:r>
              <w:t>m</w:t>
            </w:r>
            <w:r>
              <w:rPr>
                <w:vertAlign w:val="superscript"/>
              </w:rPr>
              <w:t>3</w:t>
            </w:r>
            <w:r>
              <w:t>/d</w:t>
            </w:r>
            <w:r>
              <w:rPr>
                <w:rFonts w:hint="eastAsia"/>
              </w:rPr>
              <w:t>，</w:t>
            </w:r>
            <w:r>
              <w:rPr>
                <w:rFonts w:hint="eastAsia"/>
                <w:lang w:val="en-US" w:eastAsia="zh-CN"/>
              </w:rPr>
              <w:t>22</w:t>
            </w:r>
            <w:r>
              <w:t>m</w:t>
            </w:r>
            <w:r>
              <w:rPr>
                <w:vertAlign w:val="superscript"/>
              </w:rPr>
              <w:t>3</w:t>
            </w:r>
            <w:r>
              <w:t>/a</w:t>
            </w:r>
            <w:r>
              <w:rPr>
                <w:rFonts w:hint="eastAsia"/>
              </w:rPr>
              <w:t>。</w:t>
            </w:r>
            <w:r>
              <w:t>一般生活污水COD的产生浓度约为400mg/L，BOD</w:t>
            </w:r>
            <w:r>
              <w:rPr>
                <w:vertAlign w:val="subscript"/>
              </w:rPr>
              <w:t>5</w:t>
            </w:r>
            <w:r>
              <w:t>的产生浓度约为300mg/L，SS的产生浓度约为250mg/L，NH</w:t>
            </w:r>
            <w:r>
              <w:rPr>
                <w:vertAlign w:val="subscript"/>
              </w:rPr>
              <w:t>3</w:t>
            </w:r>
            <w:r>
              <w:t>-N的产生浓度约为30mg/L，则本项目COD产生量约为0.</w:t>
            </w:r>
            <w:r>
              <w:rPr>
                <w:rFonts w:hint="eastAsia"/>
              </w:rPr>
              <w:t>0</w:t>
            </w:r>
            <w:r>
              <w:rPr>
                <w:rFonts w:hint="eastAsia"/>
                <w:lang w:val="en-US" w:eastAsia="zh-CN"/>
              </w:rPr>
              <w:t>088</w:t>
            </w:r>
            <w:r>
              <w:rPr>
                <w:rFonts w:hint="eastAsia"/>
              </w:rPr>
              <w:t>t</w:t>
            </w:r>
            <w:r>
              <w:t>/a，BOD</w:t>
            </w:r>
            <w:r>
              <w:rPr>
                <w:vertAlign w:val="subscript"/>
              </w:rPr>
              <w:t>5</w:t>
            </w:r>
            <w:r>
              <w:t>产生量约为0.0</w:t>
            </w:r>
            <w:r>
              <w:rPr>
                <w:rFonts w:hint="eastAsia"/>
                <w:lang w:val="en-US" w:eastAsia="zh-CN"/>
              </w:rPr>
              <w:t>066</w:t>
            </w:r>
            <w:r>
              <w:t>t/a，SS产生量约为0.0</w:t>
            </w:r>
            <w:r>
              <w:rPr>
                <w:rFonts w:hint="eastAsia"/>
                <w:lang w:val="en-US" w:eastAsia="zh-CN"/>
              </w:rPr>
              <w:t>055</w:t>
            </w:r>
            <w:r>
              <w:t>t/a，NH</w:t>
            </w:r>
            <w:r>
              <w:rPr>
                <w:vertAlign w:val="subscript"/>
              </w:rPr>
              <w:t>3</w:t>
            </w:r>
            <w:r>
              <w:t>-N产生量约为0.00</w:t>
            </w:r>
            <w:r>
              <w:rPr>
                <w:rFonts w:hint="eastAsia"/>
                <w:lang w:val="en-US" w:eastAsia="zh-CN"/>
              </w:rPr>
              <w:t>066</w:t>
            </w:r>
            <w:r>
              <w:t>t/a。</w:t>
            </w:r>
          </w:p>
          <w:p>
            <w:pPr>
              <w:ind w:firstLine="480"/>
            </w:pPr>
            <w:r>
              <w:t>治理措施：</w:t>
            </w:r>
            <w:r>
              <w:rPr>
                <w:rFonts w:hint="eastAsia" w:ascii="宋体" w:hAnsi="宋体"/>
                <w:kern w:val="0"/>
                <w:lang w:val="en-US" w:eastAsia="zh-CN"/>
              </w:rPr>
              <w:t>生活污</w:t>
            </w:r>
            <w:r>
              <w:rPr>
                <w:rFonts w:hint="default" w:ascii="Times New Roman" w:hAnsi="Times New Roman" w:cs="Times New Roman"/>
                <w:kern w:val="0"/>
                <w:lang w:val="en-US" w:eastAsia="zh-CN"/>
              </w:rPr>
              <w:t>水</w:t>
            </w:r>
            <w:r>
              <w:rPr>
                <w:rFonts w:hint="default" w:ascii="Times New Roman" w:hAnsi="Times New Roman" w:cs="Times New Roman"/>
                <w:kern w:val="0"/>
              </w:rPr>
              <w:t>经化粪池</w:t>
            </w:r>
            <w:r>
              <w:rPr>
                <w:rFonts w:hint="default" w:ascii="Times New Roman" w:hAnsi="Times New Roman" w:cs="Times New Roman"/>
                <w:kern w:val="0"/>
                <w:lang w:val="en-US" w:eastAsia="zh-CN"/>
              </w:rPr>
              <w:t>处理</w:t>
            </w:r>
            <w:r>
              <w:rPr>
                <w:rFonts w:hint="default" w:ascii="Times New Roman" w:hAnsi="Times New Roman" w:cs="Times New Roman"/>
                <w:kern w:val="0"/>
              </w:rPr>
              <w:t>后</w:t>
            </w:r>
            <w:r>
              <w:rPr>
                <w:rFonts w:hint="default" w:ascii="Times New Roman" w:hAnsi="Times New Roman" w:cs="Times New Roman"/>
                <w:kern w:val="0"/>
                <w:lang w:val="en-US" w:eastAsia="zh-CN"/>
              </w:rPr>
              <w:t>达到《农村生活污水处理排放标准》（DB654275-2019)表2的C级标准，用于荒漠灌溉</w:t>
            </w:r>
            <w:r>
              <w:rPr>
                <w:rFonts w:hint="default" w:ascii="Times New Roman" w:hAnsi="Times New Roman" w:cs="Times New Roman"/>
                <w:kern w:val="0"/>
              </w:rPr>
              <w:t>。</w:t>
            </w:r>
            <w:r>
              <w:rPr>
                <w:rFonts w:hint="eastAsia" w:cs="Times New Roman"/>
                <w:kern w:val="0"/>
                <w:lang w:val="en-US" w:eastAsia="zh-CN"/>
              </w:rPr>
              <w:t>若羌县蒸发量大，</w:t>
            </w:r>
            <w:r>
              <w:rPr>
                <w:rFonts w:ascii="Segoe UI" w:hAnsi="Segoe UI" w:eastAsia="Segoe UI" w:cs="Segoe UI"/>
                <w:i w:val="0"/>
                <w:iCs w:val="0"/>
                <w:caps w:val="0"/>
                <w:color w:val="404040"/>
                <w:spacing w:val="0"/>
                <w:sz w:val="24"/>
                <w:szCs w:val="24"/>
                <w:shd w:val="clear" w:fill="FFFFFF"/>
              </w:rPr>
              <w:t>污水自然降解能力强</w:t>
            </w:r>
            <w:r>
              <w:rPr>
                <w:rFonts w:hint="eastAsia" w:cs="Times New Roman"/>
                <w:kern w:val="0"/>
                <w:lang w:val="en-US" w:eastAsia="zh-CN"/>
              </w:rPr>
              <w:t>。处理工艺及排放去向符合“因地制宜、经济可行”的农村污水治理原则，环境风险可控，可执行C级标准。须避免因采用漫灌、沟灌、淹灌等不合理利用方式而造成地下水和土壤污染、浪费水资源。荒漠灌溉且不进入天然水体和生态环境敏感区。</w:t>
            </w:r>
          </w:p>
          <w:p>
            <w:pPr>
              <w:spacing w:line="240" w:lineRule="auto"/>
              <w:ind w:firstLine="0" w:firstLineChars="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表4-2项目生活污水排放情况</w:t>
            </w:r>
          </w:p>
          <w:tbl>
            <w:tblPr>
              <w:tblStyle w:val="19"/>
              <w:tblW w:w="499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42"/>
              <w:gridCol w:w="1033"/>
              <w:gridCol w:w="952"/>
              <w:gridCol w:w="990"/>
              <w:gridCol w:w="1311"/>
              <w:gridCol w:w="844"/>
              <w:gridCol w:w="1135"/>
              <w:gridCol w:w="1135"/>
              <w:gridCol w:w="4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12" w:hRule="atLeast"/>
                <w:jc w:val="center"/>
              </w:trPr>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污染源</w:t>
                  </w:r>
                </w:p>
              </w:tc>
              <w:tc>
                <w:tcPr>
                  <w:tcW w:w="623" w:type="pct"/>
                  <w:tcBorders>
                    <w:tl2br w:val="nil"/>
                    <w:tr2bl w:val="nil"/>
                  </w:tcBorders>
                  <w:vAlign w:val="center"/>
                </w:tcPr>
                <w:p>
                  <w:pPr>
                    <w:spacing w:line="240" w:lineRule="auto"/>
                    <w:ind w:firstLine="0" w:firstLineChars="0"/>
                    <w:jc w:val="center"/>
                    <w:rPr>
                      <w:sz w:val="21"/>
                      <w:szCs w:val="21"/>
                    </w:rPr>
                  </w:pPr>
                  <w:r>
                    <w:rPr>
                      <w:rFonts w:hint="eastAsia"/>
                      <w:sz w:val="21"/>
                      <w:szCs w:val="21"/>
                    </w:rPr>
                    <w:t>污染物</w:t>
                  </w:r>
                </w:p>
              </w:tc>
              <w:tc>
                <w:tcPr>
                  <w:tcW w:w="57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单位</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rPr>
                    <w:t>进水</w:t>
                  </w:r>
                  <w:r>
                    <w:rPr>
                      <w:rFonts w:hint="eastAsia"/>
                      <w:sz w:val="21"/>
                      <w:szCs w:val="21"/>
                      <w:lang w:val="en-US" w:eastAsia="zh-CN"/>
                    </w:rPr>
                    <w:t>值</w:t>
                  </w:r>
                </w:p>
              </w:tc>
              <w:tc>
                <w:tcPr>
                  <w:tcW w:w="790" w:type="pct"/>
                  <w:tcBorders>
                    <w:tl2br w:val="nil"/>
                    <w:tr2bl w:val="nil"/>
                  </w:tcBorders>
                  <w:vAlign w:val="center"/>
                </w:tcPr>
                <w:p>
                  <w:pPr>
                    <w:spacing w:line="240" w:lineRule="auto"/>
                    <w:ind w:firstLine="0" w:firstLineChars="0"/>
                    <w:jc w:val="center"/>
                    <w:rPr>
                      <w:sz w:val="21"/>
                      <w:szCs w:val="21"/>
                    </w:rPr>
                  </w:pPr>
                  <w:r>
                    <w:rPr>
                      <w:rFonts w:hint="eastAsia"/>
                      <w:sz w:val="21"/>
                      <w:szCs w:val="21"/>
                    </w:rPr>
                    <w:t>治理措施</w:t>
                  </w:r>
                </w:p>
              </w:tc>
              <w:tc>
                <w:tcPr>
                  <w:tcW w:w="509" w:type="pct"/>
                  <w:tcBorders>
                    <w:tl2br w:val="nil"/>
                    <w:tr2bl w:val="nil"/>
                  </w:tcBorders>
                  <w:vAlign w:val="center"/>
                </w:tcPr>
                <w:p>
                  <w:pPr>
                    <w:spacing w:line="240" w:lineRule="auto"/>
                    <w:ind w:firstLine="0" w:firstLineChars="0"/>
                    <w:jc w:val="center"/>
                    <w:rPr>
                      <w:sz w:val="21"/>
                      <w:szCs w:val="21"/>
                    </w:rPr>
                  </w:pPr>
                  <w:r>
                    <w:rPr>
                      <w:rFonts w:hint="eastAsia"/>
                      <w:sz w:val="21"/>
                      <w:szCs w:val="21"/>
                    </w:rPr>
                    <w:t>去除</w:t>
                  </w:r>
                </w:p>
                <w:p>
                  <w:pPr>
                    <w:spacing w:line="240" w:lineRule="auto"/>
                    <w:ind w:firstLine="0" w:firstLineChars="0"/>
                    <w:jc w:val="center"/>
                    <w:rPr>
                      <w:sz w:val="21"/>
                      <w:szCs w:val="21"/>
                    </w:rPr>
                  </w:pPr>
                  <w:r>
                    <w:rPr>
                      <w:rFonts w:hint="eastAsia"/>
                      <w:sz w:val="21"/>
                      <w:szCs w:val="21"/>
                    </w:rPr>
                    <w:t>效率（</w:t>
                  </w:r>
                  <w:r>
                    <w:rPr>
                      <w:sz w:val="21"/>
                      <w:szCs w:val="21"/>
                    </w:rPr>
                    <w:t>%</w:t>
                  </w:r>
                  <w:r>
                    <w:rPr>
                      <w:rFonts w:hint="eastAsia"/>
                      <w:sz w:val="21"/>
                      <w:szCs w:val="21"/>
                    </w:rPr>
                    <w:t>）</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排放值</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排放标准</w:t>
                  </w:r>
                </w:p>
              </w:tc>
              <w:tc>
                <w:tcPr>
                  <w:tcW w:w="268" w:type="pct"/>
                  <w:tcBorders>
                    <w:tl2br w:val="nil"/>
                    <w:tr2bl w:val="nil"/>
                  </w:tcBorders>
                  <w:vAlign w:val="center"/>
                </w:tcPr>
                <w:p>
                  <w:pPr>
                    <w:spacing w:line="240" w:lineRule="auto"/>
                    <w:ind w:firstLine="0" w:firstLineChars="0"/>
                    <w:jc w:val="center"/>
                    <w:rPr>
                      <w:sz w:val="21"/>
                      <w:szCs w:val="21"/>
                    </w:rPr>
                  </w:pPr>
                  <w:r>
                    <w:rPr>
                      <w:rFonts w:hint="eastAsia"/>
                      <w:sz w:val="21"/>
                      <w:szCs w:val="21"/>
                    </w:rPr>
                    <w:t>是否为可行技术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生活污水</w:t>
                  </w:r>
                </w:p>
              </w:tc>
              <w:tc>
                <w:tcPr>
                  <w:tcW w:w="623"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pH</w:t>
                  </w:r>
                </w:p>
              </w:tc>
              <w:tc>
                <w:tcPr>
                  <w:tcW w:w="57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597"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6.5~8.5</w:t>
                  </w:r>
                </w:p>
              </w:tc>
              <w:tc>
                <w:tcPr>
                  <w:tcW w:w="790" w:type="pct"/>
                  <w:vMerge w:val="restart"/>
                  <w:tcBorders>
                    <w:tl2br w:val="nil"/>
                    <w:tr2bl w:val="nil"/>
                  </w:tcBorders>
                  <w:vAlign w:val="center"/>
                </w:tcPr>
                <w:p>
                  <w:pPr>
                    <w:spacing w:line="240" w:lineRule="auto"/>
                    <w:ind w:firstLine="0" w:firstLineChars="0"/>
                    <w:rPr>
                      <w:sz w:val="21"/>
                      <w:szCs w:val="21"/>
                    </w:rPr>
                  </w:pPr>
                  <w:r>
                    <w:rPr>
                      <w:rFonts w:hint="eastAsia"/>
                      <w:sz w:val="21"/>
                      <w:szCs w:val="21"/>
                    </w:rPr>
                    <w:t>经化粪池收集预处理后用于矿区荒漠生态恢复灌溉</w:t>
                  </w:r>
                </w:p>
              </w:tc>
              <w:tc>
                <w:tcPr>
                  <w:tcW w:w="509" w:type="pct"/>
                  <w:tcBorders>
                    <w:tl2br w:val="nil"/>
                    <w:tr2bl w:val="nil"/>
                  </w:tcBorders>
                  <w:vAlign w:val="center"/>
                </w:tcPr>
                <w:p>
                  <w:pPr>
                    <w:spacing w:line="240" w:lineRule="auto"/>
                    <w:ind w:firstLine="0" w:firstLineChars="0"/>
                    <w:jc w:val="center"/>
                    <w:rPr>
                      <w:sz w:val="21"/>
                      <w:szCs w:val="21"/>
                    </w:rPr>
                  </w:pPr>
                  <w:r>
                    <w:rPr>
                      <w:sz w:val="21"/>
                      <w:szCs w:val="21"/>
                    </w:rPr>
                    <w:t>--</w:t>
                  </w:r>
                </w:p>
              </w:tc>
              <w:tc>
                <w:tcPr>
                  <w:tcW w:w="684" w:type="pct"/>
                  <w:tcBorders>
                    <w:tl2br w:val="nil"/>
                    <w:tr2bl w:val="nil"/>
                  </w:tcBorders>
                  <w:vAlign w:val="center"/>
                </w:tcPr>
                <w:p>
                  <w:pPr>
                    <w:spacing w:line="240" w:lineRule="auto"/>
                    <w:ind w:firstLine="0" w:firstLineChars="0"/>
                    <w:jc w:val="center"/>
                    <w:rPr>
                      <w:sz w:val="21"/>
                      <w:szCs w:val="21"/>
                    </w:rPr>
                  </w:pPr>
                  <w:r>
                    <w:rPr>
                      <w:rFonts w:hint="eastAsia"/>
                      <w:sz w:val="21"/>
                      <w:szCs w:val="21"/>
                      <w:lang w:val="en-US" w:eastAsia="zh-CN"/>
                    </w:rPr>
                    <w:t>6.5~8.5</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6~9</w:t>
                  </w:r>
                </w:p>
              </w:tc>
              <w:tc>
                <w:tcPr>
                  <w:tcW w:w="268"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sz w:val="21"/>
                      <w:szCs w:val="21"/>
                    </w:rPr>
                    <w:t>COD</w:t>
                  </w:r>
                </w:p>
              </w:tc>
              <w:tc>
                <w:tcPr>
                  <w:tcW w:w="57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mg/L</w:t>
                  </w:r>
                </w:p>
              </w:tc>
              <w:tc>
                <w:tcPr>
                  <w:tcW w:w="597"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300</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35</w:t>
                  </w:r>
                </w:p>
              </w:tc>
              <w:tc>
                <w:tcPr>
                  <w:tcW w:w="68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195</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200</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sz w:val="21"/>
                      <w:szCs w:val="21"/>
                    </w:rPr>
                  </w:pPr>
                  <w:r>
                    <w:rPr>
                      <w:sz w:val="21"/>
                      <w:szCs w:val="21"/>
                    </w:rPr>
                    <w:t>SS</w:t>
                  </w:r>
                </w:p>
              </w:tc>
              <w:tc>
                <w:tcPr>
                  <w:tcW w:w="574" w:type="pct"/>
                  <w:tcBorders>
                    <w:tl2br w:val="nil"/>
                    <w:tr2bl w:val="nil"/>
                  </w:tcBorders>
                  <w:vAlign w:val="center"/>
                </w:tcPr>
                <w:p>
                  <w:pPr>
                    <w:spacing w:line="240" w:lineRule="auto"/>
                    <w:ind w:firstLine="0" w:firstLineChars="0"/>
                    <w:contextualSpacing/>
                    <w:jc w:val="center"/>
                    <w:rPr>
                      <w:sz w:val="21"/>
                      <w:szCs w:val="21"/>
                    </w:rPr>
                  </w:pPr>
                  <w:r>
                    <w:rPr>
                      <w:rFonts w:hint="eastAsia"/>
                      <w:sz w:val="21"/>
                      <w:szCs w:val="21"/>
                      <w:lang w:val="en-US" w:eastAsia="zh-CN"/>
                    </w:rPr>
                    <w:t>mg/L</w:t>
                  </w:r>
                </w:p>
              </w:tc>
              <w:tc>
                <w:tcPr>
                  <w:tcW w:w="597" w:type="pct"/>
                  <w:tcBorders>
                    <w:tl2br w:val="nil"/>
                    <w:tr2bl w:val="nil"/>
                  </w:tcBorders>
                  <w:vAlign w:val="center"/>
                </w:tcPr>
                <w:p>
                  <w:pPr>
                    <w:spacing w:line="240" w:lineRule="auto"/>
                    <w:ind w:firstLine="0" w:firstLineChars="0"/>
                    <w:jc w:val="center"/>
                    <w:rPr>
                      <w:rFonts w:hint="default"/>
                      <w:sz w:val="21"/>
                      <w:szCs w:val="21"/>
                      <w:lang w:val="en-US"/>
                    </w:rPr>
                  </w:pPr>
                  <w:r>
                    <w:rPr>
                      <w:sz w:val="21"/>
                      <w:szCs w:val="21"/>
                    </w:rPr>
                    <w:t>2</w:t>
                  </w:r>
                  <w:r>
                    <w:rPr>
                      <w:rFonts w:hint="eastAsia"/>
                      <w:sz w:val="21"/>
                      <w:szCs w:val="21"/>
                      <w:lang w:val="en-US" w:eastAsia="zh-CN"/>
                    </w:rPr>
                    <w:t>0</w:t>
                  </w:r>
                  <w:r>
                    <w:rPr>
                      <w:sz w:val="21"/>
                      <w:szCs w:val="21"/>
                    </w:rPr>
                    <w:t>0</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55</w:t>
                  </w:r>
                </w:p>
              </w:tc>
              <w:tc>
                <w:tcPr>
                  <w:tcW w:w="68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90</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100</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eastAsia" w:eastAsia="宋体"/>
                      <w:sz w:val="21"/>
                      <w:szCs w:val="21"/>
                      <w:lang w:eastAsia="zh-CN"/>
                    </w:rPr>
                  </w:pPr>
                  <w:r>
                    <w:rPr>
                      <w:rFonts w:hint="eastAsia"/>
                      <w:sz w:val="21"/>
                      <w:szCs w:val="21"/>
                      <w:lang w:val="en-US" w:eastAsia="zh-CN"/>
                    </w:rPr>
                    <w:t>蛔虫卵个数</w:t>
                  </w:r>
                </w:p>
              </w:tc>
              <w:tc>
                <w:tcPr>
                  <w:tcW w:w="574" w:type="pct"/>
                  <w:tcBorders>
                    <w:tl2br w:val="nil"/>
                    <w:tr2bl w:val="nil"/>
                  </w:tcBorders>
                  <w:vAlign w:val="center"/>
                </w:tcPr>
                <w:p>
                  <w:pPr>
                    <w:spacing w:line="240" w:lineRule="auto"/>
                    <w:ind w:firstLine="0" w:firstLineChars="0"/>
                    <w:contextualSpacing/>
                    <w:jc w:val="center"/>
                    <w:rPr>
                      <w:rFonts w:hint="default"/>
                      <w:sz w:val="21"/>
                      <w:szCs w:val="21"/>
                      <w:lang w:val="en-US" w:eastAsia="zh-CN"/>
                    </w:rPr>
                  </w:pPr>
                  <w:r>
                    <w:rPr>
                      <w:rFonts w:hint="eastAsia"/>
                      <w:sz w:val="21"/>
                      <w:szCs w:val="21"/>
                      <w:lang w:val="en-US" w:eastAsia="zh-CN"/>
                    </w:rPr>
                    <w:t>个/L</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3</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2</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eastAsia" w:eastAsia="宋体"/>
                      <w:sz w:val="21"/>
                      <w:szCs w:val="21"/>
                      <w:lang w:val="en-US" w:eastAsia="zh-CN"/>
                    </w:rPr>
                  </w:pPr>
                  <w:r>
                    <w:rPr>
                      <w:rFonts w:hint="eastAsia"/>
                      <w:sz w:val="21"/>
                      <w:szCs w:val="21"/>
                      <w:lang w:val="en-US" w:eastAsia="zh-CN"/>
                    </w:rPr>
                    <w:t>粪大肠菌群</w:t>
                  </w:r>
                </w:p>
              </w:tc>
              <w:tc>
                <w:tcPr>
                  <w:tcW w:w="574" w:type="pct"/>
                  <w:tcBorders>
                    <w:tl2br w:val="nil"/>
                    <w:tr2bl w:val="nil"/>
                  </w:tcBorders>
                  <w:vAlign w:val="center"/>
                </w:tcPr>
                <w:p>
                  <w:pPr>
                    <w:spacing w:line="240" w:lineRule="auto"/>
                    <w:ind w:firstLine="0" w:firstLineChars="0"/>
                    <w:contextualSpacing/>
                    <w:jc w:val="center"/>
                    <w:rPr>
                      <w:rFonts w:hint="default"/>
                      <w:sz w:val="21"/>
                      <w:szCs w:val="21"/>
                      <w:lang w:val="en-US" w:eastAsia="zh-CN"/>
                    </w:rPr>
                  </w:pPr>
                  <w:r>
                    <w:rPr>
                      <w:rFonts w:hint="eastAsia"/>
                      <w:sz w:val="21"/>
                      <w:szCs w:val="21"/>
                      <w:lang w:val="en-US" w:eastAsia="zh-CN"/>
                    </w:rPr>
                    <w:t>MPN/L</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6</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684" w:type="pct"/>
                  <w:tcBorders>
                    <w:tl2br w:val="nil"/>
                    <w:tr2bl w:val="nil"/>
                  </w:tcBorders>
                  <w:vAlign w:val="center"/>
                </w:tcPr>
                <w:p>
                  <w:pPr>
                    <w:spacing w:line="240" w:lineRule="auto"/>
                    <w:ind w:firstLine="0" w:firstLineChars="0"/>
                    <w:jc w:val="center"/>
                    <w:rPr>
                      <w:rFonts w:hint="eastAsia"/>
                      <w:sz w:val="21"/>
                      <w:szCs w:val="21"/>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p>
              </w:tc>
              <w:tc>
                <w:tcPr>
                  <w:tcW w:w="684" w:type="pct"/>
                  <w:tcBorders>
                    <w:tl2br w:val="nil"/>
                    <w:tr2bl w:val="nil"/>
                  </w:tcBorders>
                  <w:vAlign w:val="center"/>
                </w:tcPr>
                <w:p>
                  <w:pPr>
                    <w:spacing w:line="240" w:lineRule="auto"/>
                    <w:ind w:firstLine="0" w:firstLineChars="0"/>
                    <w:jc w:val="center"/>
                    <w:rPr>
                      <w:sz w:val="21"/>
                      <w:szCs w:val="21"/>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4</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bl>
          <w:p>
            <w:pPr>
              <w:ind w:firstLine="480"/>
            </w:pPr>
            <w:r>
              <w:rPr>
                <w:rFonts w:hint="eastAsia"/>
              </w:rPr>
              <w:t>本项目用水一览表见表4-</w:t>
            </w:r>
            <w:r>
              <w:rPr>
                <w:rFonts w:hint="eastAsia"/>
                <w:lang w:val="en-US" w:eastAsia="zh-CN"/>
              </w:rPr>
              <w:t>3</w:t>
            </w:r>
            <w:r>
              <w:rPr>
                <w:rFonts w:hint="eastAsia"/>
              </w:rPr>
              <w:t>。</w:t>
            </w:r>
          </w:p>
          <w:p>
            <w:pPr>
              <w:pStyle w:val="28"/>
              <w:spacing w:before="120"/>
            </w:pPr>
            <w:r>
              <w:rPr>
                <w:rFonts w:hint="eastAsia"/>
              </w:rPr>
              <w:t>表4-</w:t>
            </w:r>
            <w:r>
              <w:rPr>
                <w:rFonts w:hint="eastAsia"/>
                <w:lang w:val="en-US" w:eastAsia="zh-CN"/>
              </w:rPr>
              <w:t>3</w:t>
            </w:r>
            <w:r>
              <w:rPr>
                <w:rFonts w:hint="eastAsia"/>
              </w:rPr>
              <w:t>项目用水情况一览表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5"/>
              <w:gridCol w:w="2656"/>
              <w:gridCol w:w="1826"/>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76" w:type="pct"/>
                  <w:tcBorders>
                    <w:tl2br w:val="nil"/>
                    <w:tr2bl w:val="nil"/>
                  </w:tcBorders>
                  <w:shd w:val="clear" w:color="auto" w:fill="auto"/>
                  <w:vAlign w:val="center"/>
                </w:tcPr>
                <w:p>
                  <w:pPr>
                    <w:pStyle w:val="26"/>
                  </w:pPr>
                  <w:r>
                    <w:t>序号</w:t>
                  </w:r>
                </w:p>
              </w:tc>
              <w:tc>
                <w:tcPr>
                  <w:tcW w:w="1601" w:type="pct"/>
                  <w:tcBorders>
                    <w:tl2br w:val="nil"/>
                    <w:tr2bl w:val="nil"/>
                  </w:tcBorders>
                  <w:shd w:val="clear" w:color="auto" w:fill="auto"/>
                  <w:vAlign w:val="center"/>
                </w:tcPr>
                <w:p>
                  <w:pPr>
                    <w:pStyle w:val="26"/>
                  </w:pPr>
                  <w:r>
                    <w:t>用水位置</w:t>
                  </w:r>
                </w:p>
              </w:tc>
              <w:tc>
                <w:tcPr>
                  <w:tcW w:w="1101" w:type="pct"/>
                  <w:tcBorders>
                    <w:tl2br w:val="nil"/>
                    <w:tr2bl w:val="nil"/>
                  </w:tcBorders>
                  <w:shd w:val="clear" w:color="auto" w:fill="auto"/>
                  <w:vAlign w:val="center"/>
                </w:tcPr>
                <w:p>
                  <w:pPr>
                    <w:pStyle w:val="26"/>
                  </w:pPr>
                  <w:r>
                    <w:t>用水方式</w:t>
                  </w:r>
                </w:p>
              </w:tc>
              <w:tc>
                <w:tcPr>
                  <w:tcW w:w="1720" w:type="pct"/>
                  <w:tcBorders>
                    <w:tl2br w:val="nil"/>
                    <w:tr2bl w:val="nil"/>
                  </w:tcBorders>
                  <w:shd w:val="clear" w:color="auto" w:fill="auto"/>
                  <w:vAlign w:val="center"/>
                </w:tcPr>
                <w:p>
                  <w:pPr>
                    <w:pStyle w:val="26"/>
                  </w:pPr>
                  <w:r>
                    <w:t>用水量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6"/>
                  </w:pPr>
                  <w:r>
                    <w:t>1</w:t>
                  </w:r>
                </w:p>
              </w:tc>
              <w:tc>
                <w:tcPr>
                  <w:tcW w:w="1601" w:type="pct"/>
                  <w:tcBorders>
                    <w:tl2br w:val="nil"/>
                    <w:tr2bl w:val="nil"/>
                  </w:tcBorders>
                  <w:shd w:val="clear" w:color="auto" w:fill="auto"/>
                  <w:vAlign w:val="center"/>
                </w:tcPr>
                <w:p>
                  <w:pPr>
                    <w:pStyle w:val="26"/>
                  </w:pPr>
                  <w:r>
                    <w:t>钻探</w:t>
                  </w:r>
                </w:p>
              </w:tc>
              <w:tc>
                <w:tcPr>
                  <w:tcW w:w="1101" w:type="pct"/>
                  <w:tcBorders>
                    <w:tl2br w:val="nil"/>
                    <w:tr2bl w:val="nil"/>
                  </w:tcBorders>
                  <w:shd w:val="clear" w:color="auto" w:fill="auto"/>
                  <w:vAlign w:val="center"/>
                </w:tcPr>
                <w:p>
                  <w:pPr>
                    <w:pStyle w:val="26"/>
                  </w:pPr>
                  <w:r>
                    <w:t>钻探废水</w:t>
                  </w:r>
                </w:p>
              </w:tc>
              <w:tc>
                <w:tcPr>
                  <w:tcW w:w="1720" w:type="pct"/>
                  <w:tcBorders>
                    <w:tl2br w:val="nil"/>
                    <w:tr2bl w:val="nil"/>
                  </w:tcBorders>
                  <w:shd w:val="clear" w:color="auto" w:fill="auto"/>
                  <w:vAlign w:val="center"/>
                </w:tcPr>
                <w:p>
                  <w:pPr>
                    <w:pStyle w:val="26"/>
                  </w:pPr>
                  <w:r>
                    <w:rPr>
                      <w:rFonts w:hint="eastAsia"/>
                    </w:rPr>
                    <w:t>0.</w:t>
                  </w:r>
                  <w:r>
                    <w:t>4m</w:t>
                  </w:r>
                  <w:r>
                    <w:rPr>
                      <w:vertAlign w:val="superscript"/>
                    </w:rPr>
                    <w:t>3</w:t>
                  </w:r>
                  <w:r>
                    <w:t>/d</w:t>
                  </w:r>
                  <w:r>
                    <w:rPr>
                      <w:rFonts w:hint="eastAsia"/>
                    </w:rPr>
                    <w:t>，</w:t>
                  </w:r>
                  <w:r>
                    <w:rPr>
                      <w:rFonts w:hint="eastAsia"/>
                      <w:lang w:val="en-US" w:eastAsia="zh-CN"/>
                    </w:rPr>
                    <w:t>20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6"/>
                  </w:pPr>
                  <w:r>
                    <w:t>2</w:t>
                  </w:r>
                </w:p>
              </w:tc>
              <w:tc>
                <w:tcPr>
                  <w:tcW w:w="1601" w:type="pct"/>
                  <w:tcBorders>
                    <w:tl2br w:val="nil"/>
                    <w:tr2bl w:val="nil"/>
                  </w:tcBorders>
                  <w:shd w:val="clear" w:color="auto" w:fill="auto"/>
                  <w:vAlign w:val="center"/>
                </w:tcPr>
                <w:p>
                  <w:pPr>
                    <w:pStyle w:val="26"/>
                  </w:pPr>
                  <w:r>
                    <w:rPr>
                      <w:rFonts w:hint="eastAsia"/>
                    </w:rPr>
                    <w:t>临时堆场</w:t>
                  </w:r>
                  <w:r>
                    <w:t>、便道</w:t>
                  </w:r>
                </w:p>
              </w:tc>
              <w:tc>
                <w:tcPr>
                  <w:tcW w:w="1101" w:type="pct"/>
                  <w:tcBorders>
                    <w:tl2br w:val="nil"/>
                    <w:tr2bl w:val="nil"/>
                  </w:tcBorders>
                  <w:shd w:val="clear" w:color="auto" w:fill="auto"/>
                  <w:vAlign w:val="center"/>
                </w:tcPr>
                <w:p>
                  <w:pPr>
                    <w:pStyle w:val="26"/>
                  </w:pPr>
                  <w:r>
                    <w:t>抑尘废水</w:t>
                  </w:r>
                </w:p>
              </w:tc>
              <w:tc>
                <w:tcPr>
                  <w:tcW w:w="1720" w:type="pct"/>
                  <w:tcBorders>
                    <w:tl2br w:val="nil"/>
                    <w:tr2bl w:val="nil"/>
                  </w:tcBorders>
                  <w:shd w:val="clear" w:color="auto" w:fill="auto"/>
                  <w:vAlign w:val="center"/>
                </w:tcPr>
                <w:p>
                  <w:pPr>
                    <w:pStyle w:val="26"/>
                  </w:pPr>
                  <w:r>
                    <w:rPr>
                      <w:rFonts w:hint="eastAsia"/>
                      <w:lang w:val="en-US" w:eastAsia="zh-CN"/>
                    </w:rPr>
                    <w:t>2</w:t>
                  </w:r>
                  <w:r>
                    <w:t>m</w:t>
                  </w:r>
                  <w:r>
                    <w:rPr>
                      <w:vertAlign w:val="superscript"/>
                    </w:rPr>
                    <w:t>3</w:t>
                  </w:r>
                  <w:r>
                    <w:t>/d，</w:t>
                  </w:r>
                  <w:r>
                    <w:rPr>
                      <w:rFonts w:hint="eastAsia"/>
                      <w:lang w:val="en-US" w:eastAsia="zh-CN"/>
                    </w:rPr>
                    <w:t>100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576" w:type="pct"/>
                  <w:tcBorders>
                    <w:tl2br w:val="nil"/>
                    <w:tr2bl w:val="nil"/>
                  </w:tcBorders>
                  <w:shd w:val="clear" w:color="auto" w:fill="auto"/>
                  <w:vAlign w:val="center"/>
                </w:tcPr>
                <w:p>
                  <w:pPr>
                    <w:pStyle w:val="26"/>
                  </w:pPr>
                  <w:r>
                    <w:t>3</w:t>
                  </w:r>
                </w:p>
              </w:tc>
              <w:tc>
                <w:tcPr>
                  <w:tcW w:w="1601" w:type="pct"/>
                  <w:tcBorders>
                    <w:tl2br w:val="nil"/>
                    <w:tr2bl w:val="nil"/>
                  </w:tcBorders>
                  <w:shd w:val="clear" w:color="auto" w:fill="auto"/>
                  <w:vAlign w:val="center"/>
                </w:tcPr>
                <w:p>
                  <w:pPr>
                    <w:pStyle w:val="26"/>
                  </w:pPr>
                  <w:r>
                    <w:t>生活区</w:t>
                  </w:r>
                </w:p>
              </w:tc>
              <w:tc>
                <w:tcPr>
                  <w:tcW w:w="1101" w:type="pct"/>
                  <w:tcBorders>
                    <w:tl2br w:val="nil"/>
                    <w:tr2bl w:val="nil"/>
                  </w:tcBorders>
                  <w:shd w:val="clear" w:color="auto" w:fill="auto"/>
                  <w:vAlign w:val="center"/>
                </w:tcPr>
                <w:p>
                  <w:pPr>
                    <w:pStyle w:val="26"/>
                  </w:pPr>
                  <w:r>
                    <w:rPr>
                      <w:rFonts w:hint="eastAsia"/>
                      <w:lang w:val="en-US" w:eastAsia="zh-CN"/>
                    </w:rPr>
                    <w:t>生活污水</w:t>
                  </w:r>
                </w:p>
              </w:tc>
              <w:tc>
                <w:tcPr>
                  <w:tcW w:w="1720" w:type="pct"/>
                  <w:tcBorders>
                    <w:tl2br w:val="nil"/>
                    <w:tr2bl w:val="nil"/>
                  </w:tcBorders>
                  <w:shd w:val="clear" w:color="auto" w:fill="auto"/>
                  <w:vAlign w:val="center"/>
                </w:tcPr>
                <w:p>
                  <w:pPr>
                    <w:pStyle w:val="26"/>
                  </w:pPr>
                  <w:r>
                    <w:rPr>
                      <w:rFonts w:hint="eastAsia"/>
                      <w:bCs/>
                    </w:rPr>
                    <w:t>0.55</w:t>
                  </w:r>
                  <w:r>
                    <w:rPr>
                      <w:bCs/>
                    </w:rPr>
                    <w:t>m</w:t>
                  </w:r>
                  <w:r>
                    <w:rPr>
                      <w:bCs/>
                      <w:vertAlign w:val="superscript"/>
                    </w:rPr>
                    <w:t>3</w:t>
                  </w:r>
                  <w:r>
                    <w:rPr>
                      <w:bCs/>
                    </w:rPr>
                    <w:t>/d</w:t>
                  </w:r>
                  <w:r>
                    <w:t>，</w:t>
                  </w:r>
                  <w:r>
                    <w:rPr>
                      <w:rFonts w:hint="eastAsia"/>
                      <w:lang w:val="en-US" w:eastAsia="zh-CN"/>
                    </w:rPr>
                    <w:t>27.5</w:t>
                  </w:r>
                  <w:r>
                    <w:t>m</w:t>
                  </w:r>
                  <w:r>
                    <w:rPr>
                      <w:vertAlign w:val="superscript"/>
                    </w:rPr>
                    <w:t>3</w:t>
                  </w:r>
                  <w:r>
                    <w:t>/a</w:t>
                  </w:r>
                </w:p>
              </w:tc>
            </w:tr>
          </w:tbl>
          <w:p>
            <w:pPr>
              <w:adjustRightInd w:val="0"/>
              <w:snapToGrid w:val="0"/>
              <w:ind w:firstLine="0" w:firstLineChars="0"/>
              <w:rPr>
                <w:b/>
              </w:rPr>
            </w:pPr>
            <w:r>
              <mc:AlternateContent>
                <mc:Choice Requires="wpc">
                  <w:drawing>
                    <wp:anchor distT="0" distB="0" distL="114300" distR="114300" simplePos="0" relativeHeight="251660288" behindDoc="0" locked="0" layoutInCell="1" allowOverlap="1">
                      <wp:simplePos x="0" y="0"/>
                      <wp:positionH relativeFrom="column">
                        <wp:posOffset>-11430</wp:posOffset>
                      </wp:positionH>
                      <wp:positionV relativeFrom="paragraph">
                        <wp:posOffset>226695</wp:posOffset>
                      </wp:positionV>
                      <wp:extent cx="5492750" cy="1976120"/>
                      <wp:effectExtent l="0" t="0" r="0" b="4445"/>
                      <wp:wrapTopAndBottom/>
                      <wp:docPr id="45" name="画布 45"/>
                      <wp:cNvGraphicFramePr/>
                      <a:graphic xmlns:a="http://schemas.openxmlformats.org/drawingml/2006/main">
                        <a:graphicData uri="http://schemas.microsoft.com/office/word/2010/wordprocessingCanvas">
                          <wpc:wpc>
                            <wpc:bg>
                              <a:noFill/>
                            </wpc:bg>
                            <wpc:whole>
                              <a:ln>
                                <a:noFill/>
                              </a:ln>
                            </wpc:whole>
                            <wps:wsp>
                              <wps:cNvPr id="1" name="直接箭头连接符 18"/>
                              <wps:cNvCnPr/>
                              <wps:spPr>
                                <a:xfrm>
                                  <a:off x="779145" y="1269365"/>
                                  <a:ext cx="504825" cy="0"/>
                                </a:xfrm>
                                <a:prstGeom prst="straightConnector1">
                                  <a:avLst/>
                                </a:prstGeom>
                                <a:ln w="12700" cap="flat" cmpd="sng">
                                  <a:solidFill>
                                    <a:srgbClr val="000000"/>
                                  </a:solidFill>
                                  <a:prstDash val="solid"/>
                                  <a:headEnd type="none" w="med" len="med"/>
                                  <a:tailEnd type="arrow" w="lg" len="lg"/>
                                </a:ln>
                              </wps:spPr>
                              <wps:bodyPr/>
                            </wps:wsp>
                            <wps:wsp>
                              <wps:cNvPr id="2" name="文本框 19"/>
                              <wps:cNvSpPr txBox="1"/>
                              <wps:spPr>
                                <a:xfrm>
                                  <a:off x="104775" y="1059815"/>
                                  <a:ext cx="819150" cy="447675"/>
                                </a:xfrm>
                                <a:prstGeom prst="rect">
                                  <a:avLst/>
                                </a:prstGeom>
                                <a:solidFill>
                                  <a:srgbClr val="FFFFFF"/>
                                </a:solidFill>
                                <a:ln>
                                  <a:noFill/>
                                </a:ln>
                              </wps:spPr>
                              <wps:txbx>
                                <w:txbxContent>
                                  <w:p>
                                    <w:pPr>
                                      <w:pStyle w:val="26"/>
                                    </w:pPr>
                                    <w:r>
                                      <w:t>新鲜水</w:t>
                                    </w:r>
                                  </w:p>
                                  <w:p>
                                    <w:pPr>
                                      <w:pStyle w:val="26"/>
                                      <w:rPr>
                                        <w:rFonts w:hint="default" w:eastAsia="宋体"/>
                                        <w:lang w:val="en-US" w:eastAsia="zh-CN"/>
                                      </w:rPr>
                                    </w:pPr>
                                    <w:r>
                                      <w:rPr>
                                        <w:rFonts w:hint="eastAsia"/>
                                        <w:lang w:val="en-US" w:eastAsia="zh-CN"/>
                                      </w:rPr>
                                      <w:t>147.5</w:t>
                                    </w:r>
                                  </w:p>
                                </w:txbxContent>
                              </wps:txbx>
                              <wps:bodyPr upright="1"/>
                            </wps:wsp>
                            <wps:wsp>
                              <wps:cNvPr id="3" name="直接连接符 20"/>
                              <wps:cNvCnPr/>
                              <wps:spPr>
                                <a:xfrm>
                                  <a:off x="1274445" y="632460"/>
                                  <a:ext cx="9525" cy="1095375"/>
                                </a:xfrm>
                                <a:prstGeom prst="line">
                                  <a:avLst/>
                                </a:prstGeom>
                                <a:ln w="9525" cap="flat" cmpd="sng">
                                  <a:solidFill>
                                    <a:srgbClr val="000000"/>
                                  </a:solidFill>
                                  <a:prstDash val="solid"/>
                                  <a:headEnd type="none" w="med" len="med"/>
                                  <a:tailEnd type="none" w="med" len="med"/>
                                </a:ln>
                              </wps:spPr>
                              <wps:bodyPr/>
                            </wps:wsp>
                            <wps:wsp>
                              <wps:cNvPr id="4" name="文本框 21"/>
                              <wps:cNvSpPr txBox="1"/>
                              <wps:spPr>
                                <a:xfrm>
                                  <a:off x="1979295" y="508635"/>
                                  <a:ext cx="101790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6"/>
                                      <w:rPr>
                                        <w:rFonts w:hint="eastAsia" w:eastAsia="宋体"/>
                                        <w:lang w:eastAsia="zh-CN"/>
                                      </w:rPr>
                                    </w:pPr>
                                    <w:r>
                                      <w:rPr>
                                        <w:rFonts w:hint="eastAsia"/>
                                      </w:rPr>
                                      <w:t>钻探用水</w:t>
                                    </w:r>
                                    <w:r>
                                      <w:rPr>
                                        <w:rFonts w:hint="eastAsia"/>
                                        <w:lang w:val="en-US" w:eastAsia="zh-CN"/>
                                      </w:rPr>
                                      <w:t>5</w:t>
                                    </w:r>
                                  </w:p>
                                </w:txbxContent>
                              </wps:txbx>
                              <wps:bodyPr upright="1"/>
                            </wps:wsp>
                            <wps:wsp>
                              <wps:cNvPr id="5" name="直接连接符 22"/>
                              <wps:cNvCnPr/>
                              <wps:spPr>
                                <a:xfrm>
                                  <a:off x="2903220" y="565785"/>
                                  <a:ext cx="342900" cy="635"/>
                                </a:xfrm>
                                <a:prstGeom prst="line">
                                  <a:avLst/>
                                </a:prstGeom>
                                <a:ln w="9525" cap="flat" cmpd="sng">
                                  <a:solidFill>
                                    <a:srgbClr val="000000"/>
                                  </a:solidFill>
                                  <a:prstDash val="solid"/>
                                  <a:headEnd type="none" w="med" len="med"/>
                                  <a:tailEnd type="none" w="med" len="med"/>
                                </a:ln>
                              </wps:spPr>
                              <wps:bodyPr/>
                            </wps:wsp>
                            <wps:wsp>
                              <wps:cNvPr id="6" name="直接连接符 23"/>
                              <wps:cNvCnPr/>
                              <wps:spPr>
                                <a:xfrm flipH="1" flipV="1">
                                  <a:off x="3246755" y="251460"/>
                                  <a:ext cx="635" cy="333375"/>
                                </a:xfrm>
                                <a:prstGeom prst="line">
                                  <a:avLst/>
                                </a:prstGeom>
                                <a:ln w="9525" cap="flat" cmpd="sng">
                                  <a:solidFill>
                                    <a:srgbClr val="000000"/>
                                  </a:solidFill>
                                  <a:prstDash val="solid"/>
                                  <a:headEnd type="none" w="med" len="med"/>
                                  <a:tailEnd type="none" w="med" len="med"/>
                                </a:ln>
                              </wps:spPr>
                              <wps:bodyPr/>
                            </wps:wsp>
                            <wps:wsp>
                              <wps:cNvPr id="7" name="直接连接符 24"/>
                              <wps:cNvCnPr/>
                              <wps:spPr>
                                <a:xfrm flipH="1">
                                  <a:off x="2446020" y="260985"/>
                                  <a:ext cx="809625" cy="635"/>
                                </a:xfrm>
                                <a:prstGeom prst="line">
                                  <a:avLst/>
                                </a:prstGeom>
                                <a:ln w="9525" cap="flat" cmpd="sng">
                                  <a:solidFill>
                                    <a:srgbClr val="000000"/>
                                  </a:solidFill>
                                  <a:prstDash val="solid"/>
                                  <a:headEnd type="none" w="med" len="med"/>
                                  <a:tailEnd type="none" w="med" len="med"/>
                                </a:ln>
                              </wps:spPr>
                              <wps:bodyPr/>
                            </wps:wsp>
                            <wps:wsp>
                              <wps:cNvPr id="8" name="直接箭头连接符 25"/>
                              <wps:cNvCnPr/>
                              <wps:spPr>
                                <a:xfrm flipH="1">
                                  <a:off x="2445385" y="261620"/>
                                  <a:ext cx="635" cy="247015"/>
                                </a:xfrm>
                                <a:prstGeom prst="straightConnector1">
                                  <a:avLst/>
                                </a:prstGeom>
                                <a:ln w="12700" cap="flat" cmpd="sng">
                                  <a:solidFill>
                                    <a:srgbClr val="000000"/>
                                  </a:solidFill>
                                  <a:prstDash val="solid"/>
                                  <a:headEnd type="none" w="med" len="med"/>
                                  <a:tailEnd type="arrow" w="lg" len="lg"/>
                                </a:ln>
                              </wps:spPr>
                              <wps:bodyPr/>
                            </wps:wsp>
                            <wps:wsp>
                              <wps:cNvPr id="9" name="直接箭头连接符 26"/>
                              <wps:cNvCnPr>
                                <a:endCxn id="76" idx="1"/>
                              </wps:cNvCnPr>
                              <wps:spPr>
                                <a:xfrm flipV="1">
                                  <a:off x="1283970" y="647065"/>
                                  <a:ext cx="695325" cy="4445"/>
                                </a:xfrm>
                                <a:prstGeom prst="straightConnector1">
                                  <a:avLst/>
                                </a:prstGeom>
                                <a:ln w="12700" cap="flat" cmpd="sng">
                                  <a:solidFill>
                                    <a:srgbClr val="000000"/>
                                  </a:solidFill>
                                  <a:prstDash val="solid"/>
                                  <a:headEnd type="none" w="med" len="med"/>
                                  <a:tailEnd type="arrow" w="lg" len="lg"/>
                                </a:ln>
                              </wps:spPr>
                              <wps:bodyPr/>
                            </wps:wsp>
                            <wps:wsp>
                              <wps:cNvPr id="10" name="文本框 27"/>
                              <wps:cNvSpPr txBox="1"/>
                              <wps:spPr>
                                <a:xfrm>
                                  <a:off x="2465705" y="236855"/>
                                  <a:ext cx="755650" cy="274320"/>
                                </a:xfrm>
                                <a:prstGeom prst="rect">
                                  <a:avLst/>
                                </a:prstGeom>
                                <a:noFill/>
                                <a:ln>
                                  <a:noFill/>
                                </a:ln>
                              </wps:spPr>
                              <wps:txbx>
                                <w:txbxContent>
                                  <w:p>
                                    <w:pPr>
                                      <w:pStyle w:val="26"/>
                                      <w:jc w:val="both"/>
                                    </w:pPr>
                                    <w:r>
                                      <w:rPr>
                                        <w:rFonts w:hint="eastAsia"/>
                                      </w:rPr>
                                      <w:t>循环用水</w:t>
                                    </w:r>
                                  </w:p>
                                </w:txbxContent>
                              </wps:txbx>
                              <wps:bodyPr upright="1"/>
                            </wps:wsp>
                            <wps:wsp>
                              <wps:cNvPr id="11" name="直接连接符 28"/>
                              <wps:cNvCnPr/>
                              <wps:spPr>
                                <a:xfrm flipV="1">
                                  <a:off x="2045970" y="261620"/>
                                  <a:ext cx="114300" cy="227965"/>
                                </a:xfrm>
                                <a:prstGeom prst="line">
                                  <a:avLst/>
                                </a:prstGeom>
                                <a:ln w="6350" cap="flat" cmpd="sng">
                                  <a:solidFill>
                                    <a:srgbClr val="000000"/>
                                  </a:solidFill>
                                  <a:prstDash val="dashDot"/>
                                  <a:headEnd type="none" w="med" len="med"/>
                                  <a:tailEnd type="arrow" w="med" len="med"/>
                                </a:ln>
                              </wps:spPr>
                              <wps:bodyPr/>
                            </wps:wsp>
                            <wps:wsp>
                              <wps:cNvPr id="12" name="文本框 29"/>
                              <wps:cNvSpPr txBox="1"/>
                              <wps:spPr>
                                <a:xfrm>
                                  <a:off x="1741805" y="28575"/>
                                  <a:ext cx="812800" cy="308610"/>
                                </a:xfrm>
                                <a:prstGeom prst="rect">
                                  <a:avLst/>
                                </a:prstGeom>
                                <a:noFill/>
                                <a:ln>
                                  <a:noFill/>
                                </a:ln>
                              </wps:spPr>
                              <wps:txbx>
                                <w:txbxContent>
                                  <w:p>
                                    <w:pPr>
                                      <w:pStyle w:val="26"/>
                                      <w:rPr>
                                        <w:rFonts w:hint="default" w:eastAsia="宋体"/>
                                        <w:lang w:val="en-US" w:eastAsia="zh-CN"/>
                                      </w:rPr>
                                    </w:pPr>
                                    <w:r>
                                      <w:rPr>
                                        <w:rFonts w:hint="eastAsia"/>
                                      </w:rPr>
                                      <w:t>损耗</w:t>
                                    </w:r>
                                    <w:r>
                                      <w:rPr>
                                        <w:rFonts w:hint="eastAsia"/>
                                        <w:lang w:val="en-US" w:eastAsia="zh-CN"/>
                                      </w:rPr>
                                      <w:t>20</w:t>
                                    </w:r>
                                  </w:p>
                                </w:txbxContent>
                              </wps:txbx>
                              <wps:bodyPr upright="1"/>
                            </wps:wsp>
                            <wps:wsp>
                              <wps:cNvPr id="13" name="文本框 30"/>
                              <wps:cNvSpPr txBox="1"/>
                              <wps:spPr>
                                <a:xfrm>
                                  <a:off x="1313180" y="427355"/>
                                  <a:ext cx="469900" cy="304800"/>
                                </a:xfrm>
                                <a:prstGeom prst="rect">
                                  <a:avLst/>
                                </a:prstGeom>
                                <a:noFill/>
                                <a:ln>
                                  <a:noFill/>
                                </a:ln>
                              </wps:spPr>
                              <wps:txbx>
                                <w:txbxContent>
                                  <w:p>
                                    <w:pPr>
                                      <w:pStyle w:val="26"/>
                                      <w:rPr>
                                        <w:rFonts w:hint="default" w:eastAsia="宋体"/>
                                        <w:lang w:val="en-US" w:eastAsia="zh-CN"/>
                                      </w:rPr>
                                    </w:pPr>
                                    <w:r>
                                      <w:rPr>
                                        <w:rFonts w:hint="eastAsia"/>
                                        <w:lang w:val="en-US" w:eastAsia="zh-CN"/>
                                      </w:rPr>
                                      <w:t>25</w:t>
                                    </w:r>
                                  </w:p>
                                </w:txbxContent>
                              </wps:txbx>
                              <wps:bodyPr upright="1"/>
                            </wps:wsp>
                            <wps:wsp>
                              <wps:cNvPr id="14" name="直接箭头连接符 31"/>
                              <wps:cNvCnPr/>
                              <wps:spPr>
                                <a:xfrm>
                                  <a:off x="1275080" y="1713230"/>
                                  <a:ext cx="673100" cy="0"/>
                                </a:xfrm>
                                <a:prstGeom prst="straightConnector1">
                                  <a:avLst/>
                                </a:prstGeom>
                                <a:ln w="12700" cap="flat" cmpd="sng">
                                  <a:solidFill>
                                    <a:srgbClr val="000000"/>
                                  </a:solidFill>
                                  <a:prstDash val="solid"/>
                                  <a:headEnd type="none" w="med" len="med"/>
                                  <a:tailEnd type="arrow" w="lg" len="lg"/>
                                </a:ln>
                              </wps:spPr>
                              <wps:bodyPr/>
                            </wps:wsp>
                            <wps:wsp>
                              <wps:cNvPr id="15" name="直接箭头连接符 32"/>
                              <wps:cNvCnPr/>
                              <wps:spPr>
                                <a:xfrm>
                                  <a:off x="1294130" y="1265555"/>
                                  <a:ext cx="673100" cy="0"/>
                                </a:xfrm>
                                <a:prstGeom prst="straightConnector1">
                                  <a:avLst/>
                                </a:prstGeom>
                                <a:ln w="12700" cap="flat" cmpd="sng">
                                  <a:solidFill>
                                    <a:srgbClr val="000000"/>
                                  </a:solidFill>
                                  <a:prstDash val="solid"/>
                                  <a:headEnd type="none" w="med" len="med"/>
                                  <a:tailEnd type="arrow" w="lg" len="lg"/>
                                </a:ln>
                              </wps:spPr>
                              <wps:bodyPr/>
                            </wps:wsp>
                            <wps:wsp>
                              <wps:cNvPr id="17" name="文本框 33"/>
                              <wps:cNvSpPr txBox="1"/>
                              <wps:spPr>
                                <a:xfrm>
                                  <a:off x="1970405" y="1122680"/>
                                  <a:ext cx="10795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6"/>
                                      <w:rPr>
                                        <w:rFonts w:hint="default" w:eastAsia="宋体"/>
                                        <w:lang w:val="en-US" w:eastAsia="zh-CN"/>
                                      </w:rPr>
                                    </w:pPr>
                                    <w:r>
                                      <w:rPr>
                                        <w:rFonts w:hint="eastAsia"/>
                                      </w:rPr>
                                      <w:t>抑尘用水</w:t>
                                    </w:r>
                                    <w:r>
                                      <w:rPr>
                                        <w:rFonts w:hint="eastAsia"/>
                                        <w:lang w:val="en-US" w:eastAsia="zh-CN"/>
                                      </w:rPr>
                                      <w:t>100</w:t>
                                    </w:r>
                                  </w:p>
                                </w:txbxContent>
                              </wps:txbx>
                              <wps:bodyPr upright="1"/>
                            </wps:wsp>
                            <wps:wsp>
                              <wps:cNvPr id="18" name="文本框 34"/>
                              <wps:cNvSpPr txBox="1"/>
                              <wps:spPr>
                                <a:xfrm>
                                  <a:off x="1351280" y="1036955"/>
                                  <a:ext cx="469900" cy="304800"/>
                                </a:xfrm>
                                <a:prstGeom prst="rect">
                                  <a:avLst/>
                                </a:prstGeom>
                                <a:noFill/>
                                <a:ln>
                                  <a:noFill/>
                                </a:ln>
                              </wps:spPr>
                              <wps:txbx>
                                <w:txbxContent>
                                  <w:p>
                                    <w:pPr>
                                      <w:pStyle w:val="26"/>
                                      <w:rPr>
                                        <w:rFonts w:hint="default" w:eastAsia="宋体"/>
                                        <w:lang w:val="en-US" w:eastAsia="zh-CN"/>
                                      </w:rPr>
                                    </w:pPr>
                                    <w:r>
                                      <w:rPr>
                                        <w:rFonts w:hint="eastAsia"/>
                                        <w:lang w:val="en-US" w:eastAsia="zh-CN"/>
                                      </w:rPr>
                                      <w:t>100</w:t>
                                    </w:r>
                                  </w:p>
                                </w:txbxContent>
                              </wps:txbx>
                              <wps:bodyPr upright="1"/>
                            </wps:wsp>
                            <wps:wsp>
                              <wps:cNvPr id="19" name="文本框 37"/>
                              <wps:cNvSpPr txBox="1"/>
                              <wps:spPr>
                                <a:xfrm>
                                  <a:off x="1951355" y="1579880"/>
                                  <a:ext cx="107823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6"/>
                                      <w:rPr>
                                        <w:rFonts w:hint="default" w:eastAsia="宋体"/>
                                        <w:lang w:val="en-US" w:eastAsia="zh-CN"/>
                                      </w:rPr>
                                    </w:pPr>
                                    <w:r>
                                      <w:rPr>
                                        <w:rFonts w:hint="eastAsia"/>
                                      </w:rPr>
                                      <w:t>生活用水</w:t>
                                    </w:r>
                                    <w:r>
                                      <w:rPr>
                                        <w:rFonts w:hint="eastAsia"/>
                                        <w:lang w:val="en-US" w:eastAsia="zh-CN"/>
                                      </w:rPr>
                                      <w:t>27.5</w:t>
                                    </w:r>
                                  </w:p>
                                </w:txbxContent>
                              </wps:txbx>
                              <wps:bodyPr upright="1"/>
                            </wps:wsp>
                            <wps:wsp>
                              <wps:cNvPr id="20" name="直接连接符 38"/>
                              <wps:cNvCnPr/>
                              <wps:spPr>
                                <a:xfrm flipV="1">
                                  <a:off x="3056255" y="1551305"/>
                                  <a:ext cx="254000" cy="152400"/>
                                </a:xfrm>
                                <a:prstGeom prst="line">
                                  <a:avLst/>
                                </a:prstGeom>
                                <a:ln w="6350" cap="flat" cmpd="sng">
                                  <a:solidFill>
                                    <a:srgbClr val="000000"/>
                                  </a:solidFill>
                                  <a:prstDash val="dashDot"/>
                                  <a:headEnd type="none" w="med" len="med"/>
                                  <a:tailEnd type="arrow" w="med" len="med"/>
                                </a:ln>
                              </wps:spPr>
                              <wps:bodyPr/>
                            </wps:wsp>
                            <wps:wsp>
                              <wps:cNvPr id="21" name="文本框 39"/>
                              <wps:cNvSpPr txBox="1"/>
                              <wps:spPr>
                                <a:xfrm>
                                  <a:off x="1322705" y="1446530"/>
                                  <a:ext cx="555625" cy="304800"/>
                                </a:xfrm>
                                <a:prstGeom prst="rect">
                                  <a:avLst/>
                                </a:prstGeom>
                                <a:noFill/>
                                <a:ln>
                                  <a:noFill/>
                                </a:ln>
                              </wps:spPr>
                              <wps:txbx>
                                <w:txbxContent>
                                  <w:p>
                                    <w:pPr>
                                      <w:pStyle w:val="26"/>
                                      <w:rPr>
                                        <w:rFonts w:hint="default" w:eastAsia="宋体"/>
                                        <w:lang w:val="en-US" w:eastAsia="zh-CN"/>
                                      </w:rPr>
                                    </w:pPr>
                                    <w:r>
                                      <w:rPr>
                                        <w:rFonts w:hint="eastAsia"/>
                                        <w:lang w:val="en-US" w:eastAsia="zh-CN"/>
                                      </w:rPr>
                                      <w:t>27.5</w:t>
                                    </w:r>
                                  </w:p>
                                </w:txbxContent>
                              </wps:txbx>
                              <wps:bodyPr upright="1"/>
                            </wps:wsp>
                            <wps:wsp>
                              <wps:cNvPr id="22" name="文本框 40"/>
                              <wps:cNvSpPr txBox="1"/>
                              <wps:spPr>
                                <a:xfrm>
                                  <a:off x="3208655" y="1370330"/>
                                  <a:ext cx="812800" cy="304800"/>
                                </a:xfrm>
                                <a:prstGeom prst="rect">
                                  <a:avLst/>
                                </a:prstGeom>
                                <a:noFill/>
                                <a:ln>
                                  <a:noFill/>
                                </a:ln>
                              </wps:spPr>
                              <wps:txbx>
                                <w:txbxContent>
                                  <w:p>
                                    <w:pPr>
                                      <w:pStyle w:val="26"/>
                                      <w:rPr>
                                        <w:rFonts w:hint="default" w:eastAsia="宋体"/>
                                        <w:lang w:val="en-US" w:eastAsia="zh-CN"/>
                                      </w:rPr>
                                    </w:pPr>
                                    <w:r>
                                      <w:rPr>
                                        <w:rFonts w:hint="eastAsia"/>
                                      </w:rPr>
                                      <w:t>损耗</w:t>
                                    </w:r>
                                    <w:r>
                                      <w:rPr>
                                        <w:rFonts w:hint="eastAsia"/>
                                        <w:lang w:val="en-US" w:eastAsia="zh-CN"/>
                                      </w:rPr>
                                      <w:t>5.5</w:t>
                                    </w:r>
                                  </w:p>
                                </w:txbxContent>
                              </wps:txbx>
                              <wps:bodyPr upright="1"/>
                            </wps:wsp>
                            <wps:wsp>
                              <wps:cNvPr id="23" name="直接箭头连接符 41"/>
                              <wps:cNvCnPr/>
                              <wps:spPr>
                                <a:xfrm>
                                  <a:off x="3037205" y="1741805"/>
                                  <a:ext cx="495300" cy="0"/>
                                </a:xfrm>
                                <a:prstGeom prst="straightConnector1">
                                  <a:avLst/>
                                </a:prstGeom>
                                <a:ln w="12700" cap="flat" cmpd="sng">
                                  <a:solidFill>
                                    <a:srgbClr val="000000"/>
                                  </a:solidFill>
                                  <a:prstDash val="solid"/>
                                  <a:headEnd type="none" w="med" len="med"/>
                                  <a:tailEnd type="arrow" w="lg" len="lg"/>
                                </a:ln>
                              </wps:spPr>
                              <wps:bodyPr/>
                            </wps:wsp>
                            <wps:wsp>
                              <wps:cNvPr id="24" name="文本框 42"/>
                              <wps:cNvSpPr txBox="1"/>
                              <wps:spPr>
                                <a:xfrm>
                                  <a:off x="3542030" y="1617980"/>
                                  <a:ext cx="91503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6"/>
                                      <w:jc w:val="left"/>
                                      <w:rPr>
                                        <w:rFonts w:hint="default" w:eastAsia="宋体"/>
                                        <w:lang w:val="en-US" w:eastAsia="zh-CN"/>
                                      </w:rPr>
                                    </w:pPr>
                                    <w:r>
                                      <w:rPr>
                                        <w:rFonts w:hint="eastAsia"/>
                                      </w:rPr>
                                      <w:t>化粪池</w:t>
                                    </w:r>
                                    <w:r>
                                      <w:rPr>
                                        <w:rFonts w:hint="eastAsia"/>
                                        <w:lang w:val="en-US" w:eastAsia="zh-CN"/>
                                      </w:rPr>
                                      <w:t>22</w:t>
                                    </w:r>
                                  </w:p>
                                </w:txbxContent>
                              </wps:txbx>
                              <wps:bodyPr upright="1"/>
                            </wps:wsp>
                            <wps:wsp>
                              <wps:cNvPr id="25" name="直接箭头连接符 43"/>
                              <wps:cNvCnPr/>
                              <wps:spPr>
                                <a:xfrm flipV="1">
                                  <a:off x="4457065" y="1748155"/>
                                  <a:ext cx="284480" cy="3175"/>
                                </a:xfrm>
                                <a:prstGeom prst="straightConnector1">
                                  <a:avLst/>
                                </a:prstGeom>
                                <a:ln w="12700" cap="flat" cmpd="sng">
                                  <a:solidFill>
                                    <a:srgbClr val="000000"/>
                                  </a:solidFill>
                                  <a:prstDash val="solid"/>
                                  <a:headEnd type="none" w="med" len="med"/>
                                  <a:tailEnd type="arrow" w="lg" len="lg"/>
                                </a:ln>
                              </wps:spPr>
                              <wps:bodyPr/>
                            </wps:wsp>
                            <wps:wsp>
                              <wps:cNvPr id="26" name="文本框 44"/>
                              <wps:cNvSpPr txBox="1"/>
                              <wps:spPr>
                                <a:xfrm>
                                  <a:off x="4770120" y="1446530"/>
                                  <a:ext cx="449580" cy="529590"/>
                                </a:xfrm>
                                <a:prstGeom prst="rect">
                                  <a:avLst/>
                                </a:prstGeom>
                                <a:solidFill>
                                  <a:srgbClr val="FFFFFF"/>
                                </a:solidFill>
                                <a:ln>
                                  <a:noFill/>
                                </a:ln>
                              </wps:spPr>
                              <wps:txbx>
                                <w:txbxContent>
                                  <w:p>
                                    <w:pPr>
                                      <w:pStyle w:val="26"/>
                                      <w:rPr>
                                        <w:rFonts w:hint="eastAsia" w:eastAsia="宋体"/>
                                        <w:lang w:val="en-US" w:eastAsia="zh-CN"/>
                                      </w:rPr>
                                    </w:pPr>
                                    <w:r>
                                      <w:rPr>
                                        <w:rFonts w:hint="eastAsia"/>
                                        <w:lang w:val="en-US" w:eastAsia="zh-CN"/>
                                      </w:rPr>
                                      <w:t>荒漠灌溉</w:t>
                                    </w:r>
                                  </w:p>
                                </w:txbxContent>
                              </wps:txbx>
                              <wps:bodyPr upright="1"/>
                            </wps:wsp>
                          </wpc:wpc>
                        </a:graphicData>
                      </a:graphic>
                    </wp:anchor>
                  </w:drawing>
                </mc:Choice>
                <mc:Fallback>
                  <w:pict>
                    <v:group id="_x0000_s1026" o:spid="_x0000_s1026" o:spt="203" style="position:absolute;left:0pt;margin-left:-0.9pt;margin-top:17.85pt;height:155.6pt;width:432.5pt;mso-wrap-distance-bottom:0pt;mso-wrap-distance-top:0pt;z-index:251660288;mso-width-relative:page;mso-height-relative:page;" coordsize="5492750,1976120" editas="canvas" o:gfxdata="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">
                      <o:lock v:ext="edit" aspectratio="f"/>
                      <v:shape id="_x0000_s1026" o:spid="_x0000_s1026" style="position:absolute;left:0;top:0;height:1976120;width:5492750;" filled="f" stroked="f" coordsize="21600,21600" o:gfxdata="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sqUPXNsAAAAJAQAADwAAAAAAAAABACAAAAAiAAAAZHJzL2Rvd25yZXYueG1s&#10;UEsBAhQAFAAAAAgAh07iQI9ps8vbBgAAxzMAAA4AAAAAAAAAAQAgAAAAKgEAAGRycy9lMm9Eb2Mu&#10;eG1sUEsFBgAAAAAGAAYAWQEAAHcKAAAAAA==&#10;">
                        <v:fill on="f" focussize="0,0"/>
                        <v:stroke on="f"/>
                        <v:imagedata o:title=""/>
                        <o:lock v:ext="edit" aspectratio="f"/>
                      </v:shape>
                      <v:shape id="直接箭头连接符 18" o:spid="_x0000_s1026" o:spt="32" type="#_x0000_t32" style="position:absolute;left:779145;top:1269365;height:0;width:504825;"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OwRe2wAAAAkBAAAP&#10;AAAAAAAAAAEAIAAAACIAAABkcnMvZG93bnJldi54bWxQSwECFAAUAAAACACHTuJABXndDhUCAAD3&#10;AwAADgAAAAAAAAABACAAAAAqAQAAZHJzL2Uyb0RvYy54bWxQSwUGAAAAAAYABgBZAQAAsQUAAAAA&#10;">
                        <v:fill on="f" focussize="0,0"/>
                        <v:stroke weight="1pt" color="#000000" joinstyle="round" endarrow="open" endarrowwidth="wide" endarrowlength="long"/>
                        <v:imagedata o:title=""/>
                        <o:lock v:ext="edit" aspectratio="f"/>
                      </v:shape>
                      <v:shape id="文本框 19" o:spid="_x0000_s1026" o:spt="202" type="#_x0000_t202" style="position:absolute;left:104775;top:1059815;height:447675;width:819150;" fillcolor="#FFFFFF" filled="t" stroked="f" coordsize="21600,21600" o:gfxdata="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0ZF3NgAAAAJAQAADwAAAAAAAAABACAAAAAiAAAAZHJz&#10;L2Rvd25yZXYueG1sUEsBAhQAFAAAAAgAh07iQAdV/XvLAQAAggMAAA4AAAAAAAAAAQAgAAAAJwEA&#10;AGRycy9lMm9Eb2MueG1sUEsFBgAAAAAGAAYAWQEAAGQFAAAAAA==&#10;">
                        <v:fill on="t" focussize="0,0"/>
                        <v:stroke on="f"/>
                        <v:imagedata o:title=""/>
                        <o:lock v:ext="edit" aspectratio="f"/>
                        <v:textbox>
                          <w:txbxContent>
                            <w:p>
                              <w:pPr>
                                <w:pStyle w:val="26"/>
                              </w:pPr>
                              <w:r>
                                <w:t>新鲜水</w:t>
                              </w:r>
                            </w:p>
                            <w:p>
                              <w:pPr>
                                <w:pStyle w:val="26"/>
                                <w:rPr>
                                  <w:rFonts w:hint="default" w:eastAsia="宋体"/>
                                  <w:lang w:val="en-US" w:eastAsia="zh-CN"/>
                                </w:rPr>
                              </w:pPr>
                              <w:r>
                                <w:rPr>
                                  <w:rFonts w:hint="eastAsia"/>
                                  <w:lang w:val="en-US" w:eastAsia="zh-CN"/>
                                </w:rPr>
                                <w:t>147.5</w:t>
                              </w:r>
                            </w:p>
                          </w:txbxContent>
                        </v:textbox>
                      </v:shape>
                      <v:line id="直接连接符 20" o:spid="_x0000_s1026" o:spt="20" style="position:absolute;left:1274445;top:632460;height:1095375;width:9525;" filled="f" stroked="t" coordsize="21600,21600" o:gfxdata="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dD1CfYAAAACQEAAA8AAAAAAAAAAQAgAAAAIgAAAGRycy9kb3ducmV2LnhtbFBL&#10;AQIUABQAAAAIAIdO4kBlvT2d9gEAAOcDAAAOAAAAAAAAAAEAIAAAACcBAABkcnMvZTJvRG9jLnht&#10;bFBLBQYAAAAABgAGAFkBAACPBQAAAAA=&#10;">
                        <v:fill on="f" focussize="0,0"/>
                        <v:stroke color="#000000" joinstyle="round"/>
                        <v:imagedata o:title=""/>
                        <o:lock v:ext="edit" aspectratio="f"/>
                      </v:line>
                      <v:shape id="文本框 21" o:spid="_x0000_s1026" o:spt="202" type="#_x0000_t202" style="position:absolute;left:1979295;top:508635;height:276225;width:1017905;"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v0EfZAAAACQEAAA8A&#10;AAAAAAAAAQAgAAAAIgAAAGRycy9kb3ducmV2LnhtbFBLAQIUABQAAAAIAIdO4kAIicOaFgIAAEIE&#10;AAAOAAAAAAAAAAEAIAAAACgBAABkcnMvZTJvRG9jLnhtbFBLBQYAAAAABgAGAFkBAACwBQAAAAA=&#10;">
                        <v:fill on="t" focussize="0,0"/>
                        <v:stroke color="#000000" joinstyle="miter"/>
                        <v:imagedata o:title=""/>
                        <o:lock v:ext="edit" aspectratio="f"/>
                        <v:textbox>
                          <w:txbxContent>
                            <w:p>
                              <w:pPr>
                                <w:pStyle w:val="26"/>
                                <w:rPr>
                                  <w:rFonts w:hint="eastAsia" w:eastAsia="宋体"/>
                                  <w:lang w:eastAsia="zh-CN"/>
                                </w:rPr>
                              </w:pPr>
                              <w:r>
                                <w:rPr>
                                  <w:rFonts w:hint="eastAsia"/>
                                </w:rPr>
                                <w:t>钻探用水</w:t>
                              </w:r>
                              <w:r>
                                <w:rPr>
                                  <w:rFonts w:hint="eastAsia"/>
                                  <w:lang w:val="en-US" w:eastAsia="zh-CN"/>
                                </w:rPr>
                                <w:t>5</w:t>
                              </w:r>
                            </w:p>
                          </w:txbxContent>
                        </v:textbox>
                      </v:shape>
                      <v:line id="直接连接符 22" o:spid="_x0000_s1026" o:spt="20" style="position:absolute;left:2903220;top:565785;height:635;width:342900;" filled="f" stroked="t" coordsize="21600,21600" o:gfxdata="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Q9Qn2AAAAAkBAAAPAAAAAAAAAAEAIAAAACIAAABkcnMvZG93bnJldi54&#10;bWxQSwECFAAUAAAACACHTuJAgUIQn/oBAADlAwAADgAAAAAAAAABACAAAAAnAQAAZHJzL2Uyb0Rv&#10;Yy54bWxQSwUGAAAAAAYABgBZAQAAkwUAAAAA&#10;">
                        <v:fill on="f" focussize="0,0"/>
                        <v:stroke color="#000000" joinstyle="round"/>
                        <v:imagedata o:title=""/>
                        <o:lock v:ext="edit" aspectratio="f"/>
                      </v:line>
                      <v:line id="直接连接符 23" o:spid="_x0000_s1026" o:spt="20" style="position:absolute;left:3246755;top:251460;flip:x y;height:333375;width:635;" filled="f" stroked="t" coordsize="21600,21600" o:gfxdata="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13D9UAAAAJAQAADwAAAAAAAAABACAAAAAiAAAAZHJzL2Rv&#10;d25yZXYueG1sUEsBAhQAFAAAAAgAh07iQK+Z/tkEAgAA+QMAAA4AAAAAAAAAAQAgAAAAJAEAAGRy&#10;cy9lMm9Eb2MueG1sUEsFBgAAAAAGAAYAWQEAAJoFAAAAAA==&#10;">
                        <v:fill on="f" focussize="0,0"/>
                        <v:stroke color="#000000" joinstyle="round"/>
                        <v:imagedata o:title=""/>
                        <o:lock v:ext="edit" aspectratio="f"/>
                      </v:line>
                      <v:line id="直接连接符 24" o:spid="_x0000_s1026" o:spt="20" style="position:absolute;left:2446020;top:260985;flip:x;height:635;width:809625;" filled="f" stroked="t" coordsize="21600,21600" o:gfxdata="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9xL72AAAAAkBAAAPAAAAAAAAAAEAIAAAACIAAABkcnMv&#10;ZG93bnJldi54bWxQSwECFAAUAAAACACHTuJAveSsJQMCAADvAwAADgAAAAAAAAABACAAAAAnAQAA&#10;ZHJzL2Uyb0RvYy54bWxQSwUGAAAAAAYABgBZAQAAnAUAAAAA&#10;">
                        <v:fill on="f" focussize="0,0"/>
                        <v:stroke color="#000000" joinstyle="round"/>
                        <v:imagedata o:title=""/>
                        <o:lock v:ext="edit" aspectratio="f"/>
                      </v:line>
                      <v:shape id="直接箭头连接符 25" o:spid="_x0000_s1026" o:spt="32" type="#_x0000_t32" style="position:absolute;left:2445385;top:261620;flip:x;height:247015;width:635;"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9mPNdcAAAAJ&#10;AQAADwAAAAAAAAABACAAAAAiAAAAZHJzL2Rvd25yZXYueG1sUEsBAhQAFAAAAAgAh07iQPcnKKYd&#10;AgAAAwQAAA4AAAAAAAAAAQAgAAAAJgEAAGRycy9lMm9Eb2MueG1sUEsFBgAAAAAGAAYAWQEAALUF&#10;AAAAAA==&#10;">
                        <v:fill on="f" focussize="0,0"/>
                        <v:stroke weight="1pt" color="#000000" joinstyle="round" endarrow="open" endarrowwidth="wide" endarrowlength="long"/>
                        <v:imagedata o:title=""/>
                        <o:lock v:ext="edit" aspectratio="f"/>
                      </v:shape>
                      <v:shape id="直接箭头连接符 26" o:spid="_x0000_s1026" o:spt="32" type="#_x0000_t32" style="position:absolute;left:1283970;top:647065;flip:y;height:4445;width:695325;"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vZjzXXAAAACQEAAA8AAAAAAAAAAQAgAAAAIgAAAGRycy9kb3ducmV2LnhtbFBLAQIU&#10;ABQAAAAIAIdO4kDKMAqgLQIAACwEAAAOAAAAAAAAAAEAIAAAACYBAABkcnMvZTJvRG9jLnhtbFBL&#10;BQYAAAAABgAGAFkBAADFBQAAAAA=&#10;">
                        <v:fill on="f" focussize="0,0"/>
                        <v:stroke weight="1pt" color="#000000" joinstyle="round" endarrow="open" endarrowwidth="wide" endarrowlength="long"/>
                        <v:imagedata o:title=""/>
                        <o:lock v:ext="edit" aspectratio="f"/>
                      </v:shape>
                      <v:shape id="文本框 27" o:spid="_x0000_s1026" o:spt="202" type="#_x0000_t202" style="position:absolute;left:2465705;top:236855;height:274320;width:75565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SOTN2AAAAAkBAAAPAAAAAAAAAAEAIAAAACIAAABkcnMvZG93bnJldi54bWxQSwECFAAU&#10;AAAACACHTuJAHxHI3rgBAABaAwAADgAAAAAAAAABACAAAAAnAQAAZHJzL2Uyb0RvYy54bWxQSwUG&#10;AAAAAAYABgBZAQAAUQUAAAAA&#10;">
                        <v:fill on="f" focussize="0,0"/>
                        <v:stroke on="f"/>
                        <v:imagedata o:title=""/>
                        <o:lock v:ext="edit" aspectratio="f"/>
                        <v:textbox>
                          <w:txbxContent>
                            <w:p>
                              <w:pPr>
                                <w:pStyle w:val="26"/>
                                <w:jc w:val="both"/>
                              </w:pPr>
                              <w:r>
                                <w:rPr>
                                  <w:rFonts w:hint="eastAsia"/>
                                </w:rPr>
                                <w:t>循环用水</w:t>
                              </w:r>
                            </w:p>
                          </w:txbxContent>
                        </v:textbox>
                      </v:shape>
                      <v:line id="直接连接符 28" o:spid="_x0000_s1026" o:spt="20" style="position:absolute;left:2045970;top:261620;flip:y;height:227965;width:114300;" filled="f" stroked="t" coordsize="21600,21600" o:gfxdata="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2HAt1wAAAAkBAAAPAAAAAAAAAAEAIAAAACIA&#10;AABkcnMvZG93bnJldi54bWxQSwECFAAUAAAACACHTuJAL7WBfAoCAAD2AwAADgAAAAAAAAABACAA&#10;AAAmAQAAZHJzL2Uyb0RvYy54bWxQSwUGAAAAAAYABgBZAQAAogUAAAAA&#10;">
                        <v:fill on="f" focussize="0,0"/>
                        <v:stroke weight="0.5pt" color="#000000" joinstyle="round" dashstyle="dashDot" endarrow="open"/>
                        <v:imagedata o:title=""/>
                        <o:lock v:ext="edit" aspectratio="f"/>
                      </v:line>
                      <v:shape id="文本框 29" o:spid="_x0000_s1026" o:spt="202" type="#_x0000_t202" style="position:absolute;left:1741805;top:28575;height:308610;width:8128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SOTN2AAAAAkBAAAPAAAAAAAAAAEAIAAAACIAAABkcnMvZG93bnJldi54bWxQSwECFAAU&#10;AAAACACHTuJApF4PabgBAABZAwAADgAAAAAAAAABACAAAAAnAQAAZHJzL2Uyb0RvYy54bWxQSwUG&#10;AAAAAAYABgBZAQAAUQUAAAAA&#10;">
                        <v:fill on="f" focussize="0,0"/>
                        <v:stroke on="f"/>
                        <v:imagedata o:title=""/>
                        <o:lock v:ext="edit" aspectratio="f"/>
                        <v:textbox>
                          <w:txbxContent>
                            <w:p>
                              <w:pPr>
                                <w:pStyle w:val="26"/>
                                <w:rPr>
                                  <w:rFonts w:hint="default" w:eastAsia="宋体"/>
                                  <w:lang w:val="en-US" w:eastAsia="zh-CN"/>
                                </w:rPr>
                              </w:pPr>
                              <w:r>
                                <w:rPr>
                                  <w:rFonts w:hint="eastAsia"/>
                                </w:rPr>
                                <w:t>损耗</w:t>
                              </w:r>
                              <w:r>
                                <w:rPr>
                                  <w:rFonts w:hint="eastAsia"/>
                                  <w:lang w:val="en-US" w:eastAsia="zh-CN"/>
                                </w:rPr>
                                <w:t>20</w:t>
                              </w:r>
                            </w:p>
                          </w:txbxContent>
                        </v:textbox>
                      </v:shape>
                      <v:shape id="文本框 30" o:spid="_x0000_s1026" o:spt="202" type="#_x0000_t202" style="position:absolute;left:1313180;top:427355;height:304800;width:4699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EjkzdgAAAAJAQAADwAAAAAAAAABACAAAAAiAAAAZHJzL2Rvd25yZXYueG1sUEsBAhQAFAAA&#10;AAgAh07iQHTiNKO2AQAAWgMAAA4AAAAAAAAAAQAgAAAAJwEAAGRycy9lMm9Eb2MueG1sUEsFBgAA&#10;AAAGAAYAWQEAAE8FAAAAAA==&#10;">
                        <v:fill on="f" focussize="0,0"/>
                        <v:stroke on="f"/>
                        <v:imagedata o:title=""/>
                        <o:lock v:ext="edit" aspectratio="f"/>
                        <v:textbox>
                          <w:txbxContent>
                            <w:p>
                              <w:pPr>
                                <w:pStyle w:val="26"/>
                                <w:rPr>
                                  <w:rFonts w:hint="default" w:eastAsia="宋体"/>
                                  <w:lang w:val="en-US" w:eastAsia="zh-CN"/>
                                </w:rPr>
                              </w:pPr>
                              <w:r>
                                <w:rPr>
                                  <w:rFonts w:hint="eastAsia"/>
                                  <w:lang w:val="en-US" w:eastAsia="zh-CN"/>
                                </w:rPr>
                                <w:t>25</w:t>
                              </w:r>
                            </w:p>
                          </w:txbxContent>
                        </v:textbox>
                      </v:shape>
                      <v:shape id="直接箭头连接符 31" o:spid="_x0000_s1026" o:spt="32" type="#_x0000_t32" style="position:absolute;left:1275080;top:1713230;height:0;width:6731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7BF7bAAAACQEAAA8AAAAA&#10;AAAAAQAgAAAAIgAAAGRycy9kb3ducmV2LnhtbFBLAQIUABQAAAAIAIdO4kDpTNDlEQIAAPkDAAAO&#10;AAAAAAAAAAEAIAAAACoBAABkcnMvZTJvRG9jLnhtbFBLBQYAAAAABgAGAFkBAACtBQAAAAA=&#10;">
                        <v:fill on="f" focussize="0,0"/>
                        <v:stroke weight="1pt" color="#000000" joinstyle="round" endarrow="open" endarrowwidth="wide" endarrowlength="long"/>
                        <v:imagedata o:title=""/>
                        <o:lock v:ext="edit" aspectratio="f"/>
                      </v:shape>
                      <v:shape id="直接箭头连接符 32" o:spid="_x0000_s1026" o:spt="32" type="#_x0000_t32" style="position:absolute;left:1294130;top:1265555;height:0;width:6731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7BF7bAAAACQEAAA8AAAAA&#10;AAAAAQAgAAAAIgAAAGRycy9kb3ducmV2LnhtbFBLAQIUABQAAAAIAIdO4kCT8FcxEQIAAPkDAAAO&#10;AAAAAAAAAAEAIAAAACoBAABkcnMvZTJvRG9jLnhtbFBLBQYAAAAABgAGAFkBAACtBQAAAAA=&#10;">
                        <v:fill on="f" focussize="0,0"/>
                        <v:stroke weight="1pt" color="#000000" joinstyle="round" endarrow="open" endarrowwidth="wide" endarrowlength="long"/>
                        <v:imagedata o:title=""/>
                        <o:lock v:ext="edit" aspectratio="f"/>
                      </v:shape>
                      <v:shape id="文本框 33" o:spid="_x0000_s1026" o:spt="202" type="#_x0000_t202" style="position:absolute;left:1970405;top:1122680;height:266700;width:1079500;"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L9BH2QAAAAkBAAAPAAAA&#10;AAAAAAEAIAAAACIAAABkcnMvZG93bnJldi54bWxQSwECFAAUAAAACACHTuJA/uO61RQCAABEBAAA&#10;DgAAAAAAAAABACAAAAAoAQAAZHJzL2Uyb0RvYy54bWxQSwUGAAAAAAYABgBZAQAArgUAAAAA&#10;">
                        <v:fill on="t" focussize="0,0"/>
                        <v:stroke color="#000000" joinstyle="miter"/>
                        <v:imagedata o:title=""/>
                        <o:lock v:ext="edit" aspectratio="f"/>
                        <v:textbox>
                          <w:txbxContent>
                            <w:p>
                              <w:pPr>
                                <w:pStyle w:val="26"/>
                                <w:rPr>
                                  <w:rFonts w:hint="default" w:eastAsia="宋体"/>
                                  <w:lang w:val="en-US" w:eastAsia="zh-CN"/>
                                </w:rPr>
                              </w:pPr>
                              <w:r>
                                <w:rPr>
                                  <w:rFonts w:hint="eastAsia"/>
                                </w:rPr>
                                <w:t>抑尘用水</w:t>
                              </w:r>
                              <w:r>
                                <w:rPr>
                                  <w:rFonts w:hint="eastAsia"/>
                                  <w:lang w:val="en-US" w:eastAsia="zh-CN"/>
                                </w:rPr>
                                <w:t>100</w:t>
                              </w:r>
                            </w:p>
                          </w:txbxContent>
                        </v:textbox>
                      </v:shape>
                      <v:shape id="文本框 34" o:spid="_x0000_s1026" o:spt="202" type="#_x0000_t202" style="position:absolute;left:1351280;top:1036955;height:304800;width:4699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EjkzdgAAAAJAQAADwAAAAAAAAABACAAAAAiAAAAZHJzL2Rvd25yZXYueG1sUEsBAhQAFAAA&#10;AAgAh07iQDHTLaG2AQAAWwMAAA4AAAAAAAAAAQAgAAAAJwEAAGRycy9lMm9Eb2MueG1sUEsFBgAA&#10;AAAGAAYAWQEAAE8FAAAAAA==&#10;">
                        <v:fill on="f" focussize="0,0"/>
                        <v:stroke on="f"/>
                        <v:imagedata o:title=""/>
                        <o:lock v:ext="edit" aspectratio="f"/>
                        <v:textbox>
                          <w:txbxContent>
                            <w:p>
                              <w:pPr>
                                <w:pStyle w:val="26"/>
                                <w:rPr>
                                  <w:rFonts w:hint="default" w:eastAsia="宋体"/>
                                  <w:lang w:val="en-US" w:eastAsia="zh-CN"/>
                                </w:rPr>
                              </w:pPr>
                              <w:r>
                                <w:rPr>
                                  <w:rFonts w:hint="eastAsia"/>
                                  <w:lang w:val="en-US" w:eastAsia="zh-CN"/>
                                </w:rPr>
                                <w:t>100</w:t>
                              </w:r>
                            </w:p>
                          </w:txbxContent>
                        </v:textbox>
                      </v:shape>
                      <v:shape id="文本框 37" o:spid="_x0000_s1026" o:spt="202" type="#_x0000_t202" style="position:absolute;left:1951355;top:1579880;height:266700;width:1078230;"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v0EfZAAAACQEAAA8A&#10;AAAAAAAAAQAgAAAAIgAAAGRycy9kb3ducmV2LnhtbFBLAQIUABQAAAAIAIdO4kABSrfbFgIAAEQE&#10;AAAOAAAAAAAAAAEAIAAAACgBAABkcnMvZTJvRG9jLnhtbFBLBQYAAAAABgAGAFkBAACwBQAAAAA=&#10;">
                        <v:fill on="t" focussize="0,0"/>
                        <v:stroke color="#000000" joinstyle="miter"/>
                        <v:imagedata o:title=""/>
                        <o:lock v:ext="edit" aspectratio="f"/>
                        <v:textbox>
                          <w:txbxContent>
                            <w:p>
                              <w:pPr>
                                <w:pStyle w:val="26"/>
                                <w:rPr>
                                  <w:rFonts w:hint="default" w:eastAsia="宋体"/>
                                  <w:lang w:val="en-US" w:eastAsia="zh-CN"/>
                                </w:rPr>
                              </w:pPr>
                              <w:r>
                                <w:rPr>
                                  <w:rFonts w:hint="eastAsia"/>
                                </w:rPr>
                                <w:t>生活用水</w:t>
                              </w:r>
                              <w:r>
                                <w:rPr>
                                  <w:rFonts w:hint="eastAsia"/>
                                  <w:lang w:val="en-US" w:eastAsia="zh-CN"/>
                                </w:rPr>
                                <w:t>27.5</w:t>
                              </w:r>
                            </w:p>
                          </w:txbxContent>
                        </v:textbox>
                      </v:shape>
                      <v:line id="直接连接符 38" o:spid="_x0000_s1026" o:spt="20" style="position:absolute;left:3056255;top:1551305;flip:y;height:152400;width:254000;" filled="f" stroked="t" coordsize="21600,21600" o:gfxdata="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&#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dhwLdcAAAAJAQAADwAAAAAAAAABACAAAAAiAAAA&#10;ZHJzL2Rvd25yZXYueG1sUEsBAhQAFAAAAAgAh07iQNNgEoIIAgAA9wMAAA4AAAAAAAAAAQAgAAAA&#10;JgEAAGRycy9lMm9Eb2MueG1sUEsFBgAAAAAGAAYAWQEAAKAFAAAAAA==&#10;">
                        <v:fill on="f" focussize="0,0"/>
                        <v:stroke weight="0.5pt" color="#000000" joinstyle="round" dashstyle="dashDot" endarrow="open"/>
                        <v:imagedata o:title=""/>
                        <o:lock v:ext="edit" aspectratio="f"/>
                      </v:line>
                      <v:shape id="文本框 39" o:spid="_x0000_s1026" o:spt="202" type="#_x0000_t202" style="position:absolute;left:1322705;top:1446530;height:304800;width:555625;"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SOTN2AAAAAkBAAAPAAAAAAAAAAEAIAAAACIAAABkcnMvZG93bnJldi54bWxQSwECFAAU&#10;AAAACACHTuJA6U3unrgBAABbAwAADgAAAAAAAAABACAAAAAnAQAAZHJzL2Uyb0RvYy54bWxQSwUG&#10;AAAAAAYABgBZAQAAUQUAAAAA&#10;">
                        <v:fill on="f" focussize="0,0"/>
                        <v:stroke on="f"/>
                        <v:imagedata o:title=""/>
                        <o:lock v:ext="edit" aspectratio="f"/>
                        <v:textbox>
                          <w:txbxContent>
                            <w:p>
                              <w:pPr>
                                <w:pStyle w:val="26"/>
                                <w:rPr>
                                  <w:rFonts w:hint="default" w:eastAsia="宋体"/>
                                  <w:lang w:val="en-US" w:eastAsia="zh-CN"/>
                                </w:rPr>
                              </w:pPr>
                              <w:r>
                                <w:rPr>
                                  <w:rFonts w:hint="eastAsia"/>
                                  <w:lang w:val="en-US" w:eastAsia="zh-CN"/>
                                </w:rPr>
                                <w:t>27.5</w:t>
                              </w:r>
                            </w:p>
                          </w:txbxContent>
                        </v:textbox>
                      </v:shape>
                      <v:shape id="文本框 40" o:spid="_x0000_s1026" o:spt="202" type="#_x0000_t202" style="position:absolute;left:3208655;top:1370330;height:304800;width:8128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xI5M3YAAAACQEAAA8AAAAAAAAAAQAgAAAAIgAAAGRycy9kb3ducmV2LnhtbFBLAQIUABQA&#10;AAAIAIdO4kAvNj8qtwEAAFsDAAAOAAAAAAAAAAEAIAAAACcBAABkcnMvZTJvRG9jLnhtbFBLBQYA&#10;AAAABgAGAFkBAABQBQAAAAA=&#10;">
                        <v:fill on="f" focussize="0,0"/>
                        <v:stroke on="f"/>
                        <v:imagedata o:title=""/>
                        <o:lock v:ext="edit" aspectratio="f"/>
                        <v:textbox>
                          <w:txbxContent>
                            <w:p>
                              <w:pPr>
                                <w:pStyle w:val="26"/>
                                <w:rPr>
                                  <w:rFonts w:hint="default" w:eastAsia="宋体"/>
                                  <w:lang w:val="en-US" w:eastAsia="zh-CN"/>
                                </w:rPr>
                              </w:pPr>
                              <w:r>
                                <w:rPr>
                                  <w:rFonts w:hint="eastAsia"/>
                                </w:rPr>
                                <w:t>损耗</w:t>
                              </w:r>
                              <w:r>
                                <w:rPr>
                                  <w:rFonts w:hint="eastAsia"/>
                                  <w:lang w:val="en-US" w:eastAsia="zh-CN"/>
                                </w:rPr>
                                <w:t>5.5</w:t>
                              </w:r>
                            </w:p>
                          </w:txbxContent>
                        </v:textbox>
                      </v:shape>
                      <v:shape id="直接箭头连接符 41" o:spid="_x0000_s1026" o:spt="32" type="#_x0000_t32" style="position:absolute;left:3037205;top:1741805;height:0;width:4953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OwRe2wAAAAkBAAAP&#10;AAAAAAAAAAEAIAAAACIAAABkcnMvZG93bnJldi54bWxQSwECFAAUAAAACACHTuJA8vfN3xUCAAD5&#10;AwAADgAAAAAAAAABACAAAAAqAQAAZHJzL2Uyb0RvYy54bWxQSwUGAAAAAAYABgBZAQAAsQUAAAAA&#10;">
                        <v:fill on="f" focussize="0,0"/>
                        <v:stroke weight="1pt" color="#000000" joinstyle="round" endarrow="open" endarrowwidth="wide" endarrowlength="long"/>
                        <v:imagedata o:title=""/>
                        <o:lock v:ext="edit" aspectratio="f"/>
                      </v:shape>
                      <v:shape id="文本框 42" o:spid="_x0000_s1026" o:spt="202" type="#_x0000_t202" style="position:absolute;left:3542030;top:1617980;height:266700;width:915035;"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QR9kAAAAJAQAA&#10;DwAAAAAAAAABACAAAAAiAAAAZHJzL2Rvd25yZXYueG1sUEsBAhQAFAAAAAgAh07iQIpj25gYAgAA&#10;QwQAAA4AAAAAAAAAAQAgAAAAKAEAAGRycy9lMm9Eb2MueG1sUEsFBgAAAAAGAAYAWQEAALIFAAAA&#10;AA==&#10;">
                        <v:fill on="t" focussize="0,0"/>
                        <v:stroke color="#000000" joinstyle="miter"/>
                        <v:imagedata o:title=""/>
                        <o:lock v:ext="edit" aspectratio="f"/>
                        <v:textbox>
                          <w:txbxContent>
                            <w:p>
                              <w:pPr>
                                <w:pStyle w:val="26"/>
                                <w:jc w:val="left"/>
                                <w:rPr>
                                  <w:rFonts w:hint="default" w:eastAsia="宋体"/>
                                  <w:lang w:val="en-US" w:eastAsia="zh-CN"/>
                                </w:rPr>
                              </w:pPr>
                              <w:r>
                                <w:rPr>
                                  <w:rFonts w:hint="eastAsia"/>
                                </w:rPr>
                                <w:t>化粪池</w:t>
                              </w:r>
                              <w:r>
                                <w:rPr>
                                  <w:rFonts w:hint="eastAsia"/>
                                  <w:lang w:val="en-US" w:eastAsia="zh-CN"/>
                                </w:rPr>
                                <w:t>22</w:t>
                              </w:r>
                            </w:p>
                          </w:txbxContent>
                        </v:textbox>
                      </v:shape>
                      <v:shape id="直接箭头连接符 43" o:spid="_x0000_s1026" o:spt="32" type="#_x0000_t32" style="position:absolute;left:4457065;top:1748155;flip:y;height:3175;width:284480;"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9mPNdcA&#10;AAAJAQAADwAAAAAAAAABACAAAAAiAAAAZHJzL2Rvd25yZXYueG1sUEsBAhQAFAAAAAgAh07iQEDZ&#10;Zz4gAgAABgQAAA4AAAAAAAAAAQAgAAAAJgEAAGRycy9lMm9Eb2MueG1sUEsFBgAAAAAGAAYAWQEA&#10;ALgFAAAAAA==&#10;">
                        <v:fill on="f" focussize="0,0"/>
                        <v:stroke weight="1pt" color="#000000" joinstyle="round" endarrow="open" endarrowwidth="wide" endarrowlength="long"/>
                        <v:imagedata o:title=""/>
                        <o:lock v:ext="edit" aspectratio="f"/>
                      </v:shape>
                      <v:shape id="文本框 44" o:spid="_x0000_s1026" o:spt="202" type="#_x0000_t202" style="position:absolute;left:4770120;top:1446530;height:529590;width:449580;" fillcolor="#FFFFFF" filled="t" stroked="f" coordsize="21600,21600" o:gfxdata="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0ZF3NgAAAAJAQAADwAAAAAAAAABACAAAAAiAAAA&#10;ZHJzL2Rvd25yZXYueG1sUEsBAhQAFAAAAAgAh07iQA6AxWbOAQAAhAMAAA4AAAAAAAAAAQAgAAAA&#10;JwEAAGRycy9lMm9Eb2MueG1sUEsFBgAAAAAGAAYAWQEAAGcFAAAAAA==&#10;">
                        <v:fill on="t" focussize="0,0"/>
                        <v:stroke on="f"/>
                        <v:imagedata o:title=""/>
                        <o:lock v:ext="edit" aspectratio="f"/>
                        <v:textbox>
                          <w:txbxContent>
                            <w:p>
                              <w:pPr>
                                <w:pStyle w:val="26"/>
                                <w:rPr>
                                  <w:rFonts w:hint="eastAsia" w:eastAsia="宋体"/>
                                  <w:lang w:val="en-US" w:eastAsia="zh-CN"/>
                                </w:rPr>
                              </w:pPr>
                              <w:r>
                                <w:rPr>
                                  <w:rFonts w:hint="eastAsia"/>
                                  <w:lang w:val="en-US" w:eastAsia="zh-CN"/>
                                </w:rPr>
                                <w:t>荒漠灌溉</w:t>
                              </w:r>
                            </w:p>
                          </w:txbxContent>
                        </v:textbox>
                      </v:shape>
                      <w10:wrap type="topAndBottom"/>
                    </v:group>
                  </w:pict>
                </mc:Fallback>
              </mc:AlternateContent>
            </w:r>
          </w:p>
          <w:p>
            <w:pPr>
              <w:pStyle w:val="28"/>
              <w:spacing w:before="120"/>
            </w:pPr>
            <w:r>
              <w:rPr>
                <w:rFonts w:hint="eastAsia"/>
              </w:rPr>
              <w:t>图4本项目水平衡图单位：m</w:t>
            </w:r>
            <w:r>
              <w:rPr>
                <w:rFonts w:hint="eastAsia"/>
                <w:vertAlign w:val="superscript"/>
              </w:rPr>
              <w:t>3</w:t>
            </w:r>
            <w:r>
              <w:rPr>
                <w:rFonts w:hint="eastAsia"/>
              </w:rPr>
              <w:t>/a</w:t>
            </w:r>
          </w:p>
          <w:p>
            <w:pPr>
              <w:pStyle w:val="3"/>
              <w:spacing w:line="360" w:lineRule="auto"/>
              <w:ind w:firstLine="480"/>
              <w:rPr>
                <w:rFonts w:cstheme="minorBidi"/>
                <w:b w:val="0"/>
                <w:bCs w:val="0"/>
                <w:szCs w:val="22"/>
              </w:rPr>
            </w:pPr>
            <w:r>
              <w:rPr>
                <w:rFonts w:hint="eastAsia" w:cstheme="minorBidi"/>
                <w:b w:val="0"/>
                <w:bCs w:val="0"/>
                <w:szCs w:val="22"/>
              </w:rPr>
              <w:t>（</w:t>
            </w:r>
            <w:r>
              <w:rPr>
                <w:rFonts w:hint="eastAsia" w:cstheme="minorBidi"/>
                <w:b w:val="0"/>
                <w:bCs w:val="0"/>
                <w:szCs w:val="22"/>
                <w:lang w:val="en-US" w:eastAsia="zh-CN"/>
              </w:rPr>
              <w:t>1</w:t>
            </w:r>
            <w:r>
              <w:rPr>
                <w:rFonts w:hint="eastAsia" w:cstheme="minorBidi"/>
                <w:b w:val="0"/>
                <w:bCs w:val="0"/>
                <w:szCs w:val="22"/>
              </w:rPr>
              <w:t>）生活污水防治措施可行性分析：</w:t>
            </w:r>
          </w:p>
          <w:p>
            <w:pPr>
              <w:ind w:firstLine="480"/>
            </w:pPr>
            <w:r>
              <w:rPr>
                <w:rFonts w:hint="eastAsia"/>
                <w:lang w:val="en-US" w:eastAsia="zh-CN"/>
              </w:rPr>
              <w:t>本项目位于若羌县，</w:t>
            </w:r>
            <w:r>
              <w:rPr>
                <w:rFonts w:hint="eastAsia"/>
              </w:rPr>
              <w:t>所在区域为荒漠</w:t>
            </w:r>
            <w:r>
              <w:rPr>
                <w:rFonts w:hint="eastAsia"/>
                <w:lang w:val="en-US" w:eastAsia="zh-CN"/>
              </w:rPr>
              <w:t>且属于边远矿区，生活污水排放和综合利用可参照《农村生活污水处理排放标准》（DB65/4275）要求管控。因此，</w:t>
            </w:r>
            <w:r>
              <w:rPr>
                <w:rFonts w:hint="eastAsia"/>
              </w:rPr>
              <w:t>本项目</w:t>
            </w:r>
            <w:r>
              <w:rPr>
                <w:rFonts w:hint="eastAsia"/>
                <w:color w:val="000000"/>
                <w:szCs w:val="32"/>
              </w:rPr>
              <w:t>生活污水经化粪池收集预处理后达到《农村生活污水处理排放标准》（DB65/4275）表2农村生活污水处理设施出水用于生态恢复的污染物排放限值（日均值）C级标准后用于矿区荒漠生态恢复灌溉可行</w:t>
            </w:r>
            <w:r>
              <w:rPr>
                <w:rFonts w:hint="eastAsia"/>
              </w:rPr>
              <w:t>。</w:t>
            </w:r>
            <w:r>
              <w:rPr>
                <w:rFonts w:hint="default" w:ascii="Times New Roman" w:hAnsi="Times New Roman" w:cs="Times New Roman"/>
                <w:color w:val="000000"/>
                <w:sz w:val="24"/>
                <w:szCs w:val="24"/>
                <w:highlight w:val="none"/>
                <w:lang w:val="en-US" w:eastAsia="zh-CN"/>
              </w:rPr>
              <w:t>须避免因采用漫灌、沟灌、淹灌等不合理利用方式而造成地下水和土壤污染、浪费水资源。荒漠灌溉且不进入天然水体和生态环境敏</w:t>
            </w:r>
            <w:r>
              <w:rPr>
                <w:rFonts w:hint="default" w:ascii="Times New Roman" w:hAnsi="Times New Roman" w:cs="Times New Roman"/>
                <w:b w:val="0"/>
                <w:bCs w:val="0"/>
                <w:i w:val="0"/>
                <w:iCs w:val="0"/>
                <w:color w:val="000000"/>
                <w:sz w:val="24"/>
                <w:szCs w:val="24"/>
                <w:highlight w:val="none"/>
                <w:lang w:val="en-US" w:eastAsia="zh-CN"/>
              </w:rPr>
              <w:t>感区。</w:t>
            </w:r>
          </w:p>
          <w:p>
            <w:pPr>
              <w:pStyle w:val="15"/>
              <w:ind w:firstLine="482"/>
            </w:pPr>
            <w:r>
              <w:rPr>
                <w:rFonts w:hint="eastAsia"/>
              </w:rPr>
              <w:t>3、施工期噪声影响分析</w:t>
            </w:r>
          </w:p>
          <w:p>
            <w:pPr>
              <w:adjustRightInd w:val="0"/>
              <w:snapToGrid w:val="0"/>
              <w:ind w:firstLine="480"/>
              <w:rPr>
                <w:b/>
              </w:rPr>
            </w:pPr>
            <w:r>
              <w:t>本项目噪声来源包括运输车辆噪声</w:t>
            </w:r>
            <w:r>
              <w:rPr>
                <w:rFonts w:hint="eastAsia"/>
              </w:rPr>
              <w:t>以及作业</w:t>
            </w:r>
            <w:r>
              <w:t>机械噪声，如</w:t>
            </w:r>
            <w:r>
              <w:rPr>
                <w:rFonts w:hint="eastAsia"/>
              </w:rPr>
              <w:t>空压机、钻探设备、柴油发电机</w:t>
            </w:r>
            <w:r>
              <w:t>等</w:t>
            </w:r>
            <w:r>
              <w:rPr>
                <w:rFonts w:hint="eastAsia"/>
              </w:rPr>
              <w:t>。</w:t>
            </w:r>
            <w:r>
              <w:t>噪声源强约</w:t>
            </w:r>
            <w:r>
              <w:rPr>
                <w:rFonts w:hint="eastAsia"/>
              </w:rPr>
              <w:t>85~1</w:t>
            </w:r>
            <w:r>
              <w:t>0</w:t>
            </w:r>
            <w:r>
              <w:rPr>
                <w:rFonts w:hint="eastAsia"/>
              </w:rPr>
              <w:t>0</w:t>
            </w:r>
            <w:r>
              <w:t>dB</w:t>
            </w:r>
            <w:r>
              <w:rPr>
                <w:rFonts w:hint="eastAsia"/>
              </w:rPr>
              <w:t>(</w:t>
            </w:r>
            <w:r>
              <w:t>A)</w:t>
            </w:r>
            <w:r>
              <w:rPr>
                <w:rFonts w:hint="eastAsia"/>
              </w:rPr>
              <w:t>。</w:t>
            </w:r>
            <w:r>
              <w:t>根据类比调查，主要噪声源及声级详见表</w:t>
            </w:r>
            <w:r>
              <w:rPr>
                <w:rFonts w:hint="eastAsia"/>
              </w:rPr>
              <w:t>4-</w:t>
            </w:r>
            <w:r>
              <w:rPr>
                <w:rFonts w:hint="eastAsia"/>
                <w:lang w:val="en-US" w:eastAsia="zh-CN"/>
              </w:rPr>
              <w:t>4</w:t>
            </w:r>
            <w:r>
              <w:rPr>
                <w:b/>
              </w:rPr>
              <w:t>：</w:t>
            </w:r>
          </w:p>
          <w:p>
            <w:pPr>
              <w:pStyle w:val="28"/>
              <w:spacing w:before="120"/>
            </w:pPr>
            <w:r>
              <w:rPr>
                <w:rFonts w:hint="eastAsia"/>
              </w:rPr>
              <w:t>表4</w:t>
            </w:r>
            <w:r>
              <w:rPr>
                <w:rFonts w:hint="eastAsia"/>
                <w:lang w:val="en-US" w:eastAsia="zh-CN"/>
              </w:rPr>
              <w:t>-4</w:t>
            </w:r>
            <w:r>
              <w:rPr>
                <w:rFonts w:hint="eastAsia"/>
              </w:rPr>
              <w:t>主要噪声源及声级一览表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2"/>
              <w:gridCol w:w="1363"/>
              <w:gridCol w:w="2415"/>
              <w:gridCol w:w="838"/>
              <w:gridCol w:w="1193"/>
              <w:gridCol w:w="18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368" w:type="pct"/>
                  <w:tcBorders>
                    <w:tl2br w:val="nil"/>
                    <w:tr2bl w:val="nil"/>
                  </w:tcBorders>
                  <w:vAlign w:val="center"/>
                </w:tcPr>
                <w:p>
                  <w:pPr>
                    <w:pStyle w:val="26"/>
                  </w:pPr>
                  <w:r>
                    <w:t>序号</w:t>
                  </w:r>
                </w:p>
              </w:tc>
              <w:tc>
                <w:tcPr>
                  <w:tcW w:w="822" w:type="pct"/>
                  <w:tcBorders>
                    <w:tl2br w:val="nil"/>
                    <w:tr2bl w:val="nil"/>
                  </w:tcBorders>
                  <w:vAlign w:val="center"/>
                </w:tcPr>
                <w:p>
                  <w:pPr>
                    <w:pStyle w:val="26"/>
                  </w:pPr>
                  <w:r>
                    <w:t>声源名称</w:t>
                  </w:r>
                </w:p>
              </w:tc>
              <w:tc>
                <w:tcPr>
                  <w:tcW w:w="1456" w:type="pct"/>
                  <w:tcBorders>
                    <w:tl2br w:val="nil"/>
                    <w:tr2bl w:val="nil"/>
                  </w:tcBorders>
                  <w:vAlign w:val="center"/>
                </w:tcPr>
                <w:p>
                  <w:pPr>
                    <w:pStyle w:val="26"/>
                  </w:pPr>
                  <w:r>
                    <w:t>噪声级dB</w:t>
                  </w:r>
                  <w:r>
                    <w:rPr>
                      <w:rFonts w:hint="eastAsia"/>
                    </w:rPr>
                    <w:t>(</w:t>
                  </w:r>
                  <w:r>
                    <w:t>A)</w:t>
                  </w:r>
                </w:p>
              </w:tc>
              <w:tc>
                <w:tcPr>
                  <w:tcW w:w="505" w:type="pct"/>
                  <w:tcBorders>
                    <w:tl2br w:val="nil"/>
                    <w:tr2bl w:val="nil"/>
                  </w:tcBorders>
                  <w:vAlign w:val="center"/>
                </w:tcPr>
                <w:p>
                  <w:pPr>
                    <w:pStyle w:val="26"/>
                  </w:pPr>
                  <w:r>
                    <w:rPr>
                      <w:rFonts w:hint="eastAsia"/>
                    </w:rPr>
                    <w:t>数量</w:t>
                  </w:r>
                </w:p>
              </w:tc>
              <w:tc>
                <w:tcPr>
                  <w:tcW w:w="719" w:type="pct"/>
                  <w:tcBorders>
                    <w:tl2br w:val="nil"/>
                    <w:tr2bl w:val="nil"/>
                  </w:tcBorders>
                  <w:vAlign w:val="center"/>
                </w:tcPr>
                <w:p>
                  <w:pPr>
                    <w:pStyle w:val="26"/>
                  </w:pPr>
                  <w:r>
                    <w:t>距声源</w:t>
                  </w:r>
                </w:p>
              </w:tc>
              <w:tc>
                <w:tcPr>
                  <w:tcW w:w="1129" w:type="pct"/>
                  <w:tcBorders>
                    <w:tl2br w:val="nil"/>
                    <w:tr2bl w:val="nil"/>
                  </w:tcBorders>
                  <w:vAlign w:val="center"/>
                </w:tcPr>
                <w:p>
                  <w:pPr>
                    <w:pStyle w:val="26"/>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12" w:type="dxa"/>
                  <w:tcBorders>
                    <w:tl2br w:val="nil"/>
                    <w:tr2bl w:val="nil"/>
                  </w:tcBorders>
                  <w:vAlign w:val="center"/>
                </w:tcPr>
                <w:p>
                  <w:pPr>
                    <w:pStyle w:val="26"/>
                    <w:ind w:left="0" w:leftChars="0" w:firstLine="0" w:firstLineChars="0"/>
                  </w:pPr>
                  <w:r>
                    <w:rPr>
                      <w:rFonts w:hint="eastAsia"/>
                    </w:rPr>
                    <w:t>1</w:t>
                  </w:r>
                </w:p>
              </w:tc>
              <w:tc>
                <w:tcPr>
                  <w:tcW w:w="1363" w:type="dxa"/>
                  <w:tcBorders>
                    <w:tl2br w:val="nil"/>
                    <w:tr2bl w:val="nil"/>
                  </w:tcBorders>
                  <w:vAlign w:val="center"/>
                </w:tcPr>
                <w:p>
                  <w:pPr>
                    <w:pStyle w:val="26"/>
                    <w:ind w:left="0" w:leftChars="0" w:firstLine="0" w:firstLineChars="0"/>
                  </w:pPr>
                  <w:r>
                    <w:rPr>
                      <w:rFonts w:hint="eastAsia" w:ascii="Times New Roman" w:hAnsi="Times New Roman" w:eastAsia="宋体" w:cs="Times New Roman"/>
                    </w:rPr>
                    <w:t>钻机</w:t>
                  </w:r>
                </w:p>
              </w:tc>
              <w:tc>
                <w:tcPr>
                  <w:tcW w:w="2415" w:type="dxa"/>
                  <w:tcBorders>
                    <w:tl2br w:val="nil"/>
                    <w:tr2bl w:val="nil"/>
                  </w:tcBorders>
                  <w:vAlign w:val="center"/>
                </w:tcPr>
                <w:p>
                  <w:pPr>
                    <w:pStyle w:val="26"/>
                    <w:ind w:left="0" w:leftChars="0" w:firstLine="0" w:firstLineChars="0"/>
                  </w:pPr>
                  <w:r>
                    <w:t>90</w:t>
                  </w:r>
                </w:p>
              </w:tc>
              <w:tc>
                <w:tcPr>
                  <w:tcW w:w="838" w:type="dxa"/>
                  <w:tcBorders>
                    <w:tl2br w:val="nil"/>
                    <w:tr2bl w:val="nil"/>
                  </w:tcBorders>
                  <w:vAlign w:val="center"/>
                </w:tcPr>
                <w:p>
                  <w:pPr>
                    <w:pStyle w:val="26"/>
                    <w:ind w:left="0" w:leftChars="0" w:firstLine="0" w:firstLineChars="0"/>
                  </w:pPr>
                  <w:r>
                    <w:rPr>
                      <w:rFonts w:hint="eastAsia"/>
                    </w:rPr>
                    <w:t>2</w:t>
                  </w:r>
                </w:p>
              </w:tc>
              <w:tc>
                <w:tcPr>
                  <w:tcW w:w="1193" w:type="dxa"/>
                  <w:tcBorders>
                    <w:tl2br w:val="nil"/>
                    <w:tr2bl w:val="nil"/>
                  </w:tcBorders>
                  <w:vAlign w:val="center"/>
                </w:tcPr>
                <w:p>
                  <w:pPr>
                    <w:pStyle w:val="26"/>
                    <w:ind w:left="0" w:leftChars="0" w:firstLine="0" w:firstLineChars="0"/>
                  </w:pPr>
                  <w:r>
                    <w:rPr>
                      <w:rFonts w:hint="eastAsia"/>
                    </w:rPr>
                    <w:t>5</w:t>
                  </w:r>
                  <w:r>
                    <w:t>m</w:t>
                  </w:r>
                </w:p>
              </w:tc>
              <w:tc>
                <w:tcPr>
                  <w:tcW w:w="1873" w:type="dxa"/>
                  <w:tcBorders>
                    <w:tl2br w:val="nil"/>
                    <w:tr2bl w:val="nil"/>
                  </w:tcBorders>
                  <w:vAlign w:val="center"/>
                </w:tcPr>
                <w:p>
                  <w:pPr>
                    <w:pStyle w:val="26"/>
                    <w:ind w:left="0" w:leftChars="0" w:firstLine="0" w:firstLineChars="0"/>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12" w:type="dxa"/>
                  <w:tcBorders>
                    <w:tl2br w:val="nil"/>
                    <w:tr2bl w:val="nil"/>
                  </w:tcBorders>
                  <w:vAlign w:val="center"/>
                </w:tcPr>
                <w:p>
                  <w:pPr>
                    <w:pStyle w:val="26"/>
                    <w:ind w:left="0" w:leftChars="0" w:firstLine="0" w:firstLineChars="0"/>
                  </w:pPr>
                  <w:r>
                    <w:rPr>
                      <w:rFonts w:hint="eastAsia"/>
                    </w:rPr>
                    <w:t>2</w:t>
                  </w:r>
                </w:p>
              </w:tc>
              <w:tc>
                <w:tcPr>
                  <w:tcW w:w="1363" w:type="dxa"/>
                  <w:tcBorders>
                    <w:tl2br w:val="nil"/>
                    <w:tr2bl w:val="nil"/>
                  </w:tcBorders>
                  <w:vAlign w:val="center"/>
                </w:tcPr>
                <w:p>
                  <w:pPr>
                    <w:pStyle w:val="26"/>
                    <w:ind w:left="0" w:leftChars="0" w:firstLine="0" w:firstLineChars="0"/>
                    <w:rPr>
                      <w:szCs w:val="24"/>
                    </w:rPr>
                  </w:pPr>
                  <w:r>
                    <w:rPr>
                      <w:rFonts w:hint="eastAsia"/>
                    </w:rPr>
                    <w:t>钻探设备</w:t>
                  </w:r>
                </w:p>
              </w:tc>
              <w:tc>
                <w:tcPr>
                  <w:tcW w:w="2415" w:type="dxa"/>
                  <w:tcBorders>
                    <w:tl2br w:val="nil"/>
                    <w:tr2bl w:val="nil"/>
                  </w:tcBorders>
                  <w:vAlign w:val="center"/>
                </w:tcPr>
                <w:p>
                  <w:pPr>
                    <w:pStyle w:val="26"/>
                    <w:ind w:left="0" w:leftChars="0" w:firstLine="0" w:firstLineChars="0"/>
                    <w:rPr>
                      <w:szCs w:val="24"/>
                    </w:rPr>
                  </w:pPr>
                  <w:r>
                    <w:rPr>
                      <w:rFonts w:hint="eastAsia"/>
                    </w:rPr>
                    <w:t>90~100</w:t>
                  </w:r>
                </w:p>
              </w:tc>
              <w:tc>
                <w:tcPr>
                  <w:tcW w:w="838" w:type="dxa"/>
                  <w:tcBorders>
                    <w:tl2br w:val="nil"/>
                    <w:tr2bl w:val="nil"/>
                  </w:tcBorders>
                  <w:vAlign w:val="center"/>
                </w:tcPr>
                <w:p>
                  <w:pPr>
                    <w:pStyle w:val="26"/>
                    <w:ind w:left="0" w:leftChars="0" w:firstLine="0" w:firstLineChars="0"/>
                    <w:rPr>
                      <w:szCs w:val="24"/>
                    </w:rPr>
                  </w:pPr>
                  <w:r>
                    <w:rPr>
                      <w:rFonts w:hint="eastAsia"/>
                    </w:rPr>
                    <w:t>2</w:t>
                  </w:r>
                </w:p>
              </w:tc>
              <w:tc>
                <w:tcPr>
                  <w:tcW w:w="1193" w:type="dxa"/>
                  <w:tcBorders>
                    <w:tl2br w:val="nil"/>
                    <w:tr2bl w:val="nil"/>
                  </w:tcBorders>
                  <w:vAlign w:val="center"/>
                </w:tcPr>
                <w:p>
                  <w:pPr>
                    <w:pStyle w:val="26"/>
                    <w:ind w:left="0" w:leftChars="0" w:firstLine="0" w:firstLineChars="0"/>
                    <w:rPr>
                      <w:szCs w:val="24"/>
                    </w:rPr>
                  </w:pPr>
                  <w:r>
                    <w:rPr>
                      <w:rFonts w:hint="eastAsia"/>
                    </w:rPr>
                    <w:t>5m</w:t>
                  </w:r>
                </w:p>
              </w:tc>
              <w:tc>
                <w:tcPr>
                  <w:tcW w:w="1873" w:type="dxa"/>
                  <w:tcBorders>
                    <w:tl2br w:val="nil"/>
                    <w:tr2bl w:val="nil"/>
                  </w:tcBorders>
                  <w:vAlign w:val="center"/>
                </w:tcPr>
                <w:p>
                  <w:pPr>
                    <w:pStyle w:val="26"/>
                    <w:ind w:left="0" w:leftChars="0" w:firstLine="0" w:firstLineChars="0"/>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12" w:type="dxa"/>
                  <w:tcBorders>
                    <w:tl2br w:val="nil"/>
                    <w:tr2bl w:val="nil"/>
                  </w:tcBorders>
                  <w:vAlign w:val="center"/>
                </w:tcPr>
                <w:p>
                  <w:pPr>
                    <w:pStyle w:val="26"/>
                    <w:ind w:left="0" w:leftChars="0" w:firstLine="0" w:firstLineChars="0"/>
                  </w:pPr>
                  <w:r>
                    <w:rPr>
                      <w:rFonts w:hint="eastAsia"/>
                    </w:rPr>
                    <w:t>3</w:t>
                  </w:r>
                </w:p>
              </w:tc>
              <w:tc>
                <w:tcPr>
                  <w:tcW w:w="1363" w:type="dxa"/>
                  <w:tcBorders>
                    <w:tl2br w:val="nil"/>
                    <w:tr2bl w:val="nil"/>
                  </w:tcBorders>
                  <w:vAlign w:val="center"/>
                </w:tcPr>
                <w:p>
                  <w:pPr>
                    <w:pStyle w:val="26"/>
                    <w:ind w:left="0" w:leftChars="0" w:firstLine="0" w:firstLineChars="0"/>
                    <w:rPr>
                      <w:szCs w:val="24"/>
                    </w:rPr>
                  </w:pPr>
                  <w:r>
                    <w:rPr>
                      <w:rFonts w:hint="eastAsia"/>
                      <w:szCs w:val="24"/>
                      <w:lang w:val="en-US" w:eastAsia="zh-CN"/>
                    </w:rPr>
                    <w:t>柴油发电机</w:t>
                  </w:r>
                </w:p>
              </w:tc>
              <w:tc>
                <w:tcPr>
                  <w:tcW w:w="2415" w:type="dxa"/>
                  <w:tcBorders>
                    <w:tl2br w:val="nil"/>
                    <w:tr2bl w:val="nil"/>
                  </w:tcBorders>
                  <w:vAlign w:val="center"/>
                </w:tcPr>
                <w:p>
                  <w:pPr>
                    <w:pStyle w:val="26"/>
                    <w:ind w:left="0" w:leftChars="0" w:firstLine="0" w:firstLineChars="0"/>
                    <w:rPr>
                      <w:szCs w:val="24"/>
                    </w:rPr>
                  </w:pPr>
                  <w:r>
                    <w:rPr>
                      <w:rFonts w:hint="eastAsia"/>
                    </w:rPr>
                    <w:t>85~90</w:t>
                  </w:r>
                </w:p>
              </w:tc>
              <w:tc>
                <w:tcPr>
                  <w:tcW w:w="838" w:type="dxa"/>
                  <w:tcBorders>
                    <w:tl2br w:val="nil"/>
                    <w:tr2bl w:val="nil"/>
                  </w:tcBorders>
                  <w:vAlign w:val="center"/>
                </w:tcPr>
                <w:p>
                  <w:pPr>
                    <w:pStyle w:val="26"/>
                    <w:ind w:left="0" w:leftChars="0" w:firstLine="0" w:firstLineChars="0"/>
                    <w:rPr>
                      <w:szCs w:val="24"/>
                    </w:rPr>
                  </w:pPr>
                  <w:r>
                    <w:rPr>
                      <w:rFonts w:hint="eastAsia"/>
                    </w:rPr>
                    <w:t>2</w:t>
                  </w:r>
                </w:p>
              </w:tc>
              <w:tc>
                <w:tcPr>
                  <w:tcW w:w="1193" w:type="dxa"/>
                  <w:tcBorders>
                    <w:tl2br w:val="nil"/>
                    <w:tr2bl w:val="nil"/>
                  </w:tcBorders>
                  <w:vAlign w:val="center"/>
                </w:tcPr>
                <w:p>
                  <w:pPr>
                    <w:pStyle w:val="26"/>
                    <w:ind w:left="0" w:leftChars="0" w:firstLine="0" w:firstLineChars="0"/>
                    <w:rPr>
                      <w:szCs w:val="24"/>
                    </w:rPr>
                  </w:pPr>
                  <w:r>
                    <w:rPr>
                      <w:rFonts w:hint="eastAsia"/>
                    </w:rPr>
                    <w:t>5m</w:t>
                  </w:r>
                </w:p>
              </w:tc>
              <w:tc>
                <w:tcPr>
                  <w:tcW w:w="1873" w:type="dxa"/>
                  <w:tcBorders>
                    <w:tl2br w:val="nil"/>
                    <w:tr2bl w:val="nil"/>
                  </w:tcBorders>
                  <w:vAlign w:val="center"/>
                </w:tcPr>
                <w:p>
                  <w:pPr>
                    <w:pStyle w:val="26"/>
                    <w:ind w:left="0" w:leftChars="0" w:firstLine="0" w:firstLineChars="0"/>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12" w:type="dxa"/>
                  <w:tcBorders>
                    <w:tl2br w:val="nil"/>
                    <w:tr2bl w:val="nil"/>
                  </w:tcBorders>
                  <w:vAlign w:val="center"/>
                </w:tcPr>
                <w:p>
                  <w:pPr>
                    <w:pStyle w:val="26"/>
                    <w:ind w:left="0" w:leftChars="0" w:firstLine="0" w:firstLineChars="0"/>
                    <w:rPr>
                      <w:rFonts w:hint="eastAsia"/>
                    </w:rPr>
                  </w:pPr>
                  <w:r>
                    <w:rPr>
                      <w:rFonts w:hint="eastAsia"/>
                      <w:lang w:val="en-US" w:eastAsia="zh-CN"/>
                    </w:rPr>
                    <w:t>4</w:t>
                  </w:r>
                </w:p>
              </w:tc>
              <w:tc>
                <w:tcPr>
                  <w:tcW w:w="1363" w:type="dxa"/>
                  <w:tcBorders>
                    <w:tl2br w:val="nil"/>
                    <w:tr2bl w:val="nil"/>
                  </w:tcBorders>
                  <w:vAlign w:val="center"/>
                </w:tcPr>
                <w:p>
                  <w:pPr>
                    <w:pStyle w:val="26"/>
                    <w:ind w:left="0" w:leftChars="0" w:firstLine="0" w:firstLineChars="0"/>
                    <w:rPr>
                      <w:rFonts w:hint="eastAsia"/>
                    </w:rPr>
                  </w:pPr>
                  <w:r>
                    <w:rPr>
                      <w:rFonts w:hint="eastAsia" w:ascii="Times New Roman" w:hAnsi="Times New Roman" w:eastAsia="宋体" w:cs="Times New Roman"/>
                    </w:rPr>
                    <w:t>越野汽车</w:t>
                  </w:r>
                </w:p>
              </w:tc>
              <w:tc>
                <w:tcPr>
                  <w:tcW w:w="2415" w:type="dxa"/>
                  <w:tcBorders>
                    <w:tl2br w:val="nil"/>
                    <w:tr2bl w:val="nil"/>
                  </w:tcBorders>
                  <w:vAlign w:val="center"/>
                </w:tcPr>
                <w:p>
                  <w:pPr>
                    <w:pStyle w:val="26"/>
                    <w:ind w:left="0" w:leftChars="0" w:firstLine="0" w:firstLineChars="0"/>
                    <w:rPr>
                      <w:rFonts w:hint="eastAsia"/>
                    </w:rPr>
                  </w:pPr>
                  <w:r>
                    <w:rPr>
                      <w:rFonts w:hint="eastAsia"/>
                      <w:lang w:val="en-US" w:eastAsia="zh-CN"/>
                    </w:rPr>
                    <w:t>75~80</w:t>
                  </w:r>
                </w:p>
              </w:tc>
              <w:tc>
                <w:tcPr>
                  <w:tcW w:w="838" w:type="dxa"/>
                  <w:tcBorders>
                    <w:tl2br w:val="nil"/>
                    <w:tr2bl w:val="nil"/>
                  </w:tcBorders>
                  <w:vAlign w:val="center"/>
                </w:tcPr>
                <w:p>
                  <w:pPr>
                    <w:pStyle w:val="26"/>
                    <w:ind w:left="0" w:leftChars="0" w:firstLine="0" w:firstLineChars="0"/>
                    <w:rPr>
                      <w:rFonts w:hint="eastAsia"/>
                    </w:rPr>
                  </w:pPr>
                  <w:r>
                    <w:rPr>
                      <w:rFonts w:hint="eastAsia"/>
                      <w:lang w:val="en-US" w:eastAsia="zh-CN"/>
                    </w:rPr>
                    <w:t>2</w:t>
                  </w:r>
                </w:p>
              </w:tc>
              <w:tc>
                <w:tcPr>
                  <w:tcW w:w="1193" w:type="dxa"/>
                  <w:tcBorders>
                    <w:tl2br w:val="nil"/>
                    <w:tr2bl w:val="nil"/>
                  </w:tcBorders>
                  <w:vAlign w:val="center"/>
                </w:tcPr>
                <w:p>
                  <w:pPr>
                    <w:pStyle w:val="26"/>
                    <w:ind w:left="0" w:leftChars="0" w:firstLine="0" w:firstLineChars="0"/>
                    <w:rPr>
                      <w:rFonts w:hint="eastAsia"/>
                    </w:rPr>
                  </w:pPr>
                  <w:r>
                    <w:rPr>
                      <w:rFonts w:hint="eastAsia"/>
                    </w:rPr>
                    <w:t>5m</w:t>
                  </w:r>
                </w:p>
              </w:tc>
              <w:tc>
                <w:tcPr>
                  <w:tcW w:w="1873" w:type="dxa"/>
                  <w:tcBorders>
                    <w:tl2br w:val="nil"/>
                    <w:tr2bl w:val="nil"/>
                  </w:tcBorders>
                  <w:vAlign w:val="center"/>
                </w:tcPr>
                <w:p>
                  <w:pPr>
                    <w:pStyle w:val="26"/>
                    <w:ind w:left="0" w:leftChars="0" w:firstLine="0" w:firstLineChars="0"/>
                    <w:rPr>
                      <w:rFonts w:hint="eastAsia"/>
                    </w:rPr>
                  </w:pPr>
                  <w:r>
                    <w:rPr>
                      <w:rFonts w:hint="eastAsia"/>
                    </w:rPr>
                    <w:t>/</w:t>
                  </w:r>
                </w:p>
              </w:tc>
            </w:tr>
          </w:tbl>
          <w:p>
            <w:pPr>
              <w:ind w:firstLine="480"/>
            </w:pPr>
            <w:r>
              <w:rPr>
                <w:rFonts w:hint="eastAsia"/>
              </w:rPr>
              <w:t>防治措施：合理布设施工场地，使用低噪声设备，加强钻探设备、凿岩机、空压机</w:t>
            </w:r>
            <w:r>
              <w:rPr>
                <w:rFonts w:hint="eastAsia"/>
                <w:lang w:eastAsia="zh-CN"/>
              </w:rPr>
              <w:t>，</w:t>
            </w:r>
            <w:r>
              <w:rPr>
                <w:rFonts w:hint="eastAsia"/>
              </w:rPr>
              <w:t>保持其良好工况，夜间禁止施工。而且要对连续接触高噪声源的操作人员，采取相应防护措施。</w:t>
            </w:r>
          </w:p>
          <w:p>
            <w:pPr>
              <w:pStyle w:val="15"/>
              <w:ind w:firstLine="482"/>
            </w:pPr>
            <w:r>
              <w:rPr>
                <w:rFonts w:hint="eastAsia"/>
              </w:rPr>
              <w:t>4、施工期固体废弃物</w:t>
            </w:r>
          </w:p>
          <w:p>
            <w:pPr>
              <w:ind w:firstLine="480"/>
            </w:pPr>
            <w:r>
              <w:t>本项目固体废物主要为</w:t>
            </w:r>
            <w:r>
              <w:rPr>
                <w:rFonts w:hint="eastAsia"/>
              </w:rPr>
              <w:t>钻探土石方、钻探泥浆、</w:t>
            </w:r>
            <w:r>
              <w:rPr>
                <w:rFonts w:hint="eastAsia"/>
                <w:lang w:val="en-US" w:eastAsia="zh-CN"/>
              </w:rPr>
              <w:t>钻屑、</w:t>
            </w:r>
            <w:r>
              <w:rPr>
                <w:rFonts w:hint="eastAsia"/>
              </w:rPr>
              <w:t>施工人员生活垃圾</w:t>
            </w:r>
            <w:r>
              <w:rPr>
                <w:rFonts w:hint="eastAsia"/>
                <w:lang w:eastAsia="zh-CN"/>
              </w:rPr>
              <w:t>、</w:t>
            </w:r>
            <w:r>
              <w:rPr>
                <w:rFonts w:hint="eastAsia"/>
                <w:lang w:val="en-US" w:eastAsia="zh-CN"/>
              </w:rPr>
              <w:t>废包装物。废防渗膜等</w:t>
            </w:r>
            <w:r>
              <w:rPr>
                <w:rFonts w:hint="eastAsia"/>
                <w:lang w:eastAsia="zh-CN"/>
              </w:rPr>
              <w:t>。</w:t>
            </w:r>
          </w:p>
          <w:p>
            <w:pPr>
              <w:pStyle w:val="15"/>
              <w:ind w:firstLine="482"/>
            </w:pPr>
            <w:r>
              <w:rPr>
                <w:rFonts w:hint="eastAsia"/>
              </w:rPr>
              <w:t>4.1一般固废</w:t>
            </w:r>
          </w:p>
          <w:p>
            <w:pPr>
              <w:ind w:firstLine="480"/>
              <w:rPr>
                <w:snapToGrid w:val="0"/>
                <w:kern w:val="0"/>
                <w:szCs w:val="21"/>
              </w:rPr>
            </w:pPr>
            <w:r>
              <w:rPr>
                <w:rFonts w:hint="eastAsia"/>
                <w:snapToGrid w:val="0"/>
                <w:kern w:val="0"/>
                <w:szCs w:val="21"/>
              </w:rPr>
              <w:t>①土石方</w:t>
            </w:r>
          </w:p>
          <w:p>
            <w:pPr>
              <w:ind w:firstLine="480"/>
            </w:pPr>
            <w:r>
              <w:t>本项目</w:t>
            </w:r>
            <w:r>
              <w:rPr>
                <w:rFonts w:hint="eastAsia"/>
              </w:rPr>
              <w:t>钻探</w:t>
            </w:r>
            <w:r>
              <w:t>总工程量为</w:t>
            </w:r>
            <w:r>
              <w:rPr>
                <w:rFonts w:hint="eastAsia"/>
                <w:lang w:val="en-US" w:eastAsia="zh-CN"/>
              </w:rPr>
              <w:t>500</w:t>
            </w:r>
            <w:r>
              <w:t>m，钻探</w:t>
            </w:r>
            <w:r>
              <w:rPr>
                <w:rFonts w:hint="eastAsia"/>
              </w:rPr>
              <w:t>开孔直径不小于75</w:t>
            </w:r>
            <w:r>
              <w:t>mm</w:t>
            </w:r>
            <w:r>
              <w:rPr>
                <w:rFonts w:hint="eastAsia"/>
              </w:rPr>
              <w:t>，</w:t>
            </w:r>
            <w:r>
              <w:t>岩心产生的土方量为</w:t>
            </w:r>
            <w:r>
              <w:rPr>
                <w:rFonts w:hint="eastAsia"/>
                <w:lang w:val="en-US" w:eastAsia="zh-CN"/>
              </w:rPr>
              <w:t>2.21</w:t>
            </w:r>
            <w:r>
              <w:t>m</w:t>
            </w:r>
            <w:r>
              <w:rPr>
                <w:vertAlign w:val="superscript"/>
              </w:rPr>
              <w:t>3</w:t>
            </w:r>
            <w:r>
              <w:t>(V=πr</w:t>
            </w:r>
            <w:r>
              <w:rPr>
                <w:vertAlign w:val="superscript"/>
              </w:rPr>
              <w:t>2</w:t>
            </w:r>
            <w:r>
              <w:t>×h)，</w:t>
            </w:r>
            <w:r>
              <w:rPr>
                <w:rFonts w:hint="eastAsia"/>
              </w:rPr>
              <w:t>部分采样</w:t>
            </w:r>
            <w:r>
              <w:t>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rPr>
                <w:rFonts w:hint="eastAsia"/>
                <w:lang w:val="en-US" w:eastAsia="zh-CN"/>
              </w:rPr>
              <w:t>1</w:t>
            </w:r>
            <w:r>
              <w:rPr>
                <w:rFonts w:hint="eastAsia"/>
              </w:rPr>
              <w:t>个钻孔计，</w:t>
            </w:r>
            <w:r>
              <w:t>共计需剥离</w:t>
            </w:r>
            <w:r>
              <w:rPr>
                <w:rFonts w:hint="eastAsia"/>
                <w:lang w:val="en-US" w:eastAsia="zh-CN"/>
              </w:rPr>
              <w:t>1</w:t>
            </w:r>
            <w:r>
              <w:rPr>
                <w:rFonts w:hint="eastAsia"/>
              </w:rPr>
              <w:t>5</w:t>
            </w:r>
            <w:r>
              <w:t>m</w:t>
            </w:r>
            <w:r>
              <w:rPr>
                <w:vertAlign w:val="superscript"/>
              </w:rPr>
              <w:t>2</w:t>
            </w:r>
            <w:r>
              <w:t>，剥离厚度按20cm计算，每孔需剥离</w:t>
            </w:r>
            <w:r>
              <w:rPr>
                <w:rFonts w:hint="eastAsia"/>
              </w:rPr>
              <w:t>3</w:t>
            </w:r>
            <w:r>
              <w:t>m</w:t>
            </w:r>
            <w:r>
              <w:rPr>
                <w:vertAlign w:val="superscript"/>
              </w:rPr>
              <w:t>3</w:t>
            </w:r>
            <w:r>
              <w:t>，共需要堆放约</w:t>
            </w:r>
            <w:r>
              <w:rPr>
                <w:rFonts w:hint="eastAsia"/>
                <w:lang w:val="en-US" w:eastAsia="zh-CN"/>
              </w:rPr>
              <w:t>3</w:t>
            </w:r>
            <w:r>
              <w:t>m</w:t>
            </w:r>
            <w:r>
              <w:rPr>
                <w:vertAlign w:val="superscript"/>
              </w:rPr>
              <w:t>3</w:t>
            </w:r>
            <w:r>
              <w:t>(松散系数k=1.3</w:t>
            </w:r>
            <w:r>
              <w:rPr>
                <w:rFonts w:hint="eastAsia"/>
              </w:rPr>
              <w:t>，</w:t>
            </w:r>
            <w:r>
              <w:t>剥离松</w:t>
            </w:r>
            <w:r>
              <w:rPr>
                <w:rFonts w:hint="eastAsia"/>
              </w:rPr>
              <w:t>散</w:t>
            </w:r>
            <w:r>
              <w:t>方</w:t>
            </w:r>
            <w:r>
              <w:rPr>
                <w:rFonts w:hint="eastAsia"/>
                <w:lang w:val="en-US" w:eastAsia="zh-CN"/>
              </w:rPr>
              <w:t>3.9</w:t>
            </w:r>
            <w:r>
              <w:t>m</w:t>
            </w:r>
            <w:r>
              <w:rPr>
                <w:vertAlign w:val="superscript"/>
              </w:rPr>
              <w:t>3</w:t>
            </w:r>
            <w:r>
              <w:t>)</w:t>
            </w:r>
            <w:r>
              <w:rPr>
                <w:rFonts w:hint="eastAsia"/>
              </w:rPr>
              <w:t>；由于本项目产生的土石方量较少，因此不单独设置废石场，废石与剥离的表土分类暂存于钻孔的临时表土堆放场，用于回填</w:t>
            </w:r>
            <w:r>
              <w:t>。</w:t>
            </w:r>
          </w:p>
          <w:p>
            <w:pPr>
              <w:ind w:firstLine="480"/>
              <w:rPr>
                <w:snapToGrid w:val="0"/>
                <w:kern w:val="0"/>
                <w:szCs w:val="21"/>
              </w:rPr>
            </w:pPr>
            <w:r>
              <w:rPr>
                <w:rFonts w:hint="eastAsia"/>
                <w:snapToGrid w:val="0"/>
                <w:kern w:val="0"/>
                <w:szCs w:val="21"/>
              </w:rPr>
              <w:t>②钻探泥浆</w:t>
            </w:r>
          </w:p>
          <w:p>
            <w:pPr>
              <w:ind w:firstLine="480"/>
              <w:jc w:val="left"/>
            </w:pPr>
            <w:r>
              <w:rPr>
                <w:rFonts w:hint="eastAsia"/>
              </w:rPr>
              <w:t>钻探使用的泥浆采用</w:t>
            </w:r>
            <w:r>
              <w:rPr>
                <w:rFonts w:hint="eastAsia"/>
                <w:lang w:eastAsia="zh-CN"/>
              </w:rPr>
              <w:t>非磺化水基钻井液</w:t>
            </w:r>
            <w:r>
              <w:rPr>
                <w:rFonts w:hint="eastAsia"/>
              </w:rPr>
              <w:t>，从钻孔孔口返回后引至沉淀池，通过沉淀处理后，上清液循环使用，不外排。该类固废含水率</w:t>
            </w:r>
            <w:r>
              <w:t>90%</w:t>
            </w:r>
            <w:r>
              <w:rPr>
                <w:rFonts w:hint="eastAsia"/>
              </w:rPr>
              <w:t>。主要为岩屑胶结水团与泥沙混合物，属一般固废，根据业主提供的施工经验数据，在现有施工机具及环境条件下产生泥浆</w:t>
            </w:r>
            <w:r>
              <w:t>0.5t/100m</w:t>
            </w:r>
            <w:r>
              <w:rPr>
                <w:rFonts w:hint="eastAsia"/>
              </w:rPr>
              <w:t>。本项目钻探工作量为</w:t>
            </w:r>
            <w:r>
              <w:rPr>
                <w:rFonts w:hint="eastAsia"/>
                <w:lang w:val="en-US" w:eastAsia="zh-CN"/>
              </w:rPr>
              <w:t>500</w:t>
            </w:r>
            <w:r>
              <w:t>m</w:t>
            </w:r>
            <w:r>
              <w:rPr>
                <w:rFonts w:hint="eastAsia"/>
              </w:rPr>
              <w:t>，则整个探矿期泥浆产生量约为</w:t>
            </w:r>
            <w:r>
              <w:rPr>
                <w:rFonts w:hint="eastAsia"/>
                <w:lang w:val="en-US" w:eastAsia="zh-CN"/>
              </w:rPr>
              <w:t>250</w:t>
            </w:r>
            <w:r>
              <w:t>t</w:t>
            </w:r>
            <w:r>
              <w:rPr>
                <w:rFonts w:hint="eastAsia"/>
              </w:rPr>
              <w:t>。最终产生的废泥浆无任何添加剂成分，泥浆主要成分为SS，属一般固废，钻探泥浆完工后，将钻探泥浆填入沉淀池内</w:t>
            </w:r>
            <w:r>
              <w:rPr>
                <w:rFonts w:hint="eastAsia"/>
                <w:lang w:eastAsia="zh-CN"/>
              </w:rPr>
              <w:t>，</w:t>
            </w:r>
            <w:r>
              <w:rPr>
                <w:rFonts w:hint="eastAsia"/>
                <w:lang w:val="en-US" w:eastAsia="zh-CN"/>
              </w:rPr>
              <w:t>并采用水泥固化填埋，可有效固定污染物并防止渗漏，结合若羌县干旱气候自然脱水，实现经济环保的合规处置。（泥浆的基本液体是水。粘土在水中分散形成的泥浆即以水为连续相的泥浆称为水基泥浆。从粘土在泥浆中的分散程度来看，又可将水基泥浆划分为细分散淡水泥浆、粗分散抑制性泥浆和不分散低固相泥浆。水基泥浆中不含有毒害物质）。</w:t>
            </w:r>
          </w:p>
          <w:p>
            <w:pPr>
              <w:ind w:firstLine="480"/>
              <w:jc w:val="left"/>
              <w:rPr>
                <w:rFonts w:hint="eastAsia"/>
                <w:lang w:val="en-US" w:eastAsia="zh-CN"/>
              </w:rPr>
            </w:pPr>
            <w:r>
              <w:rPr>
                <w:rFonts w:hint="eastAsia"/>
                <w:lang w:val="en-US" w:eastAsia="zh-CN"/>
              </w:rPr>
              <w:t>③钻孔岩屑</w:t>
            </w:r>
          </w:p>
          <w:p>
            <w:pPr>
              <w:ind w:firstLine="480"/>
              <w:jc w:val="left"/>
              <w:rPr>
                <w:rFonts w:hint="default"/>
                <w:lang w:val="en-US" w:eastAsia="zh-CN"/>
              </w:rPr>
            </w:pPr>
            <w:r>
              <w:rPr>
                <w:rFonts w:hint="default"/>
                <w:lang w:val="en-US" w:eastAsia="zh-CN"/>
              </w:rPr>
              <w:t xml:space="preserve">钻屑产生量参考同类型项目经验公式进行计算： </w:t>
            </w:r>
          </w:p>
          <w:p>
            <w:pPr>
              <w:ind w:firstLine="480"/>
              <w:jc w:val="center"/>
              <w:rPr>
                <w:rFonts w:hint="default"/>
                <w:lang w:val="en-US" w:eastAsia="zh-CN"/>
              </w:rPr>
            </w:pPr>
            <w:r>
              <w:rPr>
                <w:rFonts w:hint="default"/>
                <w:lang w:val="en-US" w:eastAsia="zh-CN"/>
              </w:rPr>
              <w:t>V=πr</w:t>
            </w:r>
            <w:r>
              <w:rPr>
                <w:rFonts w:hint="default"/>
                <w:vertAlign w:val="superscript"/>
                <w:lang w:val="en-US" w:eastAsia="zh-CN"/>
              </w:rPr>
              <w:t>2</w:t>
            </w:r>
            <w:r>
              <w:rPr>
                <w:rFonts w:hint="default"/>
                <w:lang w:val="en-US" w:eastAsia="zh-CN"/>
              </w:rPr>
              <w:t>×h×k</w:t>
            </w:r>
          </w:p>
          <w:p>
            <w:pPr>
              <w:ind w:firstLine="480"/>
              <w:jc w:val="left"/>
              <w:rPr>
                <w:rFonts w:hint="default"/>
                <w:lang w:val="en-US" w:eastAsia="zh-CN"/>
              </w:rPr>
            </w:pPr>
            <w:r>
              <w:rPr>
                <w:rFonts w:hint="default"/>
                <w:lang w:val="en-US" w:eastAsia="zh-CN"/>
              </w:rPr>
              <w:t>其中：V——钻屑体积，m</w:t>
            </w:r>
            <w:r>
              <w:rPr>
                <w:rFonts w:hint="default"/>
                <w:vertAlign w:val="superscript"/>
                <w:lang w:val="en-US" w:eastAsia="zh-CN"/>
              </w:rPr>
              <w:t>3</w:t>
            </w:r>
            <w:r>
              <w:rPr>
                <w:rFonts w:hint="default"/>
                <w:lang w:val="en-US" w:eastAsia="zh-CN"/>
              </w:rPr>
              <w:t>；</w:t>
            </w:r>
          </w:p>
          <w:p>
            <w:pPr>
              <w:ind w:firstLine="480"/>
              <w:jc w:val="left"/>
              <w:rPr>
                <w:rFonts w:hint="default"/>
                <w:lang w:val="en-US" w:eastAsia="zh-CN"/>
              </w:rPr>
            </w:pPr>
            <w:r>
              <w:rPr>
                <w:rFonts w:hint="default"/>
                <w:lang w:val="en-US" w:eastAsia="zh-CN"/>
              </w:rPr>
              <w:t>π——圆周率，圆的周长与直径的比值，本次取3.14；</w:t>
            </w:r>
          </w:p>
          <w:p>
            <w:pPr>
              <w:ind w:firstLine="480"/>
              <w:jc w:val="left"/>
              <w:rPr>
                <w:rFonts w:hint="default"/>
                <w:lang w:val="en-US" w:eastAsia="zh-CN"/>
              </w:rPr>
            </w:pPr>
            <w:r>
              <w:rPr>
                <w:rFonts w:hint="default"/>
                <w:lang w:val="en-US" w:eastAsia="zh-CN"/>
              </w:rPr>
              <w:t>r—钻井半径，m，0.0375m；</w:t>
            </w:r>
          </w:p>
          <w:p>
            <w:pPr>
              <w:ind w:firstLine="480"/>
              <w:jc w:val="left"/>
              <w:rPr>
                <w:rFonts w:hint="default"/>
                <w:lang w:val="en-US" w:eastAsia="zh-CN"/>
              </w:rPr>
            </w:pPr>
            <w:r>
              <w:rPr>
                <w:rFonts w:hint="default"/>
                <w:lang w:val="en-US" w:eastAsia="zh-CN"/>
              </w:rPr>
              <w:t>h——最大钻孔深度，500m；</w:t>
            </w:r>
          </w:p>
          <w:p>
            <w:pPr>
              <w:ind w:firstLine="480"/>
              <w:jc w:val="left"/>
              <w:rPr>
                <w:rFonts w:hint="default"/>
                <w:lang w:val="en-US" w:eastAsia="zh-CN"/>
              </w:rPr>
            </w:pPr>
            <w:r>
              <w:rPr>
                <w:rFonts w:hint="default"/>
                <w:lang w:val="en-US" w:eastAsia="zh-CN"/>
              </w:rPr>
              <w:t>k——井眼扩大率，本次取，10%。</w:t>
            </w:r>
          </w:p>
          <w:p>
            <w:pPr>
              <w:bidi w:val="0"/>
              <w:rPr>
                <w:rFonts w:hint="default"/>
                <w:lang w:val="en-US" w:eastAsia="zh-CN"/>
              </w:rPr>
            </w:pPr>
            <w:r>
              <w:rPr>
                <w:rFonts w:hint="default"/>
                <w:lang w:val="en-US" w:eastAsia="zh-CN"/>
              </w:rPr>
              <w:t>经计算，整个钻孔其钻屑V产生量为0.22m³，每个钻孔完毕后，钻屑</w:t>
            </w:r>
            <w:r>
              <w:rPr>
                <w:rFonts w:hint="eastAsia"/>
                <w:lang w:val="en-US" w:eastAsia="zh-CN"/>
              </w:rPr>
              <w:t>进行人工回填</w:t>
            </w:r>
            <w:r>
              <w:rPr>
                <w:rFonts w:hint="default"/>
                <w:lang w:val="en-US" w:eastAsia="zh-CN"/>
              </w:rPr>
              <w:t>用于封孔。</w:t>
            </w:r>
          </w:p>
          <w:p>
            <w:pPr>
              <w:ind w:firstLine="480"/>
              <w:jc w:val="left"/>
              <w:rPr>
                <w:rFonts w:hint="eastAsia"/>
                <w:lang w:val="en-US" w:eastAsia="zh-CN"/>
              </w:rPr>
            </w:pPr>
            <w:r>
              <w:rPr>
                <w:rFonts w:hint="eastAsia"/>
                <w:lang w:val="en-US" w:eastAsia="zh-CN"/>
              </w:rPr>
              <w:t>④废包装物、废防渗膜</w:t>
            </w:r>
          </w:p>
          <w:p>
            <w:pPr>
              <w:ind w:firstLine="480"/>
              <w:jc w:val="left"/>
              <w:rPr>
                <w:rFonts w:hint="eastAsia" w:eastAsia="宋体"/>
                <w:lang w:val="en-US" w:eastAsia="zh-CN"/>
              </w:rPr>
            </w:pPr>
            <w:r>
              <w:rPr>
                <w:rFonts w:hint="eastAsia"/>
                <w:lang w:val="en-US" w:eastAsia="zh-CN"/>
              </w:rPr>
              <w:t>膨润土使用吨袋进行包装，高强度聚丙烯（PP）编织吨袋，内衬防潮膜。水泥使用小袋包装。本项目废包装约10kg，施工期结束废包装收集后厂家进行回收。柴油储存区、</w:t>
            </w:r>
            <w:r>
              <w:rPr>
                <w:rFonts w:hint="default"/>
                <w:lang w:val="en-US" w:eastAsia="zh-CN"/>
              </w:rPr>
              <w:t>沉淀池</w:t>
            </w:r>
            <w:r>
              <w:rPr>
                <w:rFonts w:hint="eastAsia"/>
                <w:lang w:val="en-US" w:eastAsia="zh-CN"/>
              </w:rPr>
              <w:t>等</w:t>
            </w:r>
            <w:r>
              <w:rPr>
                <w:rFonts w:hint="default"/>
                <w:lang w:val="en-US" w:eastAsia="zh-CN"/>
              </w:rPr>
              <w:t>拆除的废弃防渗膜</w:t>
            </w:r>
            <w:r>
              <w:rPr>
                <w:rFonts w:hint="eastAsia"/>
                <w:lang w:val="en-US" w:eastAsia="zh-CN"/>
              </w:rPr>
              <w:t>，根据项目规模估算（例：每孔钻产生废膜约10~20m</w:t>
            </w:r>
            <w:r>
              <w:rPr>
                <w:rFonts w:hint="eastAsia"/>
                <w:vertAlign w:val="superscript"/>
                <w:lang w:val="en-US" w:eastAsia="zh-CN"/>
              </w:rPr>
              <w:t>2</w:t>
            </w:r>
            <w:r>
              <w:rPr>
                <w:rFonts w:hint="eastAsia"/>
                <w:vertAlign w:val="baseline"/>
                <w:lang w:val="en-US" w:eastAsia="zh-CN"/>
              </w:rPr>
              <w:t>，且沉淀池防渗膜循环利用</w:t>
            </w:r>
            <w:r>
              <w:rPr>
                <w:rFonts w:hint="eastAsia"/>
                <w:lang w:val="en-US" w:eastAsia="zh-CN"/>
              </w:rPr>
              <w:t>），本项目产生的废防渗膜约为15m</w:t>
            </w:r>
            <w:r>
              <w:rPr>
                <w:rFonts w:hint="eastAsia"/>
                <w:vertAlign w:val="superscript"/>
                <w:lang w:val="en-US" w:eastAsia="zh-CN"/>
              </w:rPr>
              <w:t>2</w:t>
            </w:r>
            <w:r>
              <w:rPr>
                <w:rFonts w:hint="eastAsia"/>
                <w:lang w:val="en-US" w:eastAsia="zh-CN"/>
              </w:rPr>
              <w:t>（15kg/a）。未被油污的废膜可按一般工业固废回收，若沾染油</w:t>
            </w:r>
            <w:r>
              <w:rPr>
                <w:rFonts w:ascii="Segoe UI" w:hAnsi="Segoe UI" w:eastAsia="Segoe UI" w:cs="Segoe UI"/>
                <w:i w:val="0"/>
                <w:iCs w:val="0"/>
                <w:caps w:val="0"/>
                <w:color w:val="404040"/>
                <w:spacing w:val="0"/>
                <w:sz w:val="24"/>
                <w:szCs w:val="24"/>
                <w:shd w:val="clear" w:fill="FFFFFF"/>
              </w:rPr>
              <w:t>需按危废处置</w:t>
            </w:r>
            <w:r>
              <w:rPr>
                <w:rFonts w:hint="eastAsia" w:ascii="Segoe UI" w:hAnsi="Segoe UI" w:eastAsia="宋体" w:cs="Segoe UI"/>
                <w:i w:val="0"/>
                <w:iCs w:val="0"/>
                <w:caps w:val="0"/>
                <w:color w:val="404040"/>
                <w:spacing w:val="0"/>
                <w:sz w:val="24"/>
                <w:szCs w:val="24"/>
                <w:shd w:val="clear" w:fill="FFFFFF"/>
                <w:lang w:eastAsia="zh-CN"/>
              </w:rPr>
              <w:t>。</w:t>
            </w:r>
          </w:p>
          <w:p>
            <w:pPr>
              <w:ind w:firstLine="480"/>
              <w:rPr>
                <w:rFonts w:hint="eastAsia" w:ascii="Times New Roman" w:hAnsi="Times New Roman" w:eastAsia="宋体" w:cs="Times New Roman"/>
                <w:b/>
                <w:bCs/>
                <w:kern w:val="2"/>
                <w:sz w:val="24"/>
                <w:szCs w:val="32"/>
                <w:lang w:val="en-US" w:eastAsia="zh-CN" w:bidi="ar-SA"/>
              </w:rPr>
            </w:pPr>
            <w:r>
              <w:rPr>
                <w:rFonts w:hint="eastAsia" w:ascii="Times New Roman" w:hAnsi="Times New Roman" w:eastAsia="宋体" w:cs="Times New Roman"/>
                <w:b/>
                <w:bCs/>
                <w:kern w:val="2"/>
                <w:sz w:val="24"/>
                <w:szCs w:val="32"/>
                <w:lang w:val="en-US" w:eastAsia="zh-CN" w:bidi="ar-SA"/>
              </w:rPr>
              <w:t>4.2生活垃圾</w:t>
            </w:r>
          </w:p>
          <w:p>
            <w:pPr>
              <w:ind w:firstLine="480"/>
            </w:pPr>
            <w:r>
              <w:rPr>
                <w:rFonts w:hint="eastAsia"/>
              </w:rPr>
              <w:t>生活垃圾来自探矿人员日常生活，以纸张、塑料瓶为主。本项目野外探矿作业人员为</w:t>
            </w:r>
            <w:r>
              <w:rPr>
                <w:rFonts w:hint="eastAsia"/>
                <w:lang w:val="en-US" w:eastAsia="zh-CN"/>
              </w:rPr>
              <w:t>9</w:t>
            </w:r>
            <w:r>
              <w:rPr>
                <w:rFonts w:hint="eastAsia"/>
              </w:rPr>
              <w:t>人，按每人每天产生0.35kg生活垃圾计算，则生活垃圾产生量为3.</w:t>
            </w:r>
            <w:r>
              <w:rPr>
                <w:rFonts w:hint="eastAsia"/>
                <w:lang w:val="en-US" w:eastAsia="zh-CN"/>
              </w:rPr>
              <w:t>1</w:t>
            </w:r>
            <w:r>
              <w:rPr>
                <w:rFonts w:hint="eastAsia"/>
              </w:rPr>
              <w:t>5kg/d，整个探矿期生活垃圾产生量约为0.</w:t>
            </w:r>
            <w:r>
              <w:rPr>
                <w:rFonts w:hint="eastAsia"/>
                <w:lang w:val="en-US" w:eastAsia="zh-CN"/>
              </w:rPr>
              <w:t>157</w:t>
            </w:r>
            <w:r>
              <w:rPr>
                <w:rFonts w:hint="eastAsia"/>
              </w:rPr>
              <w:t>t，采用垃圾袋集中收集后运出矿区由环卫部门统一清运。工作人员严禁将生活垃圾遗弃在矿区内。</w:t>
            </w:r>
          </w:p>
          <w:p>
            <w:pPr>
              <w:pStyle w:val="15"/>
              <w:ind w:firstLine="482"/>
            </w:pPr>
            <w:r>
              <w:rPr>
                <w:rFonts w:hint="eastAsia"/>
              </w:rPr>
              <w:t>4</w:t>
            </w:r>
            <w:r>
              <w:t>.</w:t>
            </w:r>
            <w:r>
              <w:rPr>
                <w:rFonts w:hint="eastAsia"/>
                <w:lang w:val="en-US" w:eastAsia="zh-CN"/>
              </w:rPr>
              <w:t>4</w:t>
            </w:r>
            <w:r>
              <w:rPr>
                <w:rFonts w:hint="eastAsia"/>
              </w:rPr>
              <w:t>环境管理要求</w:t>
            </w:r>
          </w:p>
          <w:p>
            <w:pPr>
              <w:ind w:firstLine="480"/>
            </w:pPr>
            <w:r>
              <w:rPr>
                <w:rFonts w:hint="eastAsia"/>
              </w:rPr>
              <w:t>本项目营运期应加强和规范固废管理，分类收集和暂存一般</w:t>
            </w:r>
            <w:r>
              <w:rPr>
                <w:rFonts w:hint="eastAsia"/>
                <w:lang w:val="en-US" w:eastAsia="zh-CN"/>
              </w:rPr>
              <w:t>工业</w:t>
            </w:r>
            <w:r>
              <w:rPr>
                <w:rFonts w:hint="eastAsia"/>
              </w:rPr>
              <w:t>固废；一般工业固体废物管理应执行《一般工业固体废物贮存和填埋污染控制标准》（</w:t>
            </w:r>
            <w:r>
              <w:t>GB18599-2020</w:t>
            </w:r>
            <w:r>
              <w:rPr>
                <w:rFonts w:hint="eastAsia"/>
              </w:rPr>
              <w:t>）中相关要求。</w:t>
            </w:r>
          </w:p>
          <w:p>
            <w:pPr>
              <w:pStyle w:val="15"/>
              <w:ind w:firstLine="482"/>
            </w:pPr>
            <w:r>
              <w:rPr>
                <w:rFonts w:hint="eastAsia"/>
              </w:rPr>
              <w:t>5、施工期生态环境影响分析</w:t>
            </w:r>
          </w:p>
          <w:p>
            <w:pPr>
              <w:pStyle w:val="15"/>
              <w:ind w:firstLine="482"/>
            </w:pPr>
            <w:r>
              <w:rPr>
                <w:rFonts w:hint="eastAsia"/>
              </w:rPr>
              <w:t>5.1</w:t>
            </w:r>
            <w:r>
              <w:t>对土壤及土地利用的影响</w:t>
            </w:r>
          </w:p>
          <w:p>
            <w:pPr>
              <w:ind w:firstLine="480"/>
            </w:pPr>
            <w:r>
              <w:rPr>
                <w:rFonts w:hint="eastAsia"/>
              </w:rPr>
              <w:t>本项目勘查面积为</w:t>
            </w:r>
            <w:r>
              <w:rPr>
                <w:rFonts w:hint="eastAsia"/>
                <w:lang w:val="en-US" w:eastAsia="zh-CN"/>
              </w:rPr>
              <w:t>11.39km</w:t>
            </w:r>
            <w:r>
              <w:rPr>
                <w:vertAlign w:val="superscript"/>
              </w:rPr>
              <w:t>2</w:t>
            </w:r>
            <w:r>
              <w:rPr>
                <w:rFonts w:hint="eastAsia"/>
              </w:rPr>
              <w:t>，根据《</w:t>
            </w:r>
            <w:r>
              <w:t>GBT21010-2017</w:t>
            </w:r>
            <w:r>
              <w:rPr>
                <w:rFonts w:hint="eastAsia"/>
              </w:rPr>
              <w:t>土地利用现状分类》，项目区占地类型主要为</w:t>
            </w:r>
            <w:r>
              <w:rPr>
                <w:rFonts w:hint="eastAsia"/>
                <w:lang w:val="en-US" w:eastAsia="zh-CN"/>
              </w:rPr>
              <w:t>荒漠</w:t>
            </w:r>
            <w:r>
              <w:rPr>
                <w:rFonts w:hint="eastAsia"/>
              </w:rPr>
              <w:t>，建设期工程对土壤的影响主要表现为对土壤理化性质、土壤肥力的影响和土壤污染三个方面。</w:t>
            </w:r>
          </w:p>
          <w:p>
            <w:pPr>
              <w:ind w:firstLine="480"/>
            </w:pPr>
            <w:r>
              <w:rPr>
                <w:rFonts w:hint="eastAsia"/>
              </w:rPr>
              <w:t>①土壤理化性质影响</w:t>
            </w:r>
          </w:p>
          <w:p>
            <w:pPr>
              <w:ind w:firstLine="480"/>
            </w:pPr>
            <w:r>
              <w:rPr>
                <w:rFonts w:hint="eastAsia"/>
              </w:rPr>
              <w:t>施工过程中，土石方开挖、堆放、回填及材料堆放、人工践踏、机械设备碾压等活动对土壤理化性质影响较大。</w:t>
            </w:r>
          </w:p>
          <w:p>
            <w:pPr>
              <w:ind w:firstLine="480"/>
            </w:pPr>
            <w:r>
              <w:rPr>
                <w:rFonts w:hint="eastAsia"/>
              </w:rPr>
              <w:t>A、扰乱土壤表层，破坏土壤结构</w:t>
            </w:r>
          </w:p>
          <w:p>
            <w:pPr>
              <w:ind w:firstLine="480"/>
            </w:pPr>
            <w:r>
              <w:rPr>
                <w:rFonts w:hint="eastAsia"/>
              </w:rPr>
              <w:t>土壤表层肥力集中、腐殖质含量高、水分相对优越，土壤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最为严重。</w:t>
            </w:r>
          </w:p>
          <w:p>
            <w:pPr>
              <w:ind w:firstLine="480"/>
            </w:pPr>
            <w:r>
              <w:rPr>
                <w:rFonts w:hint="eastAsia"/>
              </w:rPr>
              <w:t>B、混合土壤层次，改变土体构型</w:t>
            </w:r>
          </w:p>
          <w:p>
            <w:pPr>
              <w:ind w:firstLine="480"/>
            </w:pPr>
            <w:r>
              <w:rPr>
                <w:rFonts w:hint="eastAsia"/>
              </w:rPr>
              <w:t>施工期的土石方开挖与回填，使原土壤层次混合，原土体构型破坏。土体构型的破坏，将改变土体中物质和能量的运动变化规律，使表层通气透水性变差，使亚表层保水、保肥性能降低。</w:t>
            </w:r>
          </w:p>
          <w:p>
            <w:pPr>
              <w:ind w:firstLine="480"/>
            </w:pPr>
            <w:r>
              <w:rPr>
                <w:rFonts w:hint="eastAsia"/>
              </w:rPr>
              <w:t>C、影响土壤紧实度</w:t>
            </w:r>
          </w:p>
          <w:p>
            <w:pPr>
              <w:ind w:firstLine="480"/>
            </w:pPr>
            <w:r>
              <w:rPr>
                <w:rFonts w:hint="eastAsia"/>
              </w:rPr>
              <w:t>施工机械碾压，尤其在坡度较大的地段，将大大改变土壤的紧实程度，与原有的上松下紧结构相比，极不利于土壤的通气、透水作用，甚至导致压实地段的地表寸草不生，形成局部人工荒漠化现象。</w:t>
            </w:r>
          </w:p>
          <w:p>
            <w:pPr>
              <w:ind w:firstLine="480"/>
            </w:pPr>
            <w:r>
              <w:rPr>
                <w:rFonts w:hint="eastAsia"/>
              </w:rPr>
              <w:t>②土壤肥力影响</w:t>
            </w:r>
          </w:p>
          <w:p>
            <w:pPr>
              <w:ind w:firstLine="480"/>
            </w:pPr>
            <w:r>
              <w:rPr>
                <w:rFonts w:hint="eastAsia"/>
              </w:rPr>
              <w:t>土壤中的有机质、氮、磷、钾等养分含量，均表现为表土层远高于心土层；施工期土石方的开挖与回填，将扰动甚至打乱原土体构型，使土壤肥力状况受到较大的影响。据资料统计，即使在实行分层堆放、分层回填措施下，土壤的有机质也将下降36.2～46.5%左右，氮下降27～50.6%，磷下降13.9～46.0%，钾下降9.1～32.5%。因此评价要求在土石方开挖、回填过程中，必须严格对表层土实行分层堆放和分层回填，最大限度</w:t>
            </w:r>
            <w:r>
              <w:rPr>
                <w:rFonts w:hint="eastAsia"/>
                <w:lang w:eastAsia="zh-CN"/>
              </w:rPr>
              <w:t>地</w:t>
            </w:r>
            <w:r>
              <w:rPr>
                <w:rFonts w:hint="eastAsia"/>
              </w:rPr>
              <w:t>减小对土壤肥力的影响。</w:t>
            </w:r>
          </w:p>
          <w:p>
            <w:pPr>
              <w:ind w:firstLine="480"/>
            </w:pPr>
            <w:r>
              <w:rPr>
                <w:rFonts w:hint="eastAsia"/>
              </w:rPr>
              <w:t>③土壤污染影响</w:t>
            </w:r>
          </w:p>
          <w:p>
            <w:pPr>
              <w:ind w:firstLine="480"/>
            </w:pPr>
            <w:r>
              <w:rPr>
                <w:rFonts w:hint="eastAsia"/>
              </w:rPr>
              <w:t>施工过程中将产生建筑施工垃圾、生活垃圾和污水，若不集中收集妥善处置，难以生物降解的固体废物残留于土壤中，将污染土壤表层。评价要求施工时必须对固体废物实施管理措施，进行统一回收和处置。</w:t>
            </w:r>
          </w:p>
          <w:p>
            <w:pPr>
              <w:ind w:firstLine="480"/>
            </w:pPr>
            <w:r>
              <w:t>总体而言，本工程所在区域土地开发强度较</w:t>
            </w:r>
            <w:r>
              <w:rPr>
                <w:rFonts w:hint="eastAsia"/>
              </w:rPr>
              <w:t>小</w:t>
            </w:r>
            <w:r>
              <w:t>，项目占用土地量相对</w:t>
            </w:r>
            <w:r>
              <w:rPr>
                <w:rFonts w:hint="eastAsia"/>
              </w:rPr>
              <w:t>较小</w:t>
            </w:r>
            <w:r>
              <w:t>，对</w:t>
            </w:r>
            <w:r>
              <w:rPr>
                <w:rFonts w:hint="default"/>
              </w:rPr>
              <w:t>若羌县</w:t>
            </w:r>
            <w:r>
              <w:t>土地利用的影响较小。</w:t>
            </w:r>
          </w:p>
          <w:p>
            <w:pPr>
              <w:pStyle w:val="15"/>
              <w:ind w:firstLine="482"/>
              <w:rPr>
                <w:szCs w:val="24"/>
              </w:rPr>
            </w:pPr>
            <w:r>
              <w:rPr>
                <w:rFonts w:hint="eastAsia"/>
              </w:rPr>
              <w:t>5.2</w:t>
            </w:r>
            <w:r>
              <w:t>对植被与动物</w:t>
            </w:r>
            <w:r>
              <w:rPr>
                <w:szCs w:val="24"/>
              </w:rPr>
              <w:t>的影响</w:t>
            </w:r>
          </w:p>
          <w:p>
            <w:pPr>
              <w:ind w:firstLine="480"/>
            </w:pPr>
            <w:r>
              <w:rPr>
                <w:rFonts w:hint="eastAsia"/>
              </w:rPr>
              <w:t>项目所在区域为</w:t>
            </w:r>
            <w:r>
              <w:rPr>
                <w:rFonts w:hint="eastAsia"/>
                <w:lang w:val="en-US" w:eastAsia="zh-CN"/>
              </w:rPr>
              <w:t>荒漠</w:t>
            </w:r>
            <w:r>
              <w:rPr>
                <w:rFonts w:hint="eastAsia"/>
              </w:rPr>
              <w:t>，无</w:t>
            </w:r>
            <w:r>
              <w:rPr>
                <w:snapToGrid w:val="0"/>
              </w:rPr>
              <w:t>珍稀濒危动植物存在</w:t>
            </w:r>
            <w:r>
              <w:rPr>
                <w:rFonts w:hint="eastAsia"/>
                <w:snapToGrid w:val="0"/>
              </w:rPr>
              <w:t>。</w:t>
            </w:r>
          </w:p>
          <w:p>
            <w:pPr>
              <w:ind w:firstLine="480"/>
            </w:pPr>
            <w:r>
              <w:rPr>
                <w:rFonts w:hint="eastAsia"/>
              </w:rPr>
              <w:t>①</w:t>
            </w:r>
            <w:r>
              <w:t>植被</w:t>
            </w:r>
          </w:p>
          <w:p>
            <w:pPr>
              <w:ind w:firstLine="480"/>
            </w:pPr>
            <w:r>
              <w:t>本项目建设过程中，进行</w:t>
            </w:r>
            <w:r>
              <w:rPr>
                <w:rFonts w:hint="eastAsia"/>
              </w:rPr>
              <w:t>钻孔以及</w:t>
            </w:r>
            <w:r>
              <w:t>填挖时将破坏原有的地形地貌</w:t>
            </w:r>
            <w:r>
              <w:rPr>
                <w:rFonts w:hint="eastAsia"/>
                <w:lang w:eastAsia="zh-CN"/>
              </w:rPr>
              <w:t>，</w:t>
            </w:r>
            <w:r>
              <w:rPr>
                <w:rFonts w:ascii="Segoe UI" w:hAnsi="Segoe UI" w:eastAsia="Segoe UI" w:cs="Segoe UI"/>
                <w:i w:val="0"/>
                <w:iCs w:val="0"/>
                <w:caps w:val="0"/>
                <w:color w:val="404040"/>
                <w:spacing w:val="0"/>
                <w:sz w:val="24"/>
                <w:szCs w:val="24"/>
                <w:shd w:val="clear" w:fill="FFFFFF"/>
              </w:rPr>
              <w:t>表土剥离将破坏表层土壤结构及根系浅的草本植物导致局部植被覆盖率短期下降。若表土堆放不当（如未覆盖防尘网），可能因风力侵蚀导致土壤流失，影响后续生态恢复。施工结束后优先将表土回填至扰动区，加速植被自然恢复</w:t>
            </w:r>
            <w:r>
              <w:rPr>
                <w:rFonts w:hint="eastAsia" w:ascii="Segoe UI" w:hAnsi="Segoe UI" w:eastAsia="宋体" w:cs="Segoe UI"/>
                <w:i w:val="0"/>
                <w:iCs w:val="0"/>
                <w:caps w:val="0"/>
                <w:color w:val="404040"/>
                <w:spacing w:val="0"/>
                <w:sz w:val="24"/>
                <w:szCs w:val="24"/>
                <w:shd w:val="clear" w:fill="FFFFFF"/>
                <w:lang w:eastAsia="zh-CN"/>
              </w:rPr>
              <w:t>。</w:t>
            </w:r>
            <w:r>
              <w:rPr>
                <w:rFonts w:hint="eastAsia" w:ascii="Segoe UI" w:hAnsi="Segoe UI" w:eastAsia="宋体" w:cs="Segoe UI"/>
                <w:i w:val="0"/>
                <w:iCs w:val="0"/>
                <w:caps w:val="0"/>
                <w:color w:val="404040"/>
                <w:spacing w:val="0"/>
                <w:sz w:val="24"/>
                <w:szCs w:val="24"/>
                <w:shd w:val="clear" w:fill="FFFFFF"/>
                <w:lang w:val="en-US" w:eastAsia="zh-CN"/>
              </w:rPr>
              <w:t>随</w:t>
            </w:r>
            <w:r>
              <w:t>着施工期结束</w:t>
            </w:r>
            <w:r>
              <w:rPr>
                <w:rFonts w:hint="eastAsia"/>
              </w:rPr>
              <w:t>和</w:t>
            </w:r>
            <w:r>
              <w:t>人工恢复，</w:t>
            </w:r>
            <w:r>
              <w:rPr>
                <w:rFonts w:hint="eastAsia"/>
              </w:rPr>
              <w:t>本项目</w:t>
            </w:r>
            <w:r>
              <w:t>建设对其造成的影响将逐步减弱。</w:t>
            </w:r>
          </w:p>
          <w:p>
            <w:pPr>
              <w:ind w:firstLine="480"/>
            </w:pPr>
            <w:r>
              <w:rPr>
                <w:rFonts w:hint="eastAsia"/>
              </w:rPr>
              <w:t>本</w:t>
            </w:r>
            <w:r>
              <w:t>项目施工期间，由于开挖土石方及各种施工机械、运输车辆进入施工现场，以及在施工中产生的扬尘和运输车辆排放尾气对附近植被产生一定的影响，部分粉尘沉降在植物叶片表面，降低植物的光合与呼吸作用，进而对植物生长发育产生一定的影响，特别是植物的美观。</w:t>
            </w:r>
          </w:p>
          <w:p>
            <w:pPr>
              <w:ind w:firstLine="480"/>
            </w:pPr>
            <w:r>
              <w:t>未回填的沟槽会阻断植物种子借助爬行类、啮齿类及昆虫迁移的路径，尤其影响繁殖期植物种子的扩散，导致局部植被更新受限；沟槽积水可能改变周边土壤水分分布，影响种子萌发和幼苗生长；长期暴露的沟槽迫使动物绕行，减少其对植物种子的携带传播，还会因地表连续性破坏影响植被自然恢复，故需及时回填以保障植被生存与更新</w:t>
            </w:r>
            <w:r>
              <w:rPr>
                <w:rFonts w:hint="eastAsia"/>
                <w:lang w:eastAsia="zh-CN"/>
              </w:rPr>
              <w:t>。</w:t>
            </w:r>
          </w:p>
          <w:p>
            <w:pPr>
              <w:ind w:firstLine="480"/>
            </w:pPr>
            <w:r>
              <w:t>本项目用地面积相对较小，对</w:t>
            </w:r>
            <w:r>
              <w:rPr>
                <w:rFonts w:hint="eastAsia"/>
              </w:rPr>
              <w:t>本项目周围</w:t>
            </w:r>
            <w:r>
              <w:t>的植被破坏</w:t>
            </w:r>
            <w:r>
              <w:rPr>
                <w:rFonts w:hint="eastAsia"/>
              </w:rPr>
              <w:t>较小</w:t>
            </w:r>
            <w:r>
              <w:t>。随着施工期结束及人工恢复，</w:t>
            </w:r>
            <w:r>
              <w:rPr>
                <w:rFonts w:hint="eastAsia"/>
              </w:rPr>
              <w:t>本项目</w:t>
            </w:r>
            <w:r>
              <w:t>建设对其造成的影响将逐步减弱。</w:t>
            </w:r>
          </w:p>
          <w:p>
            <w:pPr>
              <w:ind w:firstLine="480"/>
            </w:pPr>
            <w:r>
              <w:rPr>
                <w:rFonts w:hint="eastAsia"/>
              </w:rPr>
              <w:t>②</w:t>
            </w:r>
            <w:r>
              <w:t>动物</w:t>
            </w:r>
          </w:p>
          <w:p>
            <w:pPr>
              <w:ind w:firstLine="480"/>
            </w:pPr>
            <w:r>
              <w:rPr>
                <w:rFonts w:hint="eastAsia"/>
                <w:lang w:val="en-US" w:eastAsia="zh-CN"/>
              </w:rPr>
              <w:t>工程占地和人类的活动将破坏野生动物赖以生存的环境。区域内各种野生动物经过长期的适应已形成较稳定的取食、饮水、栖息活动范围和分布，勘探过程中地面建设占地将使原有的野生动物的分布、栖息活动范围受到压缩。钻探过程中以及机械设备的轰鸣声会极大地改变野生动物的行为模式。许多动物对环境变化极为敏感，施工区域周边原本活动的野生动物，会因钻探作业产生的震动和噪声，而选择主动避开该区域。钻探作业导致的地表震动，会让它们误以为是天敌来袭，进而频繁更换栖息地，这可能导致其远离原本丰富的食物资源地，影响其正常的生存与繁衍。</w:t>
            </w:r>
          </w:p>
          <w:p>
            <w:pPr>
              <w:ind w:firstLine="480"/>
              <w:rPr>
                <w:rFonts w:hint="eastAsia"/>
                <w:lang w:val="en-US" w:eastAsia="zh-CN"/>
              </w:rPr>
            </w:pPr>
            <w:r>
              <w:rPr>
                <w:rFonts w:hint="eastAsia"/>
                <w:lang w:val="en-US" w:eastAsia="zh-CN"/>
              </w:rPr>
              <w:t>人为活动的干扰使得开发区域上空活动的鸟类相对于人类未干扰区要少，而使得局部地段中的爬行类（啮齿类）和昆虫数量有所增加或活动频度增大。这些占地影响对地面活动的野生动物种类产生隔离作用，使原分布区内的种类向外扩，野生动物对新环境适应后其活动和分布范围亦将恢复。由于评价区域不是动物的栖息地，故该建设项目对动物区域性生境不会产生明显影响。</w:t>
            </w:r>
          </w:p>
          <w:p>
            <w:pPr>
              <w:ind w:firstLine="480"/>
              <w:rPr>
                <w:rFonts w:hint="eastAsia"/>
                <w:lang w:val="en-US" w:eastAsia="zh-CN"/>
              </w:rPr>
            </w:pPr>
            <w:r>
              <w:rPr>
                <w:rFonts w:hint="eastAsia"/>
              </w:rPr>
              <w:t>未回填的沟槽可能阻断局部地段中的爬行类（啮齿类）和昆虫的迁移路径，尤其对幼崽或繁殖期个体影响显著。沟槽积水（如遇降雨）可能吸引动物饮水，增加坠坑风险。长期暴露的沟槽会迫使野生动物绕行，扩大其活动范围，增加能量消耗</w:t>
            </w:r>
            <w:r>
              <w:rPr>
                <w:rFonts w:hint="eastAsia"/>
                <w:lang w:eastAsia="zh-CN"/>
              </w:rPr>
              <w:t>。</w:t>
            </w:r>
            <w:r>
              <w:rPr>
                <w:rFonts w:hint="eastAsia"/>
                <w:lang w:val="en-US" w:eastAsia="zh-CN"/>
              </w:rPr>
              <w:t>应在</w:t>
            </w:r>
            <w:r>
              <w:rPr>
                <w:rFonts w:hint="eastAsia"/>
              </w:rPr>
              <w:t>槽探完成后</w:t>
            </w:r>
            <w:r>
              <w:rPr>
                <w:rFonts w:hint="eastAsia"/>
                <w:lang w:val="en-US" w:eastAsia="zh-CN"/>
              </w:rPr>
              <w:t>及时</w:t>
            </w:r>
            <w:r>
              <w:rPr>
                <w:rFonts w:hint="eastAsia"/>
              </w:rPr>
              <w:t>回填，恢复地表连续性</w:t>
            </w:r>
            <w:r>
              <w:rPr>
                <w:rFonts w:hint="eastAsia"/>
                <w:lang w:eastAsia="zh-CN"/>
              </w:rPr>
              <w:t>。</w:t>
            </w:r>
          </w:p>
          <w:p>
            <w:pPr>
              <w:pStyle w:val="15"/>
              <w:ind w:firstLine="482"/>
            </w:pPr>
            <w:r>
              <w:rPr>
                <w:rFonts w:hint="eastAsia"/>
              </w:rPr>
              <w:t>5.3</w:t>
            </w:r>
            <w:r>
              <w:t>对景观环境的影响</w:t>
            </w:r>
          </w:p>
          <w:p>
            <w:pPr>
              <w:ind w:firstLine="480"/>
            </w:pPr>
            <w:r>
              <w:rPr>
                <w:rFonts w:hint="eastAsia"/>
              </w:rPr>
              <w:t>①</w:t>
            </w:r>
            <w:r>
              <w:t>主体工程施工对景观环境的影响</w:t>
            </w:r>
          </w:p>
          <w:p>
            <w:pPr>
              <w:ind w:firstLine="480"/>
            </w:pPr>
            <w:r>
              <w:t>由于工程施工对地表植被的破坏和工程区土壤的扰动，在雨季松散裸露的坡面易形成水土流失，导致区域土壤侵蚀模数增大，对</w:t>
            </w:r>
            <w:r>
              <w:rPr>
                <w:rFonts w:hint="eastAsia"/>
                <w:lang w:val="en-US" w:eastAsia="zh-CN"/>
              </w:rPr>
              <w:t>山区</w:t>
            </w:r>
            <w:r>
              <w:t>产生影响。而在旱季，松散的地表在有风和车辆行驶时易形成扬尘，扬尘覆盖在施工场植被及附近建筑表面，使周围景观的美度降低。</w:t>
            </w:r>
          </w:p>
          <w:p>
            <w:pPr>
              <w:ind w:firstLine="480"/>
              <w:rPr>
                <w:bCs/>
              </w:rPr>
            </w:pPr>
            <w:r>
              <w:rPr>
                <w:rFonts w:hint="eastAsia"/>
                <w:bCs/>
              </w:rPr>
              <w:t>②</w:t>
            </w:r>
            <w:r>
              <w:rPr>
                <w:bCs/>
              </w:rPr>
              <w:t>临时工程设施对景观环境的影响</w:t>
            </w:r>
          </w:p>
          <w:p>
            <w:pPr>
              <w:ind w:firstLine="480"/>
            </w:pPr>
            <w:r>
              <w:t>施工期临时工程设施主要包括</w:t>
            </w:r>
            <w:r>
              <w:rPr>
                <w:rFonts w:hint="eastAsia"/>
              </w:rPr>
              <w:t>施工场地</w:t>
            </w:r>
            <w:r>
              <w:t>等。根据环境现状调查结果，施工人员在</w:t>
            </w:r>
            <w:r>
              <w:rPr>
                <w:rFonts w:hint="eastAsia"/>
              </w:rPr>
              <w:t>项目用地</w:t>
            </w:r>
            <w:r>
              <w:t>红线范围内设置施工</w:t>
            </w:r>
            <w:r>
              <w:rPr>
                <w:rFonts w:hint="eastAsia"/>
              </w:rPr>
              <w:t>场地</w:t>
            </w:r>
            <w:r>
              <w:t>，并及时清理</w:t>
            </w:r>
            <w:r>
              <w:rPr>
                <w:rFonts w:hint="eastAsia"/>
              </w:rPr>
              <w:t>施工场地</w:t>
            </w:r>
            <w:r>
              <w:t>的污染物后，其对景观环境的影响较小。</w:t>
            </w:r>
          </w:p>
          <w:p>
            <w:pPr>
              <w:pStyle w:val="15"/>
              <w:ind w:firstLine="482"/>
            </w:pPr>
            <w:r>
              <w:rPr>
                <w:rFonts w:hint="eastAsia"/>
              </w:rPr>
              <w:t>5.5水土流失影响分析</w:t>
            </w:r>
          </w:p>
          <w:p>
            <w:pPr>
              <w:ind w:firstLine="480"/>
              <w:rPr>
                <w:rFonts w:hint="eastAsia"/>
              </w:rPr>
            </w:pPr>
            <w:r>
              <w:rPr>
                <w:rFonts w:hint="eastAsia"/>
              </w:rPr>
              <w:t>项目勘查过程中，钻探、槽探等勘查作业会产生大量的弃土弃渣，如果不妥善处理，随意堆放，不仅占用大量土地，还容易成为水土流失的物质源；</w:t>
            </w:r>
            <w:r>
              <w:rPr>
                <w:rFonts w:hint="eastAsia"/>
                <w:lang w:val="en-US" w:eastAsia="zh-CN"/>
              </w:rPr>
              <w:t>本项目位于新疆维吾尔自治区巴音郭楞蒙古自治州若羌县东南120°方向，直线距离为100-140千米，涉及《新疆维吾尔自治区水土流失重点预防区和重点治理区复核划分成果通知》（新水水保〔2019〕4号）、水利部办公厅关于印发《全国水土保持规划国家级水土流失重点预防区和重点治理区复核划分成果》的通知（办水保〔2013〕188号）中的塔里木河国家级水土流失重点预防区。施工期占地破坏地表植被，同时施工扰动将使施工区及周围的土壤结构和林地遭到破坏，降低水土保持功能，加剧水土流失、土地沙化。</w:t>
            </w:r>
          </w:p>
          <w:p>
            <w:pPr>
              <w:pStyle w:val="15"/>
              <w:ind w:firstLine="482"/>
            </w:pPr>
            <w:r>
              <w:rPr>
                <w:rFonts w:hint="eastAsia"/>
              </w:rPr>
              <w:t>5.6生态环境保护措施</w:t>
            </w:r>
          </w:p>
          <w:p>
            <w:pPr>
              <w:ind w:firstLine="480"/>
            </w:pPr>
            <w:r>
              <w:rPr>
                <w:rFonts w:hint="eastAsia"/>
              </w:rPr>
              <w:t>项目在施工期间，严格控制施工范围，不得随意增加临时施工占地，地表表土应妥善保存在表土临时堆场，用于后期复垦覆土，施工弃方均运至废石临时堆场进行存放，不得随意丢弃，施工期生活垃圾采用垃圾袋集中收集后运出矿区由环卫部门统一清运，防治蚊虫、老鼠滋生。</w:t>
            </w:r>
          </w:p>
          <w:p>
            <w:pPr>
              <w:ind w:firstLine="480"/>
            </w:pPr>
            <w:r>
              <w:rPr>
                <w:rFonts w:hint="eastAsia"/>
              </w:rPr>
              <w:t>综上，本项目作为勘探工程，其施工量较小且工期较短，施工期对环境的污染影响主要是粉尘、噪声、施工废水、土石方弃渣以及对建设区的生态破坏等。施工过程中只要严格按照建筑施工规范要求，做到文明清洁施工，施工期产生的“三废”对环境污染影响不大。随着施工的结束，施工影响随着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441" w:type="dxa"/>
            <w:tcMar>
              <w:left w:w="28" w:type="dxa"/>
              <w:right w:w="28" w:type="dxa"/>
            </w:tcMar>
            <w:vAlign w:val="center"/>
          </w:tcPr>
          <w:p>
            <w:pPr>
              <w:pStyle w:val="26"/>
              <w:rPr>
                <w:rFonts w:ascii="宋体" w:hAnsi="宋体"/>
                <w:bCs/>
              </w:rPr>
            </w:pPr>
            <w:r>
              <w:rPr>
                <w:rFonts w:hint="eastAsia"/>
              </w:rPr>
              <w:t>运营期生态环境影响分析</w:t>
            </w:r>
          </w:p>
        </w:tc>
        <w:tc>
          <w:tcPr>
            <w:tcW w:w="8540" w:type="dxa"/>
            <w:vAlign w:val="center"/>
          </w:tcPr>
          <w:p>
            <w:pPr>
              <w:ind w:firstLine="480"/>
            </w:pPr>
            <w:r>
              <w:rPr>
                <w:rFonts w:hint="eastAsia"/>
              </w:rPr>
              <w:t>本项目仅涉及勘探，所以没有运营期。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441" w:type="dxa"/>
            <w:tcMar>
              <w:left w:w="28" w:type="dxa"/>
              <w:right w:w="28" w:type="dxa"/>
            </w:tcMar>
            <w:vAlign w:val="center"/>
          </w:tcPr>
          <w:p>
            <w:pPr>
              <w:adjustRightInd w:val="0"/>
              <w:snapToGrid w:val="0"/>
              <w:ind w:firstLine="480"/>
              <w:jc w:val="center"/>
              <w:rPr>
                <w:rFonts w:cs="宋体"/>
                <w:szCs w:val="21"/>
              </w:rPr>
            </w:pPr>
            <w:r>
              <w:rPr>
                <w:rFonts w:hint="eastAsia" w:cs="宋体"/>
                <w:szCs w:val="21"/>
              </w:rPr>
              <w:t>选选址环境合理性分析</w:t>
            </w:r>
          </w:p>
        </w:tc>
        <w:tc>
          <w:tcPr>
            <w:tcW w:w="8540" w:type="dxa"/>
            <w:vAlign w:val="center"/>
          </w:tcPr>
          <w:p>
            <w:pPr>
              <w:pStyle w:val="15"/>
              <w:ind w:firstLine="482"/>
            </w:pPr>
            <w:r>
              <w:rPr>
                <w:rFonts w:hint="eastAsia"/>
              </w:rPr>
              <w:t>1、用地合理性</w:t>
            </w:r>
          </w:p>
          <w:p>
            <w:pPr>
              <w:keepNext/>
              <w:keepLines/>
              <w:ind w:firstLine="480"/>
              <w:textAlignment w:val="center"/>
              <w:outlineLvl w:val="1"/>
              <w:rPr>
                <w:color w:val="000000"/>
              </w:rPr>
            </w:pPr>
            <w:r>
              <w:rPr>
                <w:color w:val="000000"/>
              </w:rPr>
              <w:t>本</w:t>
            </w:r>
            <w:r>
              <w:rPr>
                <w:rFonts w:hint="eastAsia"/>
                <w:color w:val="000000"/>
              </w:rPr>
              <w:t>项目</w:t>
            </w:r>
            <w:r>
              <w:rPr>
                <w:rFonts w:hint="eastAsia"/>
                <w:color w:val="000000"/>
                <w:lang w:val="en-US" w:eastAsia="zh-CN"/>
              </w:rPr>
              <w:t>位于新疆若羌县东南120°方向，直线距离为100-140千米。勘探区隶属新疆巴音郭楞蒙古自治州若羌县依吞布拉克镇管辖</w:t>
            </w:r>
            <w:r>
              <w:rPr>
                <w:rFonts w:hint="eastAsia"/>
              </w:rPr>
              <w:t>。</w:t>
            </w:r>
            <w:r>
              <w:rPr>
                <w:rFonts w:hint="eastAsia"/>
                <w:color w:val="000000"/>
              </w:rPr>
              <w:t>项目区不涉及饮用水水源保护区、自然保护区、风景名胜区、地质公园、森林公园及人文古迹等环境敏感点，矿区范围内无村民居住，不涉及拆迁，因此，本项目用地合理。</w:t>
            </w:r>
          </w:p>
          <w:p>
            <w:pPr>
              <w:pStyle w:val="15"/>
              <w:ind w:firstLine="482"/>
            </w:pPr>
            <w:r>
              <w:rPr>
                <w:rFonts w:hint="eastAsia"/>
              </w:rPr>
              <w:t>2、临时道路选址合理性分析</w:t>
            </w:r>
          </w:p>
          <w:p>
            <w:pPr>
              <w:ind w:firstLine="480"/>
              <w:rPr>
                <w:color w:val="000000"/>
              </w:rPr>
            </w:pPr>
            <w:r>
              <w:rPr>
                <w:rFonts w:hint="eastAsia"/>
              </w:rPr>
              <w:t>矿区内部存在一条路宽约为4米的简易道路，该道路为过去探矿遗留的旧路，保存较完整，平整路面</w:t>
            </w:r>
            <w:r>
              <w:rPr>
                <w:rFonts w:hint="eastAsia"/>
                <w:lang w:eastAsia="zh-CN"/>
              </w:rPr>
              <w:t>。</w:t>
            </w:r>
            <w:r>
              <w:rPr>
                <w:rFonts w:hint="eastAsia"/>
                <w:lang w:val="en-US" w:eastAsia="zh-CN"/>
              </w:rPr>
              <w:t>根据《绿色地质勘查工作规范》DZ/T0374-2021中4.2.1条要求，临时道路应优先利用现有道路”</w:t>
            </w:r>
            <w:r>
              <w:rPr>
                <w:rFonts w:hint="eastAsia"/>
              </w:rPr>
              <w:t>，</w:t>
            </w:r>
            <w:r>
              <w:rPr>
                <w:rFonts w:hint="eastAsia"/>
                <w:lang w:val="en-US" w:eastAsia="zh-CN"/>
              </w:rPr>
              <w:t>因此</w:t>
            </w:r>
            <w:r>
              <w:rPr>
                <w:rFonts w:hint="eastAsia"/>
              </w:rPr>
              <w:t>清理落石后可作为本项目的临时道路，道路沿线不涉及居民区及河流等环境敏感点，利用此道路车辆可到达本项目探矿点，大大节省了人力物力，道路使用过程控制车速并及时洒水降尘，不会对环境产生较大影响，因此，该临时道路选址合理。</w:t>
            </w:r>
          </w:p>
          <w:p>
            <w:pPr>
              <w:pStyle w:val="15"/>
              <w:ind w:firstLine="482"/>
            </w:pPr>
            <w:r>
              <w:rPr>
                <w:rFonts w:hint="eastAsia"/>
              </w:rPr>
              <w:t>3、与周边环境相容性分析</w:t>
            </w:r>
          </w:p>
          <w:p>
            <w:pPr>
              <w:keepNext/>
              <w:keepLines/>
              <w:ind w:firstLine="480"/>
              <w:textAlignment w:val="center"/>
              <w:outlineLvl w:val="1"/>
            </w:pPr>
            <w:r>
              <w:rPr>
                <w:rFonts w:hint="eastAsia"/>
              </w:rPr>
              <w:t>根据现场踏勘可知，周边环境</w:t>
            </w:r>
            <w:r>
              <w:t>属于新疆荒漠区东疆－南疆荒漠亚区，基本为</w:t>
            </w:r>
            <w:r>
              <w:rPr>
                <w:rFonts w:hint="eastAsia"/>
                <w:lang w:val="en-US" w:eastAsia="zh-CN"/>
              </w:rPr>
              <w:t>荒漠</w:t>
            </w:r>
            <w:r>
              <w:t>。植被覆盖度在</w:t>
            </w:r>
            <w:r>
              <w:rPr>
                <w:rFonts w:hint="eastAsia"/>
                <w:lang w:val="en-US" w:eastAsia="zh-CN"/>
              </w:rPr>
              <w:t>1</w:t>
            </w:r>
            <w:r>
              <w:t>—</w:t>
            </w:r>
            <w:r>
              <w:rPr>
                <w:rFonts w:hint="eastAsia"/>
                <w:lang w:val="en-US" w:eastAsia="zh-CN"/>
              </w:rPr>
              <w:t>5</w:t>
            </w:r>
            <w:r>
              <w:t>%之间</w:t>
            </w:r>
            <w:r>
              <w:rPr>
                <w:rFonts w:hint="eastAsia"/>
              </w:rPr>
              <w:t>，探矿区域周围5</w:t>
            </w:r>
            <w:r>
              <w:t>00m</w:t>
            </w:r>
            <w:r>
              <w:rPr>
                <w:rFonts w:hint="eastAsia"/>
              </w:rPr>
              <w:t>范围内无住户，项目周边不涉及重点生态功能区，生态敏感脆弱区，自然保护区，风景名胜区，国家级、省级禁止开发区域及其他应划入生态保护红线范围内的区域，外环境无重大环境制约因素。</w:t>
            </w:r>
            <w:r>
              <w:t>本项目的建设对外环境无特殊要求，</w:t>
            </w:r>
            <w:r>
              <w:rPr>
                <w:rFonts w:hint="eastAsia"/>
              </w:rPr>
              <w:t>本</w:t>
            </w:r>
            <w:r>
              <w:t>项目产生的废水、废气、噪声、固废等各项污染物通过采取相应措施后均可达标排放，通过项目的合理布局、严格管理、积极推进企业清洁生产</w:t>
            </w:r>
            <w:r>
              <w:rPr>
                <w:rFonts w:hint="eastAsia"/>
                <w:lang w:eastAsia="zh-CN"/>
              </w:rPr>
              <w:t>及其他有</w:t>
            </w:r>
            <w:r>
              <w:t>针对性的污染防治措施，可有效避免和减轻项目建设过程对周围环境的影响。因此，本项目选址合理，与周边外环境相容。</w:t>
            </w:r>
          </w:p>
          <w:p>
            <w:pPr>
              <w:keepNext/>
              <w:keepLines/>
              <w:ind w:firstLine="480"/>
              <w:textAlignment w:val="center"/>
              <w:outlineLvl w:val="1"/>
            </w:pPr>
            <w:r>
              <w:rPr>
                <w:rFonts w:hint="eastAsia"/>
              </w:rPr>
              <w:t>矿区</w:t>
            </w:r>
            <w:r>
              <w:t>内基本为</w:t>
            </w:r>
            <w:r>
              <w:rPr>
                <w:rFonts w:hint="eastAsia"/>
                <w:lang w:val="en-US" w:eastAsia="zh-CN"/>
              </w:rPr>
              <w:t>荒漠</w:t>
            </w:r>
            <w:r>
              <w:t>。</w:t>
            </w:r>
            <w:r>
              <w:rPr>
                <w:rFonts w:hint="eastAsia"/>
              </w:rPr>
              <w:t>探矿区范围内无珍稀保护植物、未发现珍稀保护动物。</w:t>
            </w:r>
          </w:p>
          <w:p>
            <w:pPr>
              <w:keepNext/>
              <w:keepLines/>
              <w:ind w:firstLine="480"/>
              <w:textAlignment w:val="center"/>
              <w:outlineLvl w:val="1"/>
            </w:pPr>
            <w:r>
              <w:rPr>
                <w:rFonts w:hint="eastAsia"/>
              </w:rPr>
              <w:t>综上所述，本项目选址合理。</w:t>
            </w:r>
          </w:p>
          <w:p>
            <w:pPr>
              <w:keepNext/>
              <w:keepLines/>
              <w:ind w:firstLine="0" w:firstLineChars="0"/>
              <w:textAlignment w:val="center"/>
              <w:outlineLvl w:val="1"/>
            </w:pPr>
          </w:p>
        </w:tc>
      </w:tr>
      <w:bookmarkEnd w:id="4"/>
    </w:tbl>
    <w:p>
      <w:pPr>
        <w:adjustRightInd w:val="0"/>
        <w:snapToGrid w:val="0"/>
        <w:ind w:firstLine="562"/>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
        <w:rPr>
          <w:snapToGrid w:val="0"/>
        </w:rPr>
      </w:pPr>
      <w:r>
        <w:rPr>
          <w:rFonts w:hint="eastAsia"/>
          <w:snapToGrid w:val="0"/>
        </w:rPr>
        <w:t>五、主要生态环境保护措施</w:t>
      </w:r>
    </w:p>
    <w:tbl>
      <w:tblPr>
        <w:tblStyle w:val="19"/>
        <w:tblpPr w:leftFromText="180" w:rightFromText="180" w:vertAnchor="text" w:tblpXSpec="center" w:tblpY="1"/>
        <w:tblOverlap w:val="never"/>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dxa"/>
            <w:tcMar>
              <w:left w:w="28" w:type="dxa"/>
              <w:right w:w="28" w:type="dxa"/>
            </w:tcMar>
            <w:vAlign w:val="center"/>
          </w:tcPr>
          <w:p>
            <w:pPr>
              <w:pStyle w:val="26"/>
            </w:pPr>
            <w:r>
              <w:rPr>
                <w:rFonts w:hint="eastAsia"/>
              </w:rPr>
              <w:t>施工期生态环境保护措施</w:t>
            </w:r>
          </w:p>
        </w:tc>
        <w:tc>
          <w:tcPr>
            <w:tcW w:w="8154" w:type="dxa"/>
            <w:vAlign w:val="center"/>
          </w:tcPr>
          <w:p>
            <w:pPr>
              <w:ind w:firstLine="480"/>
            </w:pPr>
            <w:r>
              <w:rPr>
                <w:rFonts w:hint="eastAsia"/>
              </w:rPr>
              <w:t>本项目施工期工程量较小，主要为</w:t>
            </w:r>
            <w:r>
              <w:rPr>
                <w:rFonts w:hint="eastAsia"/>
                <w:lang w:val="en-US" w:eastAsia="zh-CN"/>
              </w:rPr>
              <w:t>勘探</w:t>
            </w:r>
            <w:r>
              <w:rPr>
                <w:rFonts w:hint="eastAsia"/>
              </w:rPr>
              <w:t>前场地平等，施工期环境保护措施情况如下：</w:t>
            </w:r>
          </w:p>
          <w:p>
            <w:pPr>
              <w:pStyle w:val="15"/>
              <w:ind w:firstLine="482"/>
            </w:pPr>
            <w:r>
              <w:rPr>
                <w:rFonts w:hint="eastAsia"/>
              </w:rPr>
              <w:t>1、废气防治措施分析</w:t>
            </w:r>
          </w:p>
          <w:p>
            <w:pPr>
              <w:ind w:firstLine="480"/>
            </w:pPr>
            <w:r>
              <w:rPr>
                <w:rFonts w:hint="eastAsia"/>
              </w:rPr>
              <w:t>本工程施工期</w:t>
            </w:r>
            <w:r>
              <w:rPr>
                <w:rFonts w:hint="eastAsia"/>
                <w:lang w:val="en-US" w:eastAsia="zh-CN"/>
              </w:rPr>
              <w:t>大气污染物来自临时堆场、钻探、运输道路产生的扬尘以及运输车辆、柴油发电机废气。</w:t>
            </w:r>
          </w:p>
          <w:p>
            <w:pPr>
              <w:pStyle w:val="15"/>
              <w:ind w:firstLine="482"/>
            </w:pPr>
            <w:r>
              <w:rPr>
                <w:rFonts w:hint="eastAsia"/>
              </w:rPr>
              <w:t>1.1扬尘</w:t>
            </w:r>
          </w:p>
          <w:p>
            <w:pPr>
              <w:ind w:firstLine="480"/>
            </w:pPr>
            <w:r>
              <w:rPr>
                <w:rFonts w:hint="eastAsia"/>
              </w:rPr>
              <w:t>针对本项目产生的扬尘，环评要求如下：</w:t>
            </w:r>
          </w:p>
          <w:p>
            <w:pPr>
              <w:ind w:firstLine="480"/>
            </w:pPr>
            <w:r>
              <w:rPr>
                <w:rFonts w:hint="eastAsia"/>
                <w:lang w:val="en-US" w:eastAsia="zh-CN"/>
              </w:rPr>
              <w:t>①对运输道路及作业点周围应采取地面洒水降尘等措施；</w:t>
            </w:r>
          </w:p>
          <w:p>
            <w:pPr>
              <w:ind w:firstLine="480"/>
            </w:pPr>
            <w:r>
              <w:rPr>
                <w:rFonts w:hint="eastAsia"/>
                <w:lang w:val="en-US" w:eastAsia="zh-CN"/>
              </w:rPr>
              <w:t>②定时清理场地，不能及时清运的要求采取覆盖，洒水抑尘等措施；</w:t>
            </w:r>
          </w:p>
          <w:p>
            <w:pPr>
              <w:ind w:firstLine="480"/>
            </w:pPr>
            <w:r>
              <w:rPr>
                <w:rFonts w:hint="eastAsia"/>
                <w:lang w:val="en-US" w:eastAsia="zh-CN"/>
              </w:rPr>
              <w:t>③在工作中建议施工人员戴口罩、防尘面罩等劳动防护装备，同时避开大风天气作业；</w:t>
            </w:r>
          </w:p>
          <w:p>
            <w:pPr>
              <w:ind w:firstLine="480"/>
            </w:pPr>
            <w:r>
              <w:rPr>
                <w:rFonts w:hint="eastAsia"/>
                <w:lang w:val="en-US" w:eastAsia="zh-CN"/>
              </w:rPr>
              <w:t>④尽量选用清洁能源，并做好维护工作，使用性能优良的施工车辆和机械，不使用超期服役的车辆、机械，使各类施工机械、车辆尾气排放尾气符合相关环保要求。</w:t>
            </w:r>
          </w:p>
          <w:p>
            <w:pPr>
              <w:pStyle w:val="15"/>
              <w:ind w:firstLine="482"/>
            </w:pPr>
            <w:r>
              <w:rPr>
                <w:rFonts w:hint="eastAsia"/>
              </w:rPr>
              <w:t>1.2燃油废气</w:t>
            </w:r>
          </w:p>
          <w:p>
            <w:pPr>
              <w:ind w:firstLine="480"/>
            </w:pPr>
            <w:r>
              <w:rPr>
                <w:rFonts w:hint="eastAsia"/>
              </w:rPr>
              <w:t>对柴油发电机定期维护保养，提高其燃烧效率，减少尾气排放量，由于燃油废气排放总量较小，且排放点较为分散，属无组织排放。</w:t>
            </w:r>
          </w:p>
          <w:p>
            <w:pPr>
              <w:ind w:firstLine="480"/>
            </w:pPr>
            <w:r>
              <w:rPr>
                <w:rFonts w:hint="eastAsia"/>
              </w:rPr>
              <w:t>综上所述，通过加强施工期间扬尘治理，柴油发电机定期维护保养，施工作业对周边环境的影响范围有限，且施工大气污染是短期的、局部的，施工结束后即会消失，故项目施工期间对大气环境的影响较小。</w:t>
            </w:r>
          </w:p>
          <w:p>
            <w:pPr>
              <w:ind w:firstLine="480"/>
            </w:pPr>
            <w:r>
              <w:rPr>
                <w:rFonts w:hint="eastAsia"/>
              </w:rPr>
              <w:t>通过采取上述措施即可减小施工期对区域大气环境的影响，且防治措施经济可行。</w:t>
            </w:r>
          </w:p>
          <w:p>
            <w:pPr>
              <w:pStyle w:val="15"/>
              <w:ind w:firstLine="482"/>
            </w:pPr>
            <w:r>
              <w:rPr>
                <w:rFonts w:hint="eastAsia"/>
              </w:rPr>
              <w:t>2、废水防治措施分析</w:t>
            </w:r>
          </w:p>
          <w:p>
            <w:pPr>
              <w:ind w:firstLine="480"/>
            </w:pPr>
            <w:r>
              <w:rPr>
                <w:rFonts w:hint="eastAsia"/>
              </w:rPr>
              <w:t>施工废水主要来自钻探废水和</w:t>
            </w:r>
            <w:r>
              <w:rPr>
                <w:rFonts w:hint="eastAsia"/>
                <w:lang w:eastAsia="zh-CN"/>
              </w:rPr>
              <w:t>生活污水</w:t>
            </w:r>
            <w:r>
              <w:rPr>
                <w:rFonts w:hint="eastAsia"/>
              </w:rPr>
              <w:t>，钻探废水主要污染物为SS，经过钻孔附近的沉淀池收集沉淀后，大部分回用于钻探工序，部分用于施工场地洒水降尘，不外排。生活污水来源于施工人员及工地管理人员，其污染物较为简单，主要为SS、NH</w:t>
            </w:r>
            <w:r>
              <w:rPr>
                <w:rFonts w:hint="eastAsia"/>
                <w:vertAlign w:val="subscript"/>
              </w:rPr>
              <w:t>3</w:t>
            </w:r>
            <w:r>
              <w:rPr>
                <w:rFonts w:hint="eastAsia"/>
              </w:rPr>
              <w:t>-N、COD、BOD</w:t>
            </w:r>
            <w:r>
              <w:rPr>
                <w:rFonts w:hint="eastAsia"/>
                <w:vertAlign w:val="subscript"/>
              </w:rPr>
              <w:t>5</w:t>
            </w:r>
            <w:r>
              <w:rPr>
                <w:rFonts w:hint="eastAsia"/>
              </w:rPr>
              <w:t>等。</w:t>
            </w:r>
          </w:p>
          <w:p>
            <w:pPr>
              <w:ind w:firstLine="480"/>
              <w:rPr>
                <w:rFonts w:hint="default" w:ascii="Times New Roman" w:hAnsi="Times New Roman" w:eastAsia="宋体" w:cs="Times New Roman"/>
                <w:kern w:val="0"/>
                <w:lang w:val="en-US" w:eastAsia="zh-CN"/>
              </w:rPr>
            </w:pPr>
            <w:r>
              <w:rPr>
                <w:rFonts w:hint="eastAsia" w:cs="Times New Roman"/>
                <w:kern w:val="0"/>
                <w:lang w:val="en-US" w:eastAsia="zh-CN"/>
              </w:rPr>
              <w:t>本项目位于若羌县，属于干旱区，</w:t>
            </w:r>
            <w:r>
              <w:rPr>
                <w:rFonts w:hint="eastAsia" w:ascii="宋体" w:hAnsi="宋体"/>
                <w:kern w:val="0"/>
                <w:lang w:val="en-US" w:eastAsia="zh-CN"/>
              </w:rPr>
              <w:t>生活污</w:t>
            </w:r>
            <w:r>
              <w:rPr>
                <w:rFonts w:hint="default" w:ascii="Times New Roman" w:hAnsi="Times New Roman" w:cs="Times New Roman"/>
                <w:kern w:val="0"/>
                <w:lang w:val="en-US" w:eastAsia="zh-CN"/>
              </w:rPr>
              <w:t>水</w:t>
            </w:r>
            <w:r>
              <w:rPr>
                <w:rFonts w:hint="default" w:ascii="Times New Roman" w:hAnsi="Times New Roman" w:cs="Times New Roman"/>
                <w:kern w:val="0"/>
              </w:rPr>
              <w:t>经化粪池</w:t>
            </w:r>
            <w:r>
              <w:rPr>
                <w:rFonts w:hint="default" w:ascii="Times New Roman" w:hAnsi="Times New Roman" w:cs="Times New Roman"/>
                <w:kern w:val="0"/>
                <w:lang w:val="en-US" w:eastAsia="zh-CN"/>
              </w:rPr>
              <w:t>处理</w:t>
            </w:r>
            <w:r>
              <w:rPr>
                <w:rFonts w:hint="default" w:ascii="Times New Roman" w:hAnsi="Times New Roman" w:cs="Times New Roman"/>
                <w:kern w:val="0"/>
              </w:rPr>
              <w:t>后</w:t>
            </w:r>
            <w:r>
              <w:rPr>
                <w:rFonts w:hint="default" w:ascii="Times New Roman" w:hAnsi="Times New Roman" w:cs="Times New Roman"/>
                <w:kern w:val="0"/>
                <w:lang w:val="en-US" w:eastAsia="zh-CN"/>
              </w:rPr>
              <w:t>达到《农村生活污水处理排放标准》（DB654275-2019)表2的C级标准，</w:t>
            </w:r>
            <w:r>
              <w:rPr>
                <w:rFonts w:hint="eastAsia" w:cs="Times New Roman"/>
                <w:kern w:val="0"/>
                <w:lang w:val="en-US" w:eastAsia="zh-CN"/>
              </w:rPr>
              <w:t>全部</w:t>
            </w:r>
            <w:r>
              <w:rPr>
                <w:rFonts w:hint="default" w:ascii="Times New Roman" w:hAnsi="Times New Roman" w:cs="Times New Roman"/>
                <w:kern w:val="0"/>
                <w:lang w:val="en-US" w:eastAsia="zh-CN"/>
              </w:rPr>
              <w:t>用于荒漠灌溉</w:t>
            </w:r>
            <w:r>
              <w:rPr>
                <w:rFonts w:hint="eastAsia" w:cs="Times New Roman"/>
                <w:kern w:val="0"/>
                <w:lang w:val="en-US" w:eastAsia="zh-CN"/>
              </w:rPr>
              <w:t>，</w:t>
            </w:r>
            <w:r>
              <w:rPr>
                <w:rFonts w:hint="default" w:ascii="Times New Roman" w:hAnsi="Times New Roman" w:cs="Times New Roman"/>
                <w:kern w:val="0"/>
              </w:rPr>
              <w:t>不产生外排废水。</w:t>
            </w:r>
            <w:r>
              <w:rPr>
                <w:rFonts w:hint="eastAsia" w:cs="Times New Roman"/>
                <w:kern w:val="0"/>
                <w:lang w:val="en-US" w:eastAsia="zh-CN"/>
              </w:rPr>
              <w:t>若羌县蒸发量大，</w:t>
            </w:r>
            <w:r>
              <w:rPr>
                <w:rFonts w:ascii="Segoe UI" w:hAnsi="Segoe UI" w:eastAsia="Segoe UI" w:cs="Segoe UI"/>
                <w:i w:val="0"/>
                <w:iCs w:val="0"/>
                <w:caps w:val="0"/>
                <w:color w:val="404040"/>
                <w:spacing w:val="0"/>
                <w:sz w:val="24"/>
                <w:szCs w:val="24"/>
                <w:shd w:val="clear" w:fill="FFFFFF"/>
              </w:rPr>
              <w:t>污水自然降解能力强</w:t>
            </w:r>
            <w:r>
              <w:rPr>
                <w:rFonts w:hint="eastAsia" w:cs="Times New Roman"/>
                <w:kern w:val="0"/>
                <w:lang w:val="en-US" w:eastAsia="zh-CN"/>
              </w:rPr>
              <w:t>。处理工艺及排放去向符合“因地制宜、经济可行”的农村污水治理原则，环境风险可控，可执行C级标准。</w:t>
            </w:r>
          </w:p>
          <w:p>
            <w:pPr>
              <w:ind w:firstLine="480"/>
              <w:rPr>
                <w:rFonts w:hint="eastAsia"/>
              </w:rPr>
            </w:pPr>
            <w:r>
              <w:rPr>
                <w:rFonts w:hint="default" w:ascii="Times New Roman" w:hAnsi="Times New Roman" w:cs="Times New Roman"/>
              </w:rPr>
              <w:t>化粪池防渗要求：使用混凝土和防腐材料做防渗处理，外观色泽均匀，表面光</w:t>
            </w:r>
            <w:r>
              <w:rPr>
                <w:rFonts w:hint="eastAsia"/>
              </w:rPr>
              <w:t>滑，无裂纹、孔洞，表面加强筋完整，边缘整齐，使用前做荷载试验，检查密封性能和强度。通过上述措施即可减小施工期对水环境的影响，且防治措施经济可行。</w:t>
            </w:r>
          </w:p>
          <w:p>
            <w:pPr>
              <w:pStyle w:val="15"/>
              <w:ind w:firstLine="482"/>
            </w:pPr>
            <w:r>
              <w:rPr>
                <w:rFonts w:hint="eastAsia"/>
              </w:rPr>
              <w:t>3、噪声控制措施分析</w:t>
            </w:r>
          </w:p>
          <w:p>
            <w:pPr>
              <w:ind w:firstLine="480"/>
            </w:pPr>
            <w:r>
              <w:rPr>
                <w:rFonts w:hint="eastAsia"/>
              </w:rPr>
              <w:t>根据工程特性及环境特征，环评要求采取的噪声治理措施如下：</w:t>
            </w:r>
          </w:p>
          <w:p>
            <w:pPr>
              <w:ind w:firstLine="480"/>
            </w:pPr>
            <w:r>
              <w:rPr>
                <w:rFonts w:hint="eastAsia"/>
              </w:rPr>
              <w:t>（1）尽量选用技术先进的低噪声设备，夜间、午间禁止施工。</w:t>
            </w:r>
          </w:p>
          <w:p>
            <w:pPr>
              <w:ind w:firstLine="480"/>
            </w:pPr>
            <w:r>
              <w:rPr>
                <w:rFonts w:hint="eastAsia"/>
              </w:rPr>
              <w:t>（2）运输车辆减速、禁止鸣笛等。</w:t>
            </w:r>
          </w:p>
          <w:p>
            <w:pPr>
              <w:ind w:firstLine="480"/>
            </w:pPr>
            <w:r>
              <w:rPr>
                <w:rFonts w:hint="eastAsia"/>
              </w:rPr>
              <w:t>同时建设单位在工程建设时，应和周围群众通过友好协商，取得谅解，一旦发生噪声扰民，应重视群众的反映意见，与受扰群众协商和解措施。除采取以上防治措施外，本项目还应充分重视操作人员的劳动保护，为其发放耳塞、耳罩，避免操作人员长期处于高噪声环境中。</w:t>
            </w:r>
          </w:p>
          <w:p>
            <w:pPr>
              <w:ind w:firstLine="480"/>
            </w:pPr>
            <w:r>
              <w:rPr>
                <w:rFonts w:hint="eastAsia"/>
              </w:rPr>
              <w:t>经以上措施处理后，施工噪声对周边声环境影响不大，措施可行。</w:t>
            </w:r>
          </w:p>
          <w:p>
            <w:pPr>
              <w:pStyle w:val="15"/>
              <w:ind w:firstLine="482"/>
            </w:pPr>
            <w:r>
              <w:rPr>
                <w:rFonts w:hint="eastAsia"/>
              </w:rPr>
              <w:t>4、固体废物处置措施分析</w:t>
            </w:r>
          </w:p>
          <w:p>
            <w:pPr>
              <w:ind w:firstLine="480"/>
              <w:rPr>
                <w:rFonts w:hint="eastAsia" w:eastAsia="宋体"/>
                <w:lang w:eastAsia="zh-CN"/>
              </w:rPr>
            </w:pPr>
            <w:r>
              <w:rPr>
                <w:rFonts w:hint="eastAsia"/>
              </w:rPr>
              <w:t>施工期固废主要为土石方、钻探泥浆、</w:t>
            </w:r>
            <w:r>
              <w:rPr>
                <w:rFonts w:hint="eastAsia"/>
                <w:lang w:val="en-US" w:eastAsia="zh-CN"/>
              </w:rPr>
              <w:t>钻屑、</w:t>
            </w:r>
            <w:r>
              <w:rPr>
                <w:rFonts w:hint="eastAsia"/>
              </w:rPr>
              <w:t>施工人员生活垃圾</w:t>
            </w:r>
            <w:r>
              <w:rPr>
                <w:rFonts w:hint="eastAsia"/>
                <w:lang w:eastAsia="zh-CN"/>
              </w:rPr>
              <w:t>、</w:t>
            </w:r>
            <w:r>
              <w:rPr>
                <w:rFonts w:hint="eastAsia"/>
                <w:lang w:val="en-US" w:eastAsia="zh-CN"/>
              </w:rPr>
              <w:t>废包装物。废防渗膜等</w:t>
            </w:r>
            <w:r>
              <w:rPr>
                <w:rFonts w:hint="eastAsia"/>
                <w:lang w:eastAsia="zh-CN"/>
              </w:rPr>
              <w:t>。</w:t>
            </w:r>
          </w:p>
          <w:p>
            <w:pPr>
              <w:ind w:firstLine="480"/>
            </w:pPr>
            <w:r>
              <w:t>工程施工需进行土石方开挖，此过程会产生一定量的土石方及弃土弃渣，在设计过程中充分利用</w:t>
            </w:r>
            <w:r>
              <w:rPr>
                <w:rFonts w:hint="eastAsia"/>
              </w:rPr>
              <w:t>了</w:t>
            </w:r>
            <w:r>
              <w:t>矿区的地形地貌，其基础挖填量较小，基本能够做到土石方的挖填平衡，剥离的表土堆放在弃土场，待探矿完成后，剥离的表土全部用于矿区的复垦覆土，不外排；钻探泥浆填入沉淀池内，并固化填埋；</w:t>
            </w:r>
            <w:r>
              <w:rPr>
                <w:rFonts w:hint="eastAsia"/>
                <w:lang w:val="en-US" w:eastAsia="zh-CN"/>
              </w:rPr>
              <w:t>钻孔岩屑用于封孔，对钻孔进行密封；</w:t>
            </w:r>
            <w:r>
              <w:t>生活垃圾</w:t>
            </w:r>
            <w:r>
              <w:rPr>
                <w:rFonts w:hint="eastAsia"/>
              </w:rPr>
              <w:t>采用垃圾袋集中收集后运出矿区由环卫部门统一清运</w:t>
            </w:r>
            <w:r>
              <w:t>。</w:t>
            </w:r>
            <w:r>
              <w:rPr>
                <w:rFonts w:hint="eastAsia"/>
                <w:lang w:val="en-US" w:eastAsia="zh-CN"/>
              </w:rPr>
              <w:t>废包装物、废防渗膜均</w:t>
            </w:r>
            <w:r>
              <w:rPr>
                <w:rFonts w:hint="eastAsia"/>
                <w:sz w:val="24"/>
                <w:szCs w:val="24"/>
                <w:lang w:val="en-US" w:eastAsia="zh-CN"/>
              </w:rPr>
              <w:t>收集后厂家进行回收。</w:t>
            </w:r>
          </w:p>
          <w:p>
            <w:pPr>
              <w:pStyle w:val="15"/>
              <w:ind w:firstLine="482"/>
              <w:rPr>
                <w:b w:val="0"/>
                <w:bCs w:val="0"/>
              </w:rPr>
            </w:pPr>
            <w:r>
              <w:rPr>
                <w:rFonts w:hint="eastAsia"/>
                <w:b w:val="0"/>
                <w:bCs w:val="0"/>
                <w:lang w:val="en-US" w:eastAsia="zh-CN"/>
              </w:rPr>
              <w:t>4.1</w:t>
            </w:r>
            <w:r>
              <w:rPr>
                <w:b w:val="0"/>
                <w:bCs w:val="0"/>
              </w:rPr>
              <w:t>、暂存及转运管理要求</w:t>
            </w:r>
          </w:p>
          <w:p>
            <w:pPr>
              <w:ind w:firstLine="480"/>
            </w:pPr>
            <w:r>
              <w:rPr>
                <w:rFonts w:hint="eastAsia" w:ascii="宋体" w:hAnsi="宋体" w:cs="宋体"/>
              </w:rPr>
              <w:t>①</w:t>
            </w:r>
            <w:r>
              <w:rPr>
                <w:rFonts w:hint="eastAsia" w:ascii="宋体" w:hAnsi="宋体" w:cs="宋体"/>
                <w:lang w:val="en-US" w:eastAsia="zh-CN"/>
              </w:rPr>
              <w:t>采用泥浆不落地技术在现场对固废进行随钻治理，将泥浆排入沉淀池。沉淀池在建设过程中应严格按照相关要求进行防腐、防渗漏等处理。</w:t>
            </w:r>
          </w:p>
          <w:p>
            <w:pPr>
              <w:ind w:firstLine="480"/>
            </w:pPr>
            <w:r>
              <w:rPr>
                <w:rFonts w:hint="eastAsia" w:ascii="宋体" w:hAnsi="宋体" w:cs="宋体"/>
              </w:rPr>
              <w:t>②</w:t>
            </w:r>
            <w:r>
              <w:t>钻井过程产生的固体废物要进行分类收集，确保固体废物的收集率为100%；严禁将固体废物乱倒乱放。</w:t>
            </w:r>
          </w:p>
          <w:p>
            <w:pPr>
              <w:pStyle w:val="15"/>
              <w:ind w:firstLine="482"/>
            </w:pPr>
            <w:r>
              <w:rPr>
                <w:rFonts w:hint="eastAsia"/>
              </w:rPr>
              <w:t>5、生态环境保护与植被恢复措施分析</w:t>
            </w:r>
          </w:p>
          <w:p>
            <w:pPr>
              <w:ind w:firstLine="480"/>
            </w:pPr>
            <w:r>
              <w:rPr>
                <w:rFonts w:hint="eastAsia"/>
              </w:rPr>
              <w:t>本环评要求施工期生态保护与植被恢复措施如下：</w:t>
            </w:r>
          </w:p>
          <w:p>
            <w:pPr>
              <w:pStyle w:val="15"/>
              <w:ind w:firstLine="482"/>
            </w:pPr>
            <w:r>
              <w:rPr>
                <w:rFonts w:hint="eastAsia"/>
              </w:rPr>
              <w:t>5.1土壤与植被的保护措施</w:t>
            </w:r>
          </w:p>
          <w:p>
            <w:pPr>
              <w:ind w:firstLine="480"/>
            </w:pPr>
            <w:r>
              <w:rPr>
                <w:rFonts w:hint="eastAsia"/>
                <w:lang w:val="en-US" w:eastAsia="zh-CN"/>
              </w:rPr>
              <w:t>（</w:t>
            </w:r>
            <w:r>
              <w:rPr>
                <w:rFonts w:hint="default"/>
                <w:lang w:val="en-US" w:eastAsia="zh-CN"/>
              </w:rPr>
              <w:t>1</w:t>
            </w:r>
            <w:r>
              <w:rPr>
                <w:rFonts w:hint="eastAsia"/>
                <w:lang w:val="en-US" w:eastAsia="zh-CN"/>
              </w:rPr>
              <w:t>）表层土壤的保护和利用。保护利用好表层的土壤，在施工前，首先要把剥离土集中堆放，施工结束后再进行回填，以利后期植被恢复，严格执行分层开挖、分层堆放、分层回填的土方施工作业制度。</w:t>
            </w:r>
          </w:p>
          <w:p>
            <w:pPr>
              <w:ind w:firstLine="480"/>
            </w:pPr>
            <w:r>
              <w:rPr>
                <w:rFonts w:hint="eastAsia"/>
                <w:lang w:val="en-US" w:eastAsia="zh-CN"/>
              </w:rPr>
              <w:t>（</w:t>
            </w:r>
            <w:r>
              <w:rPr>
                <w:rFonts w:hint="default"/>
                <w:lang w:val="en-US" w:eastAsia="zh-CN"/>
              </w:rPr>
              <w:t>2</w:t>
            </w:r>
            <w:r>
              <w:rPr>
                <w:rFonts w:hint="eastAsia"/>
                <w:lang w:val="en-US" w:eastAsia="zh-CN"/>
              </w:rPr>
              <w:t>）合理组织土方调配及时填平压实。工程施工期应首先计划安排好挖方量和填方量，及时进行回填，铺平压实，以免发生风蚀、水蚀。</w:t>
            </w:r>
          </w:p>
          <w:p>
            <w:pPr>
              <w:ind w:firstLine="480"/>
            </w:pPr>
            <w:r>
              <w:rPr>
                <w:rFonts w:hint="eastAsia"/>
                <w:lang w:val="en-US" w:eastAsia="zh-CN"/>
              </w:rPr>
              <w:t>（</w:t>
            </w:r>
            <w:r>
              <w:rPr>
                <w:rFonts w:hint="default"/>
                <w:lang w:val="en-US" w:eastAsia="zh-CN"/>
              </w:rPr>
              <w:t>3</w:t>
            </w:r>
            <w:r>
              <w:rPr>
                <w:rFonts w:hint="eastAsia"/>
                <w:lang w:val="en-US" w:eastAsia="zh-CN"/>
              </w:rPr>
              <w:t>）临时占地施工结束后，应按相关规定恢复植被。</w:t>
            </w:r>
          </w:p>
          <w:p>
            <w:pPr>
              <w:ind w:firstLine="480"/>
            </w:pPr>
            <w:r>
              <w:rPr>
                <w:rFonts w:hint="eastAsia"/>
                <w:lang w:val="en-US" w:eastAsia="zh-CN"/>
              </w:rPr>
              <w:t>（</w:t>
            </w:r>
            <w:r>
              <w:rPr>
                <w:rFonts w:hint="default"/>
                <w:lang w:val="en-US" w:eastAsia="zh-CN"/>
              </w:rPr>
              <w:t>4</w:t>
            </w:r>
            <w:r>
              <w:rPr>
                <w:rFonts w:hint="eastAsia"/>
                <w:lang w:val="en-US" w:eastAsia="zh-CN"/>
              </w:rPr>
              <w:t>）充分利用原有道路，同时减少土石方工程量并缩小生态影响范围，减少了对周边土壤和植被的破坏。</w:t>
            </w:r>
          </w:p>
          <w:p>
            <w:pPr>
              <w:ind w:firstLine="480"/>
            </w:pPr>
            <w:r>
              <w:rPr>
                <w:rFonts w:hint="eastAsia"/>
                <w:lang w:val="en-US" w:eastAsia="zh-CN"/>
              </w:rPr>
              <w:t>（</w:t>
            </w:r>
            <w:r>
              <w:rPr>
                <w:rFonts w:hint="default"/>
                <w:lang w:val="en-US" w:eastAsia="zh-CN"/>
              </w:rPr>
              <w:t>5</w:t>
            </w:r>
            <w:r>
              <w:rPr>
                <w:rFonts w:hint="eastAsia"/>
                <w:lang w:val="en-US" w:eastAsia="zh-CN"/>
              </w:rPr>
              <w:t>）规范施工人员的行为，爱护草木，严禁砍伐、破坏施工区以外的作物和植被；施工结束后，应进行生态重建，同时收集、处理施工场地及周围因施工而产生的垃圾与各种废弃物。</w:t>
            </w:r>
          </w:p>
          <w:p>
            <w:pPr>
              <w:ind w:firstLine="480"/>
            </w:pPr>
            <w:r>
              <w:rPr>
                <w:rFonts w:hint="eastAsia"/>
                <w:lang w:val="en-US" w:eastAsia="zh-CN"/>
              </w:rPr>
              <w:t>（</w:t>
            </w:r>
            <w:r>
              <w:rPr>
                <w:rFonts w:hint="default"/>
                <w:lang w:val="en-US" w:eastAsia="zh-CN"/>
              </w:rPr>
              <w:t>6</w:t>
            </w:r>
            <w:r>
              <w:rPr>
                <w:rFonts w:hint="eastAsia"/>
                <w:lang w:val="en-US" w:eastAsia="zh-CN"/>
              </w:rPr>
              <w:t>）采取分段施工，提高工程施工效率，缩短施工工期。</w:t>
            </w:r>
          </w:p>
          <w:p>
            <w:pPr>
              <w:adjustRightInd w:val="0"/>
              <w:snapToGrid w:val="0"/>
              <w:ind w:firstLine="482"/>
              <w:rPr>
                <w:b/>
                <w:bCs/>
              </w:rPr>
            </w:pPr>
            <w:r>
              <w:rPr>
                <w:rStyle w:val="30"/>
                <w:rFonts w:hint="eastAsia"/>
              </w:rPr>
              <w:t>5</w:t>
            </w:r>
            <w:r>
              <w:rPr>
                <w:rStyle w:val="30"/>
              </w:rPr>
              <w:t>.2</w:t>
            </w:r>
            <w:r>
              <w:rPr>
                <w:rFonts w:hint="eastAsia"/>
                <w:b/>
                <w:bCs/>
              </w:rPr>
              <w:t>水土流失防治措施</w:t>
            </w:r>
          </w:p>
          <w:p>
            <w:pPr>
              <w:adjustRightInd w:val="0"/>
              <w:snapToGrid w:val="0"/>
              <w:ind w:firstLine="480"/>
            </w:pPr>
            <w:r>
              <w:rPr>
                <w:rFonts w:hint="eastAsia"/>
                <w:lang w:val="en-US" w:eastAsia="zh-CN"/>
              </w:rPr>
              <w:t>本项目在探矿施工过程中，应控制地表破坏程度，尽量保护原有地表植被，要严格按照施工规划尽可能少占地。工程施工时注意合理分配施工时段，避开大风天气，严禁在大风和降雨天气下进行开采，合理布设开探矿施工场地，及时处理开挖弃土，对施工中所产生的弃土应尽可能地加以利用回填；对开挖的土石方、开挖裸露面做好防风措施，尽量缩短暴露时间，本着谁开发，谁保护，谁造成水土流失谁负责治理的原则，在防治责任范围内，水土流失防治责任由企业单位负责承担。</w:t>
            </w:r>
          </w:p>
          <w:p>
            <w:pPr>
              <w:adjustRightInd w:val="0"/>
              <w:snapToGrid w:val="0"/>
              <w:ind w:firstLine="480"/>
              <w:rPr>
                <w:rFonts w:hint="eastAsia"/>
                <w:lang w:val="en-US" w:eastAsia="zh-CN"/>
              </w:rPr>
            </w:pPr>
            <w:r>
              <w:rPr>
                <w:rFonts w:hint="eastAsia"/>
                <w:lang w:val="en-US" w:eastAsia="zh-CN"/>
              </w:rPr>
              <w:t>（</w:t>
            </w:r>
            <w:r>
              <w:rPr>
                <w:rFonts w:hint="default"/>
                <w:lang w:val="en-US" w:eastAsia="zh-CN"/>
              </w:rPr>
              <w:t>1</w:t>
            </w:r>
            <w:r>
              <w:rPr>
                <w:rFonts w:hint="eastAsia"/>
                <w:lang w:val="en-US" w:eastAsia="zh-CN"/>
              </w:rPr>
              <w:t>）对探矿施工过程中，必须做好水土流失的预防工作，认真贯彻</w:t>
            </w:r>
            <w:r>
              <w:rPr>
                <w:rFonts w:hint="default"/>
                <w:lang w:val="en-US" w:eastAsia="zh-CN"/>
              </w:rPr>
              <w:t>“</w:t>
            </w:r>
            <w:r>
              <w:rPr>
                <w:rFonts w:hint="eastAsia"/>
                <w:lang w:val="en-US" w:eastAsia="zh-CN"/>
              </w:rPr>
              <w:t>谁造成水土流失，谁投资治理，谁造成新的危害，谁负责赔偿”和“治理与生产建设相结合”的原则。</w:t>
            </w:r>
          </w:p>
          <w:p>
            <w:pPr>
              <w:adjustRightInd w:val="0"/>
              <w:snapToGrid w:val="0"/>
              <w:ind w:firstLine="480"/>
              <w:rPr>
                <w:rFonts w:hint="eastAsia"/>
                <w:lang w:val="en-US" w:eastAsia="zh-CN"/>
              </w:rPr>
            </w:pPr>
            <w:r>
              <w:rPr>
                <w:rFonts w:hint="eastAsia"/>
                <w:lang w:val="en-US" w:eastAsia="zh-CN"/>
              </w:rPr>
              <w:t>（2）加强水土保护法的宣传，有关部门应积极主动，加强水土保持执法管理，将其纳入依法办事的轨道上来，对施工人员进行培训和教育，自觉保持水土，宣传保护生态环境的重要性。</w:t>
            </w:r>
          </w:p>
          <w:p>
            <w:pPr>
              <w:adjustRightInd w:val="0"/>
              <w:snapToGrid w:val="0"/>
              <w:ind w:firstLine="480"/>
              <w:rPr>
                <w:rFonts w:hint="eastAsia"/>
                <w:lang w:val="en-US" w:eastAsia="zh-CN"/>
              </w:rPr>
            </w:pPr>
            <w:r>
              <w:rPr>
                <w:rFonts w:hint="eastAsia"/>
                <w:lang w:val="en-US" w:eastAsia="zh-CN"/>
              </w:rPr>
              <w:t>（3）探矿施工时应充分考虑施工计划的合理性，合理安排工期和工程顺序，减少土壤损失和地表破坏面积。</w:t>
            </w:r>
          </w:p>
          <w:p>
            <w:pPr>
              <w:adjustRightInd w:val="0"/>
              <w:snapToGrid w:val="0"/>
              <w:ind w:firstLine="480"/>
              <w:rPr>
                <w:rFonts w:hint="eastAsia"/>
                <w:lang w:val="en-US" w:eastAsia="zh-CN"/>
              </w:rPr>
            </w:pPr>
            <w:r>
              <w:rPr>
                <w:rFonts w:hint="eastAsia"/>
                <w:lang w:val="en-US" w:eastAsia="zh-CN"/>
              </w:rPr>
              <w:t>（4）探矿施工期间应划定施工活动范围，严格控制和管理施工活动范围，不得离开施工区域，由专人负责，以防破坏土壤和植被，引发土壤流失。</w:t>
            </w:r>
          </w:p>
          <w:p>
            <w:pPr>
              <w:adjustRightInd w:val="0"/>
              <w:snapToGrid w:val="0"/>
              <w:ind w:firstLine="480"/>
              <w:rPr>
                <w:rFonts w:hint="eastAsia"/>
                <w:lang w:val="en-US" w:eastAsia="zh-CN"/>
              </w:rPr>
            </w:pPr>
            <w:r>
              <w:rPr>
                <w:rFonts w:hint="eastAsia"/>
                <w:lang w:val="en-US" w:eastAsia="zh-CN"/>
              </w:rPr>
              <w:t>（5）严禁在大风天气施工，并对相关工作人员进行宣传教育。</w:t>
            </w:r>
          </w:p>
          <w:p>
            <w:pPr>
              <w:adjustRightInd w:val="0"/>
              <w:snapToGrid w:val="0"/>
              <w:ind w:firstLine="480"/>
            </w:pPr>
            <w:r>
              <w:rPr>
                <w:rFonts w:hint="eastAsia"/>
                <w:lang w:val="en-US" w:eastAsia="zh-CN"/>
              </w:rPr>
              <w:t>（6）减少非生产生活车辆、机械进入开采区，施工中严格按照规划、设计施工占地要求，尽量减少地表形态破坏。建设单位在探矿期间应按照工程需要，分清轻重缓急，合理安排生态保护工程的建设时间，探矿工程结束后逐步落实生态恢复和补偿的工作，边探矿施工边恢复，通过采取废土回填等措施，可加快生态系统恢复和正向演替的过程，对探矿施工造成的生态破坏进行有效的补偿。</w:t>
            </w:r>
          </w:p>
          <w:p>
            <w:pPr>
              <w:adjustRightInd w:val="0"/>
              <w:snapToGrid w:val="0"/>
              <w:ind w:firstLine="482"/>
              <w:rPr>
                <w:b/>
                <w:bCs/>
              </w:rPr>
            </w:pPr>
            <w:r>
              <w:rPr>
                <w:rFonts w:hint="eastAsia"/>
                <w:b/>
                <w:bCs/>
              </w:rPr>
              <w:t>5.</w:t>
            </w:r>
            <w:r>
              <w:rPr>
                <w:b/>
                <w:bCs/>
              </w:rPr>
              <w:t>3</w:t>
            </w:r>
            <w:r>
              <w:rPr>
                <w:rFonts w:hint="eastAsia"/>
                <w:b/>
                <w:bCs/>
              </w:rPr>
              <w:t>动物保护措施</w:t>
            </w:r>
          </w:p>
          <w:p>
            <w:pPr>
              <w:ind w:firstLine="480"/>
            </w:pPr>
            <w:r>
              <w:rPr>
                <w:rFonts w:hint="eastAsia"/>
              </w:rPr>
              <w:t>项目区地处中山区，由于受到人类活动对此区域内动物种群的影响，在评价范围内常见的野生动物有蜥蜴及少数昆虫等，项目区内无珍稀及受保护的野生动物分布。</w:t>
            </w:r>
          </w:p>
          <w:p>
            <w:pPr>
              <w:ind w:firstLine="480"/>
            </w:pPr>
            <w:r>
              <w:rPr>
                <w:rFonts w:hint="eastAsia"/>
              </w:rPr>
              <w:t>项目探矿施工噪声对矿区附近野生动物的交配、产卵、孵化、妊娠或产仔等产生干扰作用。根据活动规律，不同类群的脊椎动物对外部环境因子的敏感性反应顺序为：大中型兽类﹥鸟类﹥小型兽类﹥爬行类﹥两栖类。</w:t>
            </w:r>
          </w:p>
          <w:p>
            <w:pPr>
              <w:ind w:firstLine="480"/>
            </w:pPr>
            <w:r>
              <w:rPr>
                <w:rFonts w:hint="eastAsia"/>
              </w:rPr>
              <w:t>项目区及周边地区由于人类活动，野生动物稀少，场址所在区域植物种类较少，动物食源少，因此该区动物组成较为单一，野生动物的分布种类和种群数量也较少，已无大型哺乳动物活动，仅有一些常见的鸟类和鼠类，无国家及自治区级保护野生动物。根据《国家重点保护野生动物名录（2021年版）</w:t>
            </w:r>
            <w:r>
              <w:rPr>
                <w:rFonts w:hint="eastAsia"/>
                <w:lang w:eastAsia="zh-CN"/>
              </w:rPr>
              <w:t>》《</w:t>
            </w:r>
            <w:r>
              <w:rPr>
                <w:rFonts w:hint="eastAsia"/>
              </w:rPr>
              <w:t>新疆国家重点保护野生动物名录》（2021年07月28日发布），评价区没有保护野生动物分布。</w:t>
            </w:r>
          </w:p>
          <w:p>
            <w:pPr>
              <w:ind w:firstLine="480"/>
              <w:rPr>
                <w:bCs/>
              </w:rPr>
            </w:pPr>
            <w:r>
              <w:rPr>
                <w:rFonts w:hint="eastAsia"/>
              </w:rPr>
              <w:t>根据本项目的特点，采取以下措施后，能够减小对野生动物的影响：</w:t>
            </w:r>
          </w:p>
          <w:p>
            <w:pPr>
              <w:ind w:firstLine="480"/>
              <w:rPr>
                <w:bCs/>
              </w:rPr>
            </w:pPr>
            <w:r>
              <w:rPr>
                <w:rFonts w:hint="eastAsia"/>
                <w:bCs/>
              </w:rPr>
              <w:t>（</w:t>
            </w:r>
            <w:r>
              <w:rPr>
                <w:bCs/>
              </w:rPr>
              <w:t>1</w:t>
            </w:r>
            <w:r>
              <w:rPr>
                <w:rFonts w:hint="eastAsia"/>
                <w:bCs/>
              </w:rPr>
              <w:t>）加强宣传教育工作，制定严格的管理制度和奖惩制度，严禁猎杀野生动物。</w:t>
            </w:r>
          </w:p>
          <w:p>
            <w:pPr>
              <w:ind w:firstLine="480"/>
              <w:rPr>
                <w:bCs/>
              </w:rPr>
            </w:pPr>
            <w:r>
              <w:rPr>
                <w:rFonts w:hint="eastAsia"/>
                <w:bCs/>
              </w:rPr>
              <w:t>（</w:t>
            </w:r>
            <w:r>
              <w:rPr>
                <w:bCs/>
              </w:rPr>
              <w:t>2</w:t>
            </w:r>
            <w:r>
              <w:rPr>
                <w:rFonts w:hint="eastAsia"/>
                <w:bCs/>
              </w:rPr>
              <w:t>）施工单位应制定严格的环境保护规章制度和切实可行的措施，文明施工，生产废水和生活污水应严格进行处理，严禁直接排入外环境。</w:t>
            </w:r>
          </w:p>
          <w:p>
            <w:pPr>
              <w:tabs>
                <w:tab w:val="left" w:pos="3255"/>
              </w:tabs>
              <w:ind w:firstLine="482"/>
              <w:rPr>
                <w:b/>
                <w:bCs/>
              </w:rPr>
            </w:pPr>
            <w:r>
              <w:rPr>
                <w:rFonts w:hint="eastAsia"/>
                <w:b/>
                <w:bCs/>
              </w:rPr>
              <w:t>5.4</w:t>
            </w:r>
            <w:r>
              <w:rPr>
                <w:rFonts w:hint="eastAsia"/>
                <w:b/>
              </w:rPr>
              <w:t>探矿结束后的环境恢复和治理措施</w:t>
            </w:r>
          </w:p>
          <w:p>
            <w:pPr>
              <w:ind w:firstLine="480"/>
              <w:rPr>
                <w:rFonts w:hint="eastAsia" w:ascii="Times New Roman" w:hAnsi="Times New Roman" w:eastAsia="宋体" w:cs="Times New Roman"/>
              </w:rPr>
            </w:pPr>
            <w:r>
              <w:rPr>
                <w:rFonts w:hint="eastAsia" w:ascii="Times New Roman" w:hAnsi="Times New Roman" w:eastAsia="宋体" w:cs="Times New Roman"/>
              </w:rPr>
              <w:t>探矿结束后需严格遵循“谁破坏、谁修复”原则，结合区域生态敏感特性（如若羌县荒漠戈壁生态系统脆弱性），实施针对性恢复治理，具体措施如下：</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）勘探结束后须对临时占地范围进行平整，固体废物全部妥善处置，现场禁止遗留，占地应清理平整。</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）对区内各勘查施工器材统一收集、处理、不得遗留在区内。</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）根据环评要求，将人为活动限制在最小范围内，不因地质工作深化而显著增加对区域生态环境的影响范围和程度。</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）勘探期结束后，应立即停止探矿采样活动，严禁</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以探代采</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项目勘查工作结束或阶段工作结束，应针对勘查活动造成的环境影响，根据国家法律法规、强制性标准和恢复治理设计要求，结合地方社会经济发展需求，及时开展环境恢复治理，消除勘查活动对生态环境造成的负面影响。</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w:t>
            </w:r>
            <w:r>
              <w:rPr>
                <w:rFonts w:hint="eastAsia" w:ascii="Times New Roman" w:hAnsi="Times New Roman" w:eastAsia="宋体" w:cs="Times New Roman"/>
                <w:lang w:val="en-US" w:eastAsia="zh-CN"/>
              </w:rPr>
              <w:t>）封闭探井，将泥渣等回填探井内部，然后封闭，并设置警示标识。</w:t>
            </w:r>
          </w:p>
          <w:p>
            <w:pPr>
              <w:tabs>
                <w:tab w:val="left" w:pos="3255"/>
              </w:tabs>
              <w:ind w:firstLine="480"/>
              <w:rPr>
                <w:sz w:val="21"/>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7</w:t>
            </w:r>
            <w:r>
              <w:rPr>
                <w:rFonts w:hint="eastAsia" w:ascii="Times New Roman" w:hAnsi="Times New Roman" w:eastAsia="宋体" w:cs="Times New Roman"/>
                <w:lang w:val="en-US" w:eastAsia="zh-CN"/>
              </w:rPr>
              <w:t>）对原工作区内的生活营地、临时道路、钻井、槽探作业区进行生态恢复，主要包括土地平整、选择适应当地气候和土壤条件的本土植物，如耐旱、耐贫瘠的植物。经采取以上措施，项目施工期对生态环境的影响可以降至最低。</w:t>
            </w:r>
          </w:p>
          <w:p>
            <w:pPr>
              <w:pStyle w:val="15"/>
              <w:ind w:firstLine="482"/>
            </w:pPr>
            <w:r>
              <w:rPr>
                <w:rFonts w:hint="eastAsia"/>
              </w:rPr>
              <w:t>6、环境风险评价</w:t>
            </w:r>
          </w:p>
          <w:p>
            <w:pPr>
              <w:ind w:firstLine="480"/>
            </w:pPr>
            <w:r>
              <w:rPr>
                <w:rFonts w:hint="eastAsia"/>
              </w:rP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ind w:firstLine="480"/>
            </w:pPr>
            <w:r>
              <w:rPr>
                <w:rFonts w:hint="eastAsia"/>
              </w:rPr>
              <w:t>通过对项目在生产过程中使用的物质、各工艺系统的危险性进行识别，分析周边环境的敏感性，对项目的风险潜势进行初判，确定评价等级。</w:t>
            </w:r>
          </w:p>
          <w:p>
            <w:pPr>
              <w:pStyle w:val="15"/>
              <w:ind w:firstLine="482"/>
            </w:pPr>
            <w:r>
              <w:rPr>
                <w:rFonts w:hint="eastAsia"/>
              </w:rPr>
              <w:t>6.1</w:t>
            </w:r>
            <w:r>
              <w:t>评价依据</w:t>
            </w:r>
          </w:p>
          <w:p>
            <w:pPr>
              <w:ind w:firstLine="480"/>
            </w:pPr>
            <w:r>
              <w:rPr>
                <w:rFonts w:hint="eastAsia"/>
                <w:lang w:val="en-US" w:eastAsia="zh-CN"/>
              </w:rPr>
              <w:t>（</w:t>
            </w:r>
            <w:r>
              <w:rPr>
                <w:rFonts w:hint="default"/>
                <w:lang w:val="en-US" w:eastAsia="zh-CN"/>
              </w:rPr>
              <w:t>1</w:t>
            </w:r>
            <w:r>
              <w:rPr>
                <w:rFonts w:hint="eastAsia"/>
                <w:lang w:val="en-US" w:eastAsia="zh-CN"/>
              </w:rPr>
              <w:t>）风险调查</w:t>
            </w:r>
          </w:p>
          <w:p>
            <w:pPr>
              <w:ind w:firstLine="480"/>
            </w:pPr>
            <w:r>
              <w:rPr>
                <w:rFonts w:hint="eastAsia"/>
                <w:lang w:val="en-US" w:eastAsia="zh-CN"/>
              </w:rPr>
              <w:t>①柴油</w:t>
            </w:r>
          </w:p>
          <w:p>
            <w:pPr>
              <w:ind w:firstLine="480"/>
            </w:pPr>
            <w:r>
              <w:rPr>
                <w:rFonts w:hint="eastAsia"/>
                <w:lang w:val="en-US" w:eastAsia="zh-CN"/>
              </w:rPr>
              <w:t>本项目轻质柴油分期从若羌县依吞布拉克镇购买，柴油储存区铺设双层防渗土工布铺垫对储存区域进行防渗处理。柴油储罐应确保防日晒、防雨、防渗漏三重防护。本项目风险物质为柴油。</w:t>
            </w:r>
          </w:p>
          <w:p>
            <w:pPr>
              <w:ind w:firstLine="480"/>
            </w:pPr>
            <w:r>
              <w:rPr>
                <w:rFonts w:hint="eastAsia"/>
              </w:rPr>
              <w:t>（2）风险潜势初判</w:t>
            </w:r>
          </w:p>
          <w:p>
            <w:pPr>
              <w:ind w:firstLine="480"/>
            </w:pPr>
            <w:r>
              <w:t>根据《建设项目环境风险评价技术导则》（HJ169-2018），当存在</w:t>
            </w:r>
            <w:r>
              <w:rPr>
                <w:rFonts w:hint="eastAsia"/>
              </w:rPr>
              <w:t>多种</w:t>
            </w:r>
            <w:r>
              <w:t>危险物质时，按下式计算物质总量与临界量比值。</w:t>
            </w:r>
          </w:p>
          <w:p>
            <w:pPr>
              <w:adjustRightInd w:val="0"/>
              <w:snapToGrid w:val="0"/>
              <w:ind w:firstLine="480"/>
              <w:jc w:val="center"/>
              <w:rPr>
                <w:b/>
              </w:rPr>
            </w:pPr>
            <w:r>
              <w:drawing>
                <wp:inline distT="0" distB="0" distL="114300" distR="114300">
                  <wp:extent cx="1785620" cy="539115"/>
                  <wp:effectExtent l="0" t="0" r="5080" b="13335"/>
                  <wp:docPr id="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pic:cNvPicPr>
                            <a:picLocks noChangeAspect="1"/>
                          </pic:cNvPicPr>
                        </pic:nvPicPr>
                        <pic:blipFill>
                          <a:blip r:embed="rId9"/>
                          <a:stretch>
                            <a:fillRect/>
                          </a:stretch>
                        </pic:blipFill>
                        <pic:spPr>
                          <a:xfrm>
                            <a:off x="0" y="0"/>
                            <a:ext cx="1785620" cy="539115"/>
                          </a:xfrm>
                          <a:prstGeom prst="rect">
                            <a:avLst/>
                          </a:prstGeom>
                          <a:noFill/>
                          <a:ln>
                            <a:noFill/>
                          </a:ln>
                        </pic:spPr>
                      </pic:pic>
                    </a:graphicData>
                  </a:graphic>
                </wp:inline>
              </w:drawing>
            </w:r>
          </w:p>
          <w:p>
            <w:pPr>
              <w:ind w:firstLine="480"/>
            </w:pPr>
            <w:r>
              <w:t>式中：q</w:t>
            </w:r>
            <w:r>
              <w:rPr>
                <w:vertAlign w:val="subscript"/>
              </w:rPr>
              <w:t>1</w:t>
            </w:r>
            <w:r>
              <w:t>，q</w:t>
            </w:r>
            <w:r>
              <w:rPr>
                <w:vertAlign w:val="subscript"/>
              </w:rPr>
              <w:t>2</w:t>
            </w:r>
            <w:r>
              <w:t>…..q</w:t>
            </w:r>
            <w:r>
              <w:rPr>
                <w:vertAlign w:val="subscript"/>
              </w:rPr>
              <w:t>n</w:t>
            </w:r>
            <w:r>
              <w:t>——每种危险物质的最大存在总量，t；</w:t>
            </w:r>
          </w:p>
          <w:p>
            <w:pPr>
              <w:ind w:firstLine="1200" w:firstLineChars="500"/>
            </w:pPr>
            <w:r>
              <w:t>Q</w:t>
            </w:r>
            <w:r>
              <w:rPr>
                <w:vertAlign w:val="subscript"/>
              </w:rPr>
              <w:t>1</w:t>
            </w:r>
            <w:r>
              <w:t>，Q</w:t>
            </w:r>
            <w:r>
              <w:rPr>
                <w:vertAlign w:val="subscript"/>
              </w:rPr>
              <w:t>2</w:t>
            </w:r>
            <w:r>
              <w:t>，…..Q</w:t>
            </w:r>
            <w:r>
              <w:rPr>
                <w:vertAlign w:val="subscript"/>
              </w:rPr>
              <w:t>n</w:t>
            </w:r>
            <w:r>
              <w:t>——每种危险物质的临界量，t；</w:t>
            </w:r>
          </w:p>
          <w:p>
            <w:pPr>
              <w:ind w:firstLine="480"/>
            </w:pPr>
            <w:r>
              <w:t>当Q&lt;1时，该项目环境风险潜势为</w:t>
            </w:r>
            <w:r>
              <w:fldChar w:fldCharType="begin"/>
            </w:r>
            <w:r>
              <w:instrText xml:space="preserve">= 1 \* ROMAN</w:instrText>
            </w:r>
            <w:r>
              <w:fldChar w:fldCharType="separate"/>
            </w:r>
            <w:r>
              <w:t>I</w:t>
            </w:r>
            <w:r>
              <w:fldChar w:fldCharType="end"/>
            </w:r>
            <w:r>
              <w:t>。</w:t>
            </w:r>
          </w:p>
          <w:p>
            <w:pPr>
              <w:ind w:firstLine="480"/>
            </w:pPr>
            <w:r>
              <w:t>当Q≥1时，将Q值划分为：（1）1≤Q＜10；（2）10≤Q＜100；（3）Q≥100。</w:t>
            </w:r>
          </w:p>
          <w:p>
            <w:pPr>
              <w:keepNext w:val="0"/>
              <w:keepLines w:val="0"/>
              <w:widowControl/>
              <w:suppressLineNumbers w:val="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w:t>
            </w:r>
            <w:r>
              <w:rPr>
                <w:rFonts w:hint="default" w:ascii="Times New Roman" w:hAnsi="Times New Roman" w:eastAsia="宋体" w:cs="Times New Roman"/>
                <w:b/>
                <w:kern w:val="0"/>
                <w:sz w:val="21"/>
                <w:szCs w:val="20"/>
                <w:lang w:val="en-US" w:eastAsia="zh-CN" w:bidi="ar-SA"/>
              </w:rPr>
              <w:t>5-1</w:t>
            </w:r>
            <w:r>
              <w:rPr>
                <w:rFonts w:hint="eastAsia" w:ascii="Times New Roman" w:hAnsi="Times New Roman" w:eastAsia="宋体" w:cs="Times New Roman"/>
                <w:b/>
                <w:kern w:val="0"/>
                <w:sz w:val="21"/>
                <w:szCs w:val="20"/>
                <w:lang w:val="en-US" w:eastAsia="zh-CN" w:bidi="ar-SA"/>
              </w:rPr>
              <w:t>本项目涉及的风险源分布情况表</w:t>
            </w:r>
          </w:p>
          <w:tbl>
            <w:tblPr>
              <w:tblStyle w:val="20"/>
              <w:tblW w:w="4997"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379"/>
              <w:gridCol w:w="1379"/>
              <w:gridCol w:w="1379"/>
              <w:gridCol w:w="1379"/>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tcPr>
                <w:p>
                  <w:pPr>
                    <w:pStyle w:val="26"/>
                    <w:rPr>
                      <w:rFonts w:hint="default"/>
                      <w:lang w:val="en-US" w:eastAsia="zh-CN"/>
                    </w:rPr>
                  </w:pPr>
                  <w:r>
                    <w:rPr>
                      <w:rFonts w:hint="eastAsia"/>
                      <w:lang w:val="en-US" w:eastAsia="zh-CN"/>
                    </w:rPr>
                    <w:t>名称</w:t>
                  </w:r>
                </w:p>
              </w:tc>
              <w:tc>
                <w:tcPr>
                  <w:tcW w:w="833" w:type="pct"/>
                  <w:tcBorders>
                    <w:tl2br w:val="nil"/>
                    <w:tr2bl w:val="nil"/>
                  </w:tcBorders>
                </w:tcPr>
                <w:p>
                  <w:pPr>
                    <w:pStyle w:val="26"/>
                    <w:rPr>
                      <w:rFonts w:hint="default"/>
                      <w:lang w:val="en-US" w:eastAsia="zh-CN"/>
                    </w:rPr>
                  </w:pPr>
                  <w:r>
                    <w:rPr>
                      <w:rFonts w:hint="eastAsia"/>
                      <w:lang w:val="en-US" w:eastAsia="zh-CN"/>
                    </w:rPr>
                    <w:t>CAS号</w:t>
                  </w:r>
                </w:p>
              </w:tc>
              <w:tc>
                <w:tcPr>
                  <w:tcW w:w="833" w:type="pct"/>
                  <w:tcBorders>
                    <w:tl2br w:val="nil"/>
                    <w:tr2bl w:val="nil"/>
                  </w:tcBorders>
                </w:tcPr>
                <w:p>
                  <w:pPr>
                    <w:pStyle w:val="26"/>
                    <w:rPr>
                      <w:rFonts w:hint="default"/>
                      <w:lang w:val="en-US" w:eastAsia="zh-CN"/>
                    </w:rPr>
                  </w:pPr>
                  <w:r>
                    <w:rPr>
                      <w:rFonts w:hint="eastAsia"/>
                      <w:lang w:val="en-US" w:eastAsia="zh-CN"/>
                    </w:rPr>
                    <w:t>最大储存量（t）</w:t>
                  </w:r>
                </w:p>
              </w:tc>
              <w:tc>
                <w:tcPr>
                  <w:tcW w:w="833" w:type="pct"/>
                  <w:tcBorders>
                    <w:tl2br w:val="nil"/>
                    <w:tr2bl w:val="nil"/>
                  </w:tcBorders>
                </w:tcPr>
                <w:p>
                  <w:pPr>
                    <w:pStyle w:val="26"/>
                    <w:rPr>
                      <w:rFonts w:hint="default"/>
                      <w:lang w:val="en-US" w:eastAsia="zh-CN"/>
                    </w:rPr>
                  </w:pPr>
                  <w:r>
                    <w:rPr>
                      <w:rFonts w:hint="eastAsia"/>
                      <w:lang w:val="en-US" w:eastAsia="zh-CN"/>
                    </w:rPr>
                    <w:t>临界量（t）</w:t>
                  </w:r>
                </w:p>
              </w:tc>
              <w:tc>
                <w:tcPr>
                  <w:tcW w:w="833" w:type="pct"/>
                  <w:tcBorders>
                    <w:tl2br w:val="nil"/>
                    <w:tr2bl w:val="nil"/>
                  </w:tcBorders>
                </w:tcPr>
                <w:p>
                  <w:pPr>
                    <w:pStyle w:val="26"/>
                  </w:pPr>
                  <w:r>
                    <w:rPr>
                      <w:rFonts w:hint="eastAsia"/>
                      <w:lang w:val="en-US" w:eastAsia="zh-CN"/>
                    </w:rPr>
                    <w:t>储存方式</w:t>
                  </w:r>
                </w:p>
              </w:tc>
              <w:tc>
                <w:tcPr>
                  <w:tcW w:w="833" w:type="pct"/>
                  <w:tcBorders>
                    <w:tl2br w:val="nil"/>
                    <w:tr2bl w:val="nil"/>
                  </w:tcBorders>
                </w:tcPr>
                <w:p>
                  <w:pPr>
                    <w:pStyle w:val="26"/>
                    <w:rPr>
                      <w:rFonts w:hint="eastAsia"/>
                      <w:lang w:val="en-US" w:eastAsia="zh-CN"/>
                    </w:rPr>
                  </w:pPr>
                  <w:r>
                    <w:rPr>
                      <w:rFonts w:hint="eastAsia"/>
                      <w:lang w:val="en-US" w:eastAsia="zh-CN"/>
                    </w:rPr>
                    <w:t>分布区域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tcPr>
                <w:p>
                  <w:pPr>
                    <w:pStyle w:val="26"/>
                    <w:rPr>
                      <w:rFonts w:hint="eastAsia"/>
                      <w:lang w:val="en-US" w:eastAsia="zh-CN"/>
                    </w:rPr>
                  </w:pPr>
                  <w:r>
                    <w:rPr>
                      <w:rFonts w:hint="eastAsia"/>
                      <w:lang w:val="en-US" w:eastAsia="zh-CN"/>
                    </w:rPr>
                    <w:t>柴油</w:t>
                  </w:r>
                </w:p>
              </w:tc>
              <w:tc>
                <w:tcPr>
                  <w:tcW w:w="833" w:type="pct"/>
                  <w:tcBorders>
                    <w:tl2br w:val="nil"/>
                    <w:tr2bl w:val="nil"/>
                  </w:tcBorders>
                </w:tcPr>
                <w:p>
                  <w:pPr>
                    <w:pStyle w:val="26"/>
                    <w:rPr>
                      <w:rFonts w:hint="default"/>
                      <w:lang w:val="en-US" w:eastAsia="zh-CN"/>
                    </w:rPr>
                  </w:pPr>
                  <w:r>
                    <w:rPr>
                      <w:rFonts w:hint="eastAsia"/>
                      <w:lang w:val="en-US" w:eastAsia="zh-CN"/>
                    </w:rPr>
                    <w:t>68334-30-5</w:t>
                  </w:r>
                </w:p>
              </w:tc>
              <w:tc>
                <w:tcPr>
                  <w:tcW w:w="833" w:type="pct"/>
                  <w:tcBorders>
                    <w:tl2br w:val="nil"/>
                    <w:tr2bl w:val="nil"/>
                  </w:tcBorders>
                </w:tcPr>
                <w:p>
                  <w:pPr>
                    <w:pStyle w:val="26"/>
                    <w:rPr>
                      <w:rFonts w:hint="default"/>
                      <w:lang w:val="en-US" w:eastAsia="zh-CN"/>
                    </w:rPr>
                  </w:pPr>
                  <w:r>
                    <w:rPr>
                      <w:rFonts w:hint="eastAsia"/>
                      <w:lang w:val="en-US" w:eastAsia="zh-CN"/>
                    </w:rPr>
                    <w:t>0.82</w:t>
                  </w:r>
                </w:p>
              </w:tc>
              <w:tc>
                <w:tcPr>
                  <w:tcW w:w="833" w:type="pct"/>
                  <w:tcBorders>
                    <w:tl2br w:val="nil"/>
                    <w:tr2bl w:val="nil"/>
                  </w:tcBorders>
                </w:tcPr>
                <w:p>
                  <w:pPr>
                    <w:pStyle w:val="26"/>
                    <w:rPr>
                      <w:rFonts w:hint="default"/>
                      <w:lang w:val="en-US" w:eastAsia="zh-CN"/>
                    </w:rPr>
                  </w:pPr>
                  <w:r>
                    <w:rPr>
                      <w:rFonts w:hint="eastAsia"/>
                      <w:lang w:val="en-US" w:eastAsia="zh-CN"/>
                    </w:rPr>
                    <w:t>2500</w:t>
                  </w:r>
                </w:p>
              </w:tc>
              <w:tc>
                <w:tcPr>
                  <w:tcW w:w="833" w:type="pct"/>
                  <w:tcBorders>
                    <w:tl2br w:val="nil"/>
                    <w:tr2bl w:val="nil"/>
                  </w:tcBorders>
                </w:tcPr>
                <w:p>
                  <w:pPr>
                    <w:pStyle w:val="26"/>
                    <w:rPr>
                      <w:rFonts w:hint="eastAsia"/>
                      <w:lang w:val="en-US" w:eastAsia="zh-CN"/>
                    </w:rPr>
                  </w:pPr>
                  <w:r>
                    <w:rPr>
                      <w:rFonts w:hint="eastAsia"/>
                      <w:lang w:val="en-US" w:eastAsia="zh-CN"/>
                    </w:rPr>
                    <w:t>桶装</w:t>
                  </w:r>
                </w:p>
              </w:tc>
              <w:tc>
                <w:tcPr>
                  <w:tcW w:w="833" w:type="pct"/>
                  <w:tcBorders>
                    <w:tl2br w:val="nil"/>
                    <w:tr2bl w:val="nil"/>
                  </w:tcBorders>
                </w:tcPr>
                <w:p>
                  <w:pPr>
                    <w:pStyle w:val="26"/>
                    <w:rPr>
                      <w:rFonts w:hint="eastAsia"/>
                      <w:lang w:val="en-US" w:eastAsia="zh-CN"/>
                    </w:rPr>
                  </w:pPr>
                  <w:r>
                    <w:rPr>
                      <w:rFonts w:hint="eastAsia"/>
                      <w:lang w:val="en-US" w:eastAsia="zh-CN"/>
                    </w:rPr>
                    <w:t>柴油储存区</w:t>
                  </w:r>
                </w:p>
              </w:tc>
            </w:tr>
          </w:tbl>
          <w:p>
            <w:pPr>
              <w:ind w:firstLine="480"/>
            </w:pPr>
            <w:r>
              <w:t>通过计算，本项目Q&lt;1，所以本项目环境风险潜势为</w:t>
            </w:r>
            <w:r>
              <w:fldChar w:fldCharType="begin"/>
            </w:r>
            <w:r>
              <w:instrText xml:space="preserve">= 1 \* ROMAN</w:instrText>
            </w:r>
            <w:r>
              <w:fldChar w:fldCharType="separate"/>
            </w:r>
            <w:r>
              <w:t>I</w:t>
            </w:r>
            <w:r>
              <w:fldChar w:fldCharType="end"/>
            </w:r>
            <w:r>
              <w:t>。</w:t>
            </w:r>
          </w:p>
          <w:p>
            <w:pPr>
              <w:ind w:firstLine="480"/>
            </w:pPr>
            <w:r>
              <w:t>（3）评价等级</w:t>
            </w:r>
          </w:p>
          <w:p>
            <w:pPr>
              <w:ind w:firstLine="480"/>
            </w:pPr>
            <w:r>
              <w:t>根据《建设项目环境风险评价技术导则》（HJ169-2018），环境风险评价工作等级划分见下表所示。</w:t>
            </w:r>
          </w:p>
          <w:p>
            <w:pPr>
              <w:pStyle w:val="28"/>
              <w:spacing w:before="156"/>
            </w:pPr>
            <w:r>
              <w:t>表</w:t>
            </w:r>
            <w:r>
              <w:rPr>
                <w:rFonts w:hint="eastAsia"/>
              </w:rPr>
              <w:t>5-</w:t>
            </w:r>
            <w:r>
              <w:rPr>
                <w:rFonts w:hint="eastAsia"/>
                <w:lang w:val="en-US" w:eastAsia="zh-CN"/>
              </w:rPr>
              <w:t>2</w:t>
            </w:r>
            <w:r>
              <w:t>评价工作等级划分表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8"/>
              <w:gridCol w:w="1755"/>
              <w:gridCol w:w="895"/>
              <w:gridCol w:w="896"/>
              <w:gridCol w:w="2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2861" w:type="dxa"/>
                  <w:shd w:val="clear" w:color="auto" w:fill="auto"/>
                  <w:vAlign w:val="center"/>
                </w:tcPr>
                <w:p>
                  <w:pPr>
                    <w:pStyle w:val="26"/>
                  </w:pPr>
                  <w:r>
                    <w:t>环境风险潜势</w:t>
                  </w:r>
                </w:p>
              </w:tc>
              <w:tc>
                <w:tcPr>
                  <w:tcW w:w="1901" w:type="dxa"/>
                  <w:shd w:val="clear" w:color="auto" w:fill="auto"/>
                  <w:vAlign w:val="center"/>
                </w:tcPr>
                <w:p>
                  <w:pPr>
                    <w:pStyle w:val="26"/>
                    <w:rPr>
                      <w:vertAlign w:val="superscript"/>
                    </w:rPr>
                  </w:pPr>
                  <w:r>
                    <w:fldChar w:fldCharType="begin"/>
                  </w:r>
                  <w:r>
                    <w:instrText xml:space="preserve">= 4 \* ROMAN</w:instrText>
                  </w:r>
                  <w:r>
                    <w:fldChar w:fldCharType="separate"/>
                  </w:r>
                  <w:r>
                    <w:t>IV</w:t>
                  </w:r>
                  <w:r>
                    <w:fldChar w:fldCharType="end"/>
                  </w:r>
                  <w:r>
                    <w:t>、</w:t>
                  </w:r>
                  <w:r>
                    <w:fldChar w:fldCharType="begin"/>
                  </w:r>
                  <w:r>
                    <w:instrText xml:space="preserve">= 4 \* ROMAN</w:instrText>
                  </w:r>
                  <w:r>
                    <w:fldChar w:fldCharType="separate"/>
                  </w:r>
                  <w:r>
                    <w:t>IV</w:t>
                  </w:r>
                  <w:r>
                    <w:fldChar w:fldCharType="end"/>
                  </w:r>
                  <w:r>
                    <w:rPr>
                      <w:vertAlign w:val="superscript"/>
                    </w:rPr>
                    <w:t>+</w:t>
                  </w:r>
                </w:p>
              </w:tc>
              <w:tc>
                <w:tcPr>
                  <w:tcW w:w="947" w:type="dxa"/>
                  <w:shd w:val="clear" w:color="auto" w:fill="auto"/>
                  <w:vAlign w:val="center"/>
                </w:tcPr>
                <w:p>
                  <w:pPr>
                    <w:pStyle w:val="26"/>
                  </w:pPr>
                  <w:r>
                    <w:fldChar w:fldCharType="begin"/>
                  </w:r>
                  <w:r>
                    <w:instrText xml:space="preserve">= 3 \* ROMAN</w:instrText>
                  </w:r>
                  <w:r>
                    <w:fldChar w:fldCharType="separate"/>
                  </w:r>
                  <w:r>
                    <w:t>III</w:t>
                  </w:r>
                  <w:r>
                    <w:fldChar w:fldCharType="end"/>
                  </w:r>
                </w:p>
              </w:tc>
              <w:tc>
                <w:tcPr>
                  <w:tcW w:w="948" w:type="dxa"/>
                  <w:shd w:val="clear" w:color="auto" w:fill="auto"/>
                  <w:vAlign w:val="center"/>
                </w:tcPr>
                <w:p>
                  <w:pPr>
                    <w:pStyle w:val="26"/>
                  </w:pPr>
                  <w:r>
                    <w:fldChar w:fldCharType="begin"/>
                  </w:r>
                  <w:r>
                    <w:instrText xml:space="preserve">= 2 \* ROMAN</w:instrText>
                  </w:r>
                  <w:r>
                    <w:fldChar w:fldCharType="separate"/>
                  </w:r>
                  <w:r>
                    <w:t>II</w:t>
                  </w:r>
                  <w:r>
                    <w:fldChar w:fldCharType="end"/>
                  </w:r>
                </w:p>
              </w:tc>
              <w:tc>
                <w:tcPr>
                  <w:tcW w:w="2302" w:type="dxa"/>
                  <w:shd w:val="clear" w:color="auto" w:fill="auto"/>
                  <w:vAlign w:val="center"/>
                </w:tcPr>
                <w:p>
                  <w:pPr>
                    <w:pStyle w:val="26"/>
                  </w:pPr>
                  <w:r>
                    <w:fldChar w:fldCharType="begin"/>
                  </w:r>
                  <w:r>
                    <w:instrText xml:space="preserve">= 1 \* ROMAN</w:instrText>
                  </w:r>
                  <w:r>
                    <w:fldChar w:fldCharType="separate"/>
                  </w:r>
                  <w:r>
                    <w:t>I</w:t>
                  </w:r>
                  <w: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2861" w:type="dxa"/>
                  <w:shd w:val="clear" w:color="auto" w:fill="auto"/>
                  <w:vAlign w:val="center"/>
                </w:tcPr>
                <w:p>
                  <w:pPr>
                    <w:pStyle w:val="26"/>
                    <w:rPr>
                      <w:szCs w:val="21"/>
                    </w:rPr>
                  </w:pPr>
                  <w:r>
                    <w:rPr>
                      <w:szCs w:val="21"/>
                    </w:rPr>
                    <w:t>评价工作等级</w:t>
                  </w:r>
                </w:p>
              </w:tc>
              <w:tc>
                <w:tcPr>
                  <w:tcW w:w="1901" w:type="dxa"/>
                  <w:shd w:val="clear" w:color="auto" w:fill="auto"/>
                  <w:vAlign w:val="center"/>
                </w:tcPr>
                <w:p>
                  <w:pPr>
                    <w:pStyle w:val="26"/>
                  </w:pPr>
                  <w:r>
                    <w:t>一</w:t>
                  </w:r>
                </w:p>
              </w:tc>
              <w:tc>
                <w:tcPr>
                  <w:tcW w:w="947" w:type="dxa"/>
                  <w:shd w:val="clear" w:color="auto" w:fill="auto"/>
                  <w:vAlign w:val="center"/>
                </w:tcPr>
                <w:p>
                  <w:pPr>
                    <w:pStyle w:val="26"/>
                  </w:pPr>
                  <w:r>
                    <w:t>二</w:t>
                  </w:r>
                </w:p>
              </w:tc>
              <w:tc>
                <w:tcPr>
                  <w:tcW w:w="948" w:type="dxa"/>
                  <w:shd w:val="clear" w:color="auto" w:fill="auto"/>
                  <w:vAlign w:val="center"/>
                </w:tcPr>
                <w:p>
                  <w:pPr>
                    <w:pStyle w:val="26"/>
                  </w:pPr>
                  <w:r>
                    <w:t>三</w:t>
                  </w:r>
                </w:p>
              </w:tc>
              <w:tc>
                <w:tcPr>
                  <w:tcW w:w="2302" w:type="dxa"/>
                  <w:shd w:val="clear" w:color="auto" w:fill="auto"/>
                  <w:vAlign w:val="center"/>
                </w:tcPr>
                <w:p>
                  <w:pPr>
                    <w:pStyle w:val="26"/>
                    <w:rPr>
                      <w:vertAlign w:val="superscript"/>
                    </w:rPr>
                  </w:pPr>
                  <w:r>
                    <w:t>简单分析</w:t>
                  </w:r>
                  <w:r>
                    <w:rPr>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8959" w:type="dxa"/>
                  <w:gridSpan w:val="5"/>
                  <w:shd w:val="clear" w:color="auto" w:fill="auto"/>
                  <w:vAlign w:val="center"/>
                </w:tcPr>
                <w:p>
                  <w:pPr>
                    <w:pStyle w:val="26"/>
                    <w:jc w:val="both"/>
                  </w:pPr>
                  <w:r>
                    <w:rPr>
                      <w:vertAlign w:val="superscript"/>
                    </w:rPr>
                    <w:t>a</w:t>
                  </w:r>
                  <w:r>
                    <w:t>：是相对于详细评价工作内容而言，在描述危险物质、环境影响途径、环境危害后果、风险防范措施等方面给出定下的说明。详见</w:t>
                  </w:r>
                  <w:r>
                    <w:rPr>
                      <w:rFonts w:hint="eastAsia"/>
                    </w:rPr>
                    <w:t>导则</w:t>
                  </w:r>
                  <w:r>
                    <w:t>附录A。</w:t>
                  </w:r>
                </w:p>
              </w:tc>
            </w:tr>
          </w:tbl>
          <w:p>
            <w:pPr>
              <w:ind w:firstLine="480"/>
            </w:pPr>
            <w:r>
              <w:rPr>
                <w:rFonts w:hint="eastAsia"/>
              </w:rPr>
              <w:t>本项目环境风险潜势为I，根据上表，本项目风险评价工作等级为简单分析。</w:t>
            </w:r>
          </w:p>
          <w:p>
            <w:pPr>
              <w:pStyle w:val="15"/>
              <w:ind w:firstLine="482"/>
            </w:pPr>
            <w:bookmarkStart w:id="5" w:name="_Toc30952"/>
            <w:bookmarkStart w:id="6" w:name="_Toc2247557"/>
            <w:r>
              <w:rPr>
                <w:rFonts w:hint="eastAsia"/>
              </w:rPr>
              <w:t>6.2环境敏感目标概况</w:t>
            </w:r>
            <w:bookmarkEnd w:id="5"/>
            <w:bookmarkEnd w:id="6"/>
          </w:p>
          <w:p>
            <w:pPr>
              <w:ind w:firstLine="480"/>
            </w:pPr>
            <w:bookmarkStart w:id="7" w:name="_Toc420"/>
            <w:bookmarkStart w:id="8" w:name="_Toc2247558"/>
            <w:r>
              <w:rPr>
                <w:rFonts w:hint="eastAsia"/>
              </w:rPr>
              <w:t>（</w:t>
            </w:r>
            <w:r>
              <w:t>1</w:t>
            </w:r>
            <w:r>
              <w:rPr>
                <w:rFonts w:hint="eastAsia"/>
              </w:rPr>
              <w:t>）大气环境敏感目标调查</w:t>
            </w:r>
            <w:bookmarkEnd w:id="7"/>
            <w:bookmarkEnd w:id="8"/>
          </w:p>
          <w:p>
            <w:pPr>
              <w:ind w:firstLine="480"/>
              <w:rPr>
                <w:rFonts w:hint="eastAsia" w:eastAsia="宋体"/>
                <w:lang w:eastAsia="zh-CN"/>
              </w:rPr>
            </w:pPr>
            <w:bookmarkStart w:id="9" w:name="_Toc2247559"/>
            <w:bookmarkStart w:id="10" w:name="_Toc24251"/>
            <w:r>
              <w:rPr>
                <w:rFonts w:hint="eastAsia"/>
                <w:lang w:val="en-US" w:eastAsia="zh-CN"/>
              </w:rPr>
              <w:t>项目区的主要大气污染物是粉尘，在采取洒水降尘措施后粉尘的排放量能够大幅度的降低；其颗粒大，沉降性好，在洒水降尘措施严格落实情况下，临时堆场粉尘的</w:t>
            </w:r>
            <w:r>
              <w:rPr>
                <w:rFonts w:hint="eastAsia" w:ascii="宋体" w:hAnsi="宋体" w:eastAsia="宋体" w:cs="宋体"/>
                <w:color w:val="000000"/>
                <w:kern w:val="0"/>
                <w:sz w:val="24"/>
                <w:szCs w:val="24"/>
                <w:lang w:val="en-US" w:eastAsia="zh-CN" w:bidi="ar"/>
              </w:rPr>
              <w:t>排放对项目区大气环境影响不大。</w:t>
            </w:r>
          </w:p>
          <w:p>
            <w:pPr>
              <w:ind w:firstLine="480"/>
            </w:pPr>
            <w:r>
              <w:rPr>
                <w:rFonts w:hint="eastAsia"/>
              </w:rPr>
              <w:t>（2）地表水环境敏感目标调查</w:t>
            </w:r>
            <w:bookmarkEnd w:id="9"/>
            <w:bookmarkEnd w:id="10"/>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项目工人在矿区搭设临时帐篷。</w:t>
            </w:r>
          </w:p>
          <w:p>
            <w:pPr>
              <w:ind w:firstLine="480"/>
            </w:pPr>
            <w:r>
              <w:rPr>
                <w:rFonts w:hint="eastAsia"/>
              </w:rPr>
              <w:t>每个钻孔采用防渗膜塑料布及支架组装成简易沉淀池，每个规模为5</w:t>
            </w:r>
            <w:r>
              <w:t>m</w:t>
            </w:r>
            <w:r>
              <w:rPr>
                <w:vertAlign w:val="superscript"/>
              </w:rPr>
              <w:t>3</w:t>
            </w:r>
            <w:r>
              <w:rPr>
                <w:rFonts w:hint="eastAsia"/>
              </w:rPr>
              <w:t>，沉淀池采用防渗膜塑料布及支架组装成。生产废水经沉淀后</w:t>
            </w:r>
            <w:r>
              <w:t>循环</w:t>
            </w:r>
            <w:r>
              <w:rPr>
                <w:rFonts w:hint="eastAsia"/>
              </w:rPr>
              <w:t>使用；生活污水</w:t>
            </w:r>
            <w:r>
              <w:rPr>
                <w:rFonts w:hint="eastAsia"/>
                <w:lang w:val="en-US" w:eastAsia="zh-CN"/>
              </w:rPr>
              <w:t>经化粪池处理后用于荒漠灌溉。</w:t>
            </w:r>
            <w:r>
              <w:rPr>
                <w:rFonts w:hint="eastAsia"/>
              </w:rPr>
              <w:t>项目废水不会对地表水体产生影响。因此，项目不设地表水环境敏感目标。</w:t>
            </w:r>
          </w:p>
          <w:p>
            <w:pPr>
              <w:ind w:firstLine="480"/>
            </w:pPr>
            <w:bookmarkStart w:id="11" w:name="_Toc2247560"/>
            <w:bookmarkStart w:id="12" w:name="_Toc25863"/>
            <w:r>
              <w:rPr>
                <w:rFonts w:hint="eastAsia"/>
              </w:rPr>
              <w:t>（3）地下水环境敏感目标调查</w:t>
            </w:r>
            <w:bookmarkEnd w:id="11"/>
            <w:bookmarkEnd w:id="12"/>
          </w:p>
          <w:p>
            <w:pPr>
              <w:ind w:firstLine="480"/>
            </w:pPr>
            <w:r>
              <w:rPr>
                <w:rFonts w:hint="eastAsia"/>
              </w:rPr>
              <w:t>根据现场调查，项目周边均为山体，地势较高，且周边无居民饮用水水源，因此</w:t>
            </w:r>
            <w:r>
              <w:t>项目</w:t>
            </w:r>
            <w:r>
              <w:rPr>
                <w:rFonts w:hint="eastAsia"/>
              </w:rPr>
              <w:t>无</w:t>
            </w:r>
            <w:r>
              <w:t>地下水</w:t>
            </w:r>
            <w:r>
              <w:rPr>
                <w:rFonts w:hint="eastAsia"/>
              </w:rPr>
              <w:t>环境敏感目标</w:t>
            </w:r>
            <w:r>
              <w:t>。</w:t>
            </w:r>
          </w:p>
          <w:p>
            <w:pPr>
              <w:pStyle w:val="15"/>
              <w:ind w:firstLine="482"/>
            </w:pPr>
            <w:bookmarkStart w:id="13" w:name="_Toc12060"/>
            <w:bookmarkStart w:id="14" w:name="_Toc2247561"/>
            <w:r>
              <w:rPr>
                <w:rFonts w:hint="eastAsia"/>
              </w:rPr>
              <w:t>6.3环境风险识别</w:t>
            </w:r>
            <w:bookmarkEnd w:id="13"/>
            <w:bookmarkEnd w:id="14"/>
          </w:p>
          <w:p>
            <w:pPr>
              <w:ind w:firstLine="480"/>
            </w:pPr>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w:t>
            </w:r>
            <w:r>
              <w:rPr>
                <w:rFonts w:hint="eastAsia"/>
                <w:lang w:eastAsia="zh-CN"/>
              </w:rPr>
              <w:t>涉及</w:t>
            </w:r>
            <w:r>
              <w:t>的原辅材料、中间产品以及生产过程中排放的</w:t>
            </w:r>
            <w:r>
              <w:rPr>
                <w:rFonts w:hint="eastAsia"/>
              </w:rPr>
              <w:t>“</w:t>
            </w:r>
            <w:r>
              <w:t>三废</w:t>
            </w:r>
            <w:r>
              <w:rPr>
                <w:rFonts w:hint="eastAsia"/>
              </w:rPr>
              <w:t>”</w:t>
            </w:r>
            <w:r>
              <w:t>污染物等。</w:t>
            </w:r>
          </w:p>
          <w:p>
            <w:pPr>
              <w:ind w:firstLine="480"/>
            </w:pPr>
            <w:bookmarkStart w:id="15" w:name="_Toc2247562"/>
            <w:r>
              <w:rPr>
                <w:rFonts w:hint="eastAsia"/>
              </w:rPr>
              <w:t>（1）风险物质识别</w:t>
            </w:r>
            <w:bookmarkEnd w:id="15"/>
          </w:p>
          <w:p>
            <w:pPr>
              <w:ind w:firstLine="480"/>
            </w:pPr>
            <w:r>
              <w:rPr>
                <w:rFonts w:hint="eastAsia"/>
              </w:rPr>
              <w:t>根据对项目的原辅材料、中间产物和产品等进行分析，项目涉及的风险物质主要为柴油。</w:t>
            </w:r>
          </w:p>
          <w:p>
            <w:pPr>
              <w:ind w:firstLine="480"/>
            </w:pPr>
            <w:r>
              <w:t>柴油的物化特性见表</w:t>
            </w:r>
            <w:r>
              <w:rPr>
                <w:rFonts w:hint="eastAsia"/>
              </w:rPr>
              <w:t>5-</w:t>
            </w:r>
            <w:r>
              <w:rPr>
                <w:rFonts w:hint="eastAsia"/>
                <w:lang w:val="en-US" w:eastAsia="zh-CN"/>
              </w:rPr>
              <w:t>3</w:t>
            </w:r>
            <w:r>
              <w:t>所示。</w:t>
            </w:r>
          </w:p>
          <w:p>
            <w:pPr>
              <w:pStyle w:val="28"/>
              <w:spacing w:before="156"/>
            </w:pPr>
            <w:r>
              <w:t>表</w:t>
            </w:r>
            <w:r>
              <w:rPr>
                <w:rFonts w:hint="eastAsia"/>
              </w:rPr>
              <w:t>5-</w:t>
            </w:r>
            <w:r>
              <w:rPr>
                <w:rFonts w:hint="eastAsia"/>
                <w:lang w:val="en-US" w:eastAsia="zh-CN"/>
              </w:rPr>
              <w:t>3</w:t>
            </w:r>
            <w:r>
              <w:t>柴油物理化学特性表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8"/>
              <w:gridCol w:w="1247"/>
              <w:gridCol w:w="444"/>
              <w:gridCol w:w="459"/>
              <w:gridCol w:w="1469"/>
              <w:gridCol w:w="573"/>
              <w:gridCol w:w="883"/>
              <w:gridCol w:w="1086"/>
              <w:gridCol w:w="800"/>
              <w:gridCol w:w="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00" w:type="pct"/>
                  <w:gridSpan w:val="10"/>
                  <w:vAlign w:val="center"/>
                </w:tcPr>
                <w:p>
                  <w:pPr>
                    <w:pStyle w:val="26"/>
                  </w:pPr>
                  <w:r>
                    <w:t>物料安全数据表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6"/>
                  </w:pPr>
                  <w:r>
                    <w:t>CAS</w:t>
                  </w:r>
                </w:p>
              </w:tc>
              <w:tc>
                <w:tcPr>
                  <w:tcW w:w="753" w:type="pct"/>
                  <w:vAlign w:val="center"/>
                </w:tcPr>
                <w:p>
                  <w:pPr>
                    <w:pStyle w:val="26"/>
                  </w:pPr>
                  <w:r>
                    <w:t>86290-81-5</w:t>
                  </w:r>
                </w:p>
              </w:tc>
              <w:tc>
                <w:tcPr>
                  <w:tcW w:w="545" w:type="pct"/>
                  <w:gridSpan w:val="2"/>
                  <w:vAlign w:val="center"/>
                </w:tcPr>
                <w:p>
                  <w:pPr>
                    <w:pStyle w:val="26"/>
                  </w:pPr>
                  <w:r>
                    <w:t>RTECS</w:t>
                  </w:r>
                </w:p>
              </w:tc>
              <w:tc>
                <w:tcPr>
                  <w:tcW w:w="886" w:type="pct"/>
                  <w:vAlign w:val="center"/>
                </w:tcPr>
                <w:p>
                  <w:pPr>
                    <w:pStyle w:val="26"/>
                  </w:pPr>
                  <w:r>
                    <w:t>HZl770000</w:t>
                  </w:r>
                </w:p>
              </w:tc>
              <w:tc>
                <w:tcPr>
                  <w:tcW w:w="346" w:type="pct"/>
                  <w:vAlign w:val="center"/>
                </w:tcPr>
                <w:p>
                  <w:pPr>
                    <w:pStyle w:val="26"/>
                  </w:pPr>
                  <w:r>
                    <w:t>UN</w:t>
                  </w:r>
                </w:p>
              </w:tc>
              <w:tc>
                <w:tcPr>
                  <w:tcW w:w="533" w:type="pct"/>
                  <w:vAlign w:val="center"/>
                </w:tcPr>
                <w:p>
                  <w:pPr>
                    <w:pStyle w:val="26"/>
                  </w:pPr>
                  <w:r>
                    <w:t>/</w:t>
                  </w:r>
                </w:p>
              </w:tc>
              <w:tc>
                <w:tcPr>
                  <w:tcW w:w="1139" w:type="pct"/>
                  <w:gridSpan w:val="2"/>
                  <w:vAlign w:val="center"/>
                </w:tcPr>
                <w:p>
                  <w:pPr>
                    <w:pStyle w:val="26"/>
                  </w:pPr>
                  <w:r>
                    <w:t>危编号</w:t>
                  </w:r>
                </w:p>
              </w:tc>
              <w:tc>
                <w:tcPr>
                  <w:tcW w:w="286" w:type="pct"/>
                  <w:vAlign w:val="center"/>
                </w:tcPr>
                <w:p>
                  <w:pPr>
                    <w:pStyle w:val="26"/>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6"/>
                  </w:pPr>
                  <w:r>
                    <w:t>中文名称</w:t>
                  </w:r>
                </w:p>
              </w:tc>
              <w:tc>
                <w:tcPr>
                  <w:tcW w:w="2185" w:type="pct"/>
                  <w:gridSpan w:val="4"/>
                  <w:vAlign w:val="center"/>
                </w:tcPr>
                <w:p>
                  <w:pPr>
                    <w:pStyle w:val="26"/>
                  </w:pPr>
                  <w:r>
                    <w:t>柴油（0#普通柴油、车用柴油）</w:t>
                  </w:r>
                </w:p>
              </w:tc>
              <w:tc>
                <w:tcPr>
                  <w:tcW w:w="346" w:type="pct"/>
                  <w:vMerge w:val="restart"/>
                  <w:vAlign w:val="center"/>
                </w:tcPr>
                <w:p>
                  <w:pPr>
                    <w:pStyle w:val="26"/>
                  </w:pPr>
                  <w:r>
                    <w:t>理化性质</w:t>
                  </w:r>
                </w:p>
              </w:tc>
              <w:tc>
                <w:tcPr>
                  <w:tcW w:w="1960" w:type="pct"/>
                  <w:gridSpan w:val="4"/>
                  <w:vAlign w:val="center"/>
                </w:tcPr>
                <w:p>
                  <w:pPr>
                    <w:pStyle w:val="26"/>
                  </w:pPr>
                  <w:r>
                    <w:t>外观及性状</w:t>
                  </w:r>
                  <w:r>
                    <w:rPr>
                      <w:rFonts w:hint="eastAsia"/>
                    </w:rPr>
                    <w:t>：</w:t>
                  </w:r>
                  <w:r>
                    <w:t>稍有粘性的棕色液体。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6"/>
                  </w:pPr>
                  <w:r>
                    <w:t>英文名称</w:t>
                  </w:r>
                </w:p>
              </w:tc>
              <w:tc>
                <w:tcPr>
                  <w:tcW w:w="2185" w:type="pct"/>
                  <w:gridSpan w:val="4"/>
                  <w:vAlign w:val="center"/>
                </w:tcPr>
                <w:p>
                  <w:pPr>
                    <w:pStyle w:val="26"/>
                  </w:pPr>
                  <w:r>
                    <w:t>Dieseloil；Dieselfuel</w:t>
                  </w:r>
                </w:p>
              </w:tc>
              <w:tc>
                <w:tcPr>
                  <w:tcW w:w="346" w:type="pct"/>
                  <w:vMerge w:val="continue"/>
                  <w:vAlign w:val="center"/>
                </w:tcPr>
                <w:p>
                  <w:pPr>
                    <w:pStyle w:val="26"/>
                  </w:pPr>
                </w:p>
              </w:tc>
              <w:tc>
                <w:tcPr>
                  <w:tcW w:w="533" w:type="pct"/>
                  <w:vMerge w:val="restart"/>
                  <w:vAlign w:val="center"/>
                </w:tcPr>
                <w:p>
                  <w:pPr>
                    <w:pStyle w:val="26"/>
                  </w:pPr>
                  <w:r>
                    <w:t>溶解度：不溶</w:t>
                  </w:r>
                </w:p>
              </w:tc>
              <w:tc>
                <w:tcPr>
                  <w:tcW w:w="1426" w:type="pct"/>
                  <w:gridSpan w:val="3"/>
                  <w:vAlign w:val="center"/>
                </w:tcPr>
                <w:p>
                  <w:pPr>
                    <w:pStyle w:val="26"/>
                  </w:pPr>
                  <w:r>
                    <w:rPr>
                      <w:rFonts w:hint="eastAsia"/>
                      <w:lang w:eastAsia="zh-CN"/>
                    </w:rPr>
                    <w:t>蒸汽压</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6"/>
                  </w:pPr>
                  <w:r>
                    <w:t>分子式</w:t>
                  </w:r>
                </w:p>
              </w:tc>
              <w:tc>
                <w:tcPr>
                  <w:tcW w:w="2185" w:type="pct"/>
                  <w:gridSpan w:val="4"/>
                  <w:vAlign w:val="center"/>
                </w:tcPr>
                <w:p>
                  <w:pPr>
                    <w:pStyle w:val="26"/>
                  </w:pPr>
                  <w:r>
                    <w:t>C4</w:t>
                  </w:r>
                  <w:r>
                    <w:rPr>
                      <w:rFonts w:eastAsia="微软雅黑"/>
                    </w:rPr>
                    <w:t>−</w:t>
                  </w:r>
                  <w:r>
                    <w:t>C12(脂肪烃和环烃)</w:t>
                  </w:r>
                </w:p>
              </w:tc>
              <w:tc>
                <w:tcPr>
                  <w:tcW w:w="346" w:type="pct"/>
                  <w:vMerge w:val="continue"/>
                  <w:vAlign w:val="center"/>
                </w:tcPr>
                <w:p>
                  <w:pPr>
                    <w:pStyle w:val="26"/>
                  </w:pPr>
                </w:p>
              </w:tc>
              <w:tc>
                <w:tcPr>
                  <w:tcW w:w="533" w:type="pct"/>
                  <w:vMerge w:val="continue"/>
                  <w:vAlign w:val="center"/>
                </w:tcPr>
                <w:p>
                  <w:pPr>
                    <w:pStyle w:val="26"/>
                  </w:pPr>
                </w:p>
              </w:tc>
              <w:tc>
                <w:tcPr>
                  <w:tcW w:w="656" w:type="pct"/>
                  <w:vMerge w:val="restart"/>
                  <w:vAlign w:val="center"/>
                </w:tcPr>
                <w:p>
                  <w:pPr>
                    <w:pStyle w:val="26"/>
                  </w:pPr>
                  <w:r>
                    <w:t>相对密度</w:t>
                  </w:r>
                </w:p>
              </w:tc>
              <w:tc>
                <w:tcPr>
                  <w:tcW w:w="769" w:type="pct"/>
                  <w:gridSpan w:val="2"/>
                  <w:vAlign w:val="center"/>
                </w:tcPr>
                <w:p>
                  <w:pPr>
                    <w:pStyle w:val="26"/>
                  </w:pPr>
                  <w:r>
                    <w:t>空气：无资料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6"/>
                  </w:pPr>
                  <w:r>
                    <w:t>燃烧爆炸危险性</w:t>
                  </w:r>
                </w:p>
              </w:tc>
              <w:tc>
                <w:tcPr>
                  <w:tcW w:w="1021" w:type="pct"/>
                  <w:gridSpan w:val="2"/>
                  <w:vAlign w:val="center"/>
                </w:tcPr>
                <w:p>
                  <w:pPr>
                    <w:pStyle w:val="26"/>
                  </w:pPr>
                  <w:r>
                    <w:t>闪点</w:t>
                  </w:r>
                  <w:r>
                    <w:rPr>
                      <w:rFonts w:hint="eastAsia"/>
                    </w:rPr>
                    <w:t>：</w:t>
                  </w:r>
                  <w:r>
                    <w:t>62～63℃</w:t>
                  </w:r>
                </w:p>
              </w:tc>
              <w:tc>
                <w:tcPr>
                  <w:tcW w:w="1163" w:type="pct"/>
                  <w:gridSpan w:val="2"/>
                  <w:vAlign w:val="center"/>
                </w:tcPr>
                <w:p>
                  <w:pPr>
                    <w:pStyle w:val="26"/>
                  </w:pPr>
                  <w:r>
                    <w:t>引燃温度(℃)：257℃</w:t>
                  </w:r>
                </w:p>
              </w:tc>
              <w:tc>
                <w:tcPr>
                  <w:tcW w:w="346" w:type="pct"/>
                  <w:vMerge w:val="continue"/>
                  <w:vAlign w:val="center"/>
                </w:tcPr>
                <w:p>
                  <w:pPr>
                    <w:pStyle w:val="26"/>
                  </w:pPr>
                </w:p>
              </w:tc>
              <w:tc>
                <w:tcPr>
                  <w:tcW w:w="533" w:type="pct"/>
                  <w:vMerge w:val="continue"/>
                  <w:vAlign w:val="center"/>
                </w:tcPr>
                <w:p>
                  <w:pPr>
                    <w:pStyle w:val="26"/>
                  </w:pPr>
                </w:p>
              </w:tc>
              <w:tc>
                <w:tcPr>
                  <w:tcW w:w="656" w:type="pct"/>
                  <w:vMerge w:val="continue"/>
                  <w:vAlign w:val="center"/>
                </w:tcPr>
                <w:p>
                  <w:pPr>
                    <w:pStyle w:val="26"/>
                  </w:pPr>
                </w:p>
              </w:tc>
              <w:tc>
                <w:tcPr>
                  <w:tcW w:w="769" w:type="pct"/>
                  <w:gridSpan w:val="2"/>
                  <w:vAlign w:val="center"/>
                </w:tcPr>
                <w:p>
                  <w:pPr>
                    <w:pStyle w:val="26"/>
                  </w:pPr>
                  <w:r>
                    <w:t>水：0.9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1021" w:type="pct"/>
                  <w:gridSpan w:val="2"/>
                  <w:vAlign w:val="center"/>
                </w:tcPr>
                <w:p>
                  <w:pPr>
                    <w:pStyle w:val="26"/>
                  </w:pPr>
                  <w:r>
                    <w:t>自燃点</w:t>
                  </w:r>
                  <w:r>
                    <w:rPr>
                      <w:rFonts w:hint="eastAsia"/>
                    </w:rPr>
                    <w:t>：</w:t>
                  </w:r>
                  <w:r>
                    <w:t>约250℃</w:t>
                  </w:r>
                </w:p>
              </w:tc>
              <w:tc>
                <w:tcPr>
                  <w:tcW w:w="1163" w:type="pct"/>
                  <w:gridSpan w:val="2"/>
                  <w:vAlign w:val="center"/>
                </w:tcPr>
                <w:p>
                  <w:pPr>
                    <w:pStyle w:val="26"/>
                  </w:pPr>
                  <w:r>
                    <w:t>火灾危险性分类</w:t>
                  </w:r>
                  <w:r>
                    <w:rPr>
                      <w:rFonts w:hint="eastAsia"/>
                    </w:rPr>
                    <w:t>：</w:t>
                  </w:r>
                  <w:r>
                    <w:t>乙B</w:t>
                  </w:r>
                </w:p>
              </w:tc>
              <w:tc>
                <w:tcPr>
                  <w:tcW w:w="346" w:type="pct"/>
                  <w:vMerge w:val="restart"/>
                  <w:vAlign w:val="center"/>
                </w:tcPr>
                <w:p>
                  <w:pPr>
                    <w:pStyle w:val="26"/>
                  </w:pPr>
                  <w:r>
                    <w:t>毒害性及健康危害</w:t>
                  </w:r>
                </w:p>
              </w:tc>
              <w:tc>
                <w:tcPr>
                  <w:tcW w:w="1960" w:type="pct"/>
                  <w:gridSpan w:val="4"/>
                  <w:vAlign w:val="center"/>
                </w:tcPr>
                <w:p>
                  <w:pPr>
                    <w:pStyle w:val="26"/>
                  </w:pPr>
                  <w:r>
                    <w:t>职业性接触毒物危害程度分级</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Merge w:val="restart"/>
                  <w:vAlign w:val="center"/>
                </w:tcPr>
                <w:p>
                  <w:pPr>
                    <w:pStyle w:val="26"/>
                  </w:pPr>
                  <w:r>
                    <w:t>危险特性</w:t>
                  </w:r>
                  <w:r>
                    <w:rPr>
                      <w:rFonts w:hint="eastAsia"/>
                    </w:rPr>
                    <w:t>：</w:t>
                  </w:r>
                  <w:r>
                    <w:t>遇明火、高热或与氧化剂接触，有引起燃烧爆炸的危险。若遇高热，容器内压增大，有开裂和爆炸的危险。</w:t>
                  </w:r>
                </w:p>
              </w:tc>
              <w:tc>
                <w:tcPr>
                  <w:tcW w:w="346" w:type="pct"/>
                  <w:vMerge w:val="continue"/>
                  <w:vAlign w:val="center"/>
                </w:tcPr>
                <w:p>
                  <w:pPr>
                    <w:pStyle w:val="26"/>
                  </w:pPr>
                </w:p>
              </w:tc>
              <w:tc>
                <w:tcPr>
                  <w:tcW w:w="1960" w:type="pct"/>
                  <w:gridSpan w:val="4"/>
                  <w:vAlign w:val="center"/>
                </w:tcPr>
                <w:p>
                  <w:pPr>
                    <w:pStyle w:val="26"/>
                  </w:pPr>
                  <w:r>
                    <w:t>毒性资料</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Merge w:val="continue"/>
                  <w:vAlign w:val="center"/>
                </w:tcPr>
                <w:p>
                  <w:pPr>
                    <w:pStyle w:val="26"/>
                  </w:pPr>
                </w:p>
              </w:tc>
              <w:tc>
                <w:tcPr>
                  <w:tcW w:w="346" w:type="pct"/>
                  <w:vMerge w:val="continue"/>
                  <w:vAlign w:val="center"/>
                </w:tcPr>
                <w:p>
                  <w:pPr>
                    <w:pStyle w:val="26"/>
                  </w:pPr>
                </w:p>
              </w:tc>
              <w:tc>
                <w:tcPr>
                  <w:tcW w:w="1960" w:type="pct"/>
                  <w:gridSpan w:val="4"/>
                  <w:vAlign w:val="center"/>
                </w:tcPr>
                <w:p>
                  <w:pPr>
                    <w:pStyle w:val="26"/>
                  </w:pPr>
                  <w:r>
                    <w:t>职业接触限值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Merge w:val="continue"/>
                  <w:vAlign w:val="center"/>
                </w:tcPr>
                <w:p>
                  <w:pPr>
                    <w:pStyle w:val="26"/>
                  </w:pPr>
                </w:p>
              </w:tc>
              <w:tc>
                <w:tcPr>
                  <w:tcW w:w="346" w:type="pct"/>
                  <w:vMerge w:val="continue"/>
                  <w:vAlign w:val="center"/>
                </w:tcPr>
                <w:p>
                  <w:pPr>
                    <w:pStyle w:val="26"/>
                  </w:pPr>
                </w:p>
              </w:tc>
              <w:tc>
                <w:tcPr>
                  <w:tcW w:w="1960" w:type="pct"/>
                  <w:gridSpan w:val="4"/>
                  <w:vAlign w:val="center"/>
                </w:tcPr>
                <w:p>
                  <w:pPr>
                    <w:pStyle w:val="26"/>
                  </w:pPr>
                  <w:r>
                    <w:t>MAC</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燃烧(分解)产物</w:t>
                  </w:r>
                  <w:r>
                    <w:rPr>
                      <w:rFonts w:hint="eastAsia"/>
                    </w:rPr>
                    <w:t>：</w:t>
                  </w:r>
                  <w:r>
                    <w:t>一氧化碳、二氧化碳。</w:t>
                  </w:r>
                </w:p>
              </w:tc>
              <w:tc>
                <w:tcPr>
                  <w:tcW w:w="346" w:type="pct"/>
                  <w:vMerge w:val="continue"/>
                  <w:vAlign w:val="center"/>
                </w:tcPr>
                <w:p>
                  <w:pPr>
                    <w:pStyle w:val="26"/>
                  </w:pPr>
                </w:p>
              </w:tc>
              <w:tc>
                <w:tcPr>
                  <w:tcW w:w="1960" w:type="pct"/>
                  <w:gridSpan w:val="4"/>
                  <w:vAlign w:val="center"/>
                </w:tcPr>
                <w:p>
                  <w:pPr>
                    <w:pStyle w:val="26"/>
                  </w:pPr>
                  <w:r>
                    <w:t>PC-TWA</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禁忌物</w:t>
                  </w:r>
                  <w:r>
                    <w:rPr>
                      <w:rFonts w:hint="eastAsia"/>
                    </w:rPr>
                    <w:t>：</w:t>
                  </w:r>
                  <w:r>
                    <w:t>强氧化剂、卤素。</w:t>
                  </w:r>
                </w:p>
              </w:tc>
              <w:tc>
                <w:tcPr>
                  <w:tcW w:w="346" w:type="pct"/>
                  <w:vMerge w:val="continue"/>
                  <w:vAlign w:val="center"/>
                </w:tcPr>
                <w:p>
                  <w:pPr>
                    <w:pStyle w:val="26"/>
                  </w:pPr>
                </w:p>
              </w:tc>
              <w:tc>
                <w:tcPr>
                  <w:tcW w:w="1960" w:type="pct"/>
                  <w:gridSpan w:val="4"/>
                  <w:vAlign w:val="center"/>
                </w:tcPr>
                <w:p>
                  <w:pPr>
                    <w:pStyle w:val="26"/>
                  </w:pPr>
                  <w:r>
                    <w:t>PC-STEL</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避免接触的条件</w:t>
                  </w:r>
                  <w:r>
                    <w:rPr>
                      <w:rFonts w:hint="eastAsia"/>
                    </w:rPr>
                    <w:t>：</w:t>
                  </w:r>
                  <w:r>
                    <w:t>无资料</w:t>
                  </w:r>
                </w:p>
              </w:tc>
              <w:tc>
                <w:tcPr>
                  <w:tcW w:w="346" w:type="pct"/>
                  <w:vMerge w:val="continue"/>
                  <w:vAlign w:val="center"/>
                </w:tcPr>
                <w:p>
                  <w:pPr>
                    <w:pStyle w:val="26"/>
                  </w:pPr>
                </w:p>
              </w:tc>
              <w:tc>
                <w:tcPr>
                  <w:tcW w:w="1960" w:type="pct"/>
                  <w:gridSpan w:val="4"/>
                  <w:vAlign w:val="center"/>
                </w:tcPr>
                <w:p>
                  <w:pPr>
                    <w:pStyle w:val="26"/>
                  </w:pPr>
                  <w:r>
                    <w:t>侵入途径及健康危害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灭火剂</w:t>
                  </w:r>
                  <w:r>
                    <w:rPr>
                      <w:rFonts w:hint="eastAsia"/>
                    </w:rPr>
                    <w:t>：</w:t>
                  </w:r>
                  <w:r>
                    <w:t>泡沫、二氧化碳、干粉、1211灭火剂、砂土。</w:t>
                  </w:r>
                </w:p>
              </w:tc>
              <w:tc>
                <w:tcPr>
                  <w:tcW w:w="346" w:type="pct"/>
                  <w:vMerge w:val="continue"/>
                  <w:vAlign w:val="center"/>
                </w:tcPr>
                <w:p>
                  <w:pPr>
                    <w:pStyle w:val="26"/>
                  </w:pPr>
                </w:p>
              </w:tc>
              <w:tc>
                <w:tcPr>
                  <w:tcW w:w="1960" w:type="pct"/>
                  <w:gridSpan w:val="4"/>
                  <w:vAlign w:val="center"/>
                </w:tcPr>
                <w:p>
                  <w:pPr>
                    <w:pStyle w:val="26"/>
                  </w:pPr>
                  <w:r>
                    <w:t>侵入途径</w:t>
                  </w:r>
                  <w:r>
                    <w:rPr>
                      <w:rFonts w:hint="eastAsia"/>
                    </w:rPr>
                    <w:t>：</w:t>
                  </w:r>
                  <w:r>
                    <w:t>吸入</w:t>
                  </w:r>
                  <w:r>
                    <w:rPr>
                      <w:rFonts w:hint="eastAsia"/>
                    </w:rPr>
                    <w:t>、</w:t>
                  </w:r>
                  <w:r>
                    <w:t>食入</w:t>
                  </w:r>
                  <w:r>
                    <w:rPr>
                      <w:rFonts w:hint="eastAsia"/>
                    </w:rPr>
                    <w:t>、</w:t>
                  </w:r>
                  <w:r>
                    <w:t>经皮吸收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禁用灭火剂</w:t>
                  </w:r>
                  <w:r>
                    <w:rPr>
                      <w:rFonts w:hint="eastAsia"/>
                    </w:rPr>
                    <w:t>：</w:t>
                  </w:r>
                  <w:r>
                    <w:t>水</w:t>
                  </w:r>
                </w:p>
              </w:tc>
              <w:tc>
                <w:tcPr>
                  <w:tcW w:w="346" w:type="pct"/>
                  <w:vMerge w:val="continue"/>
                  <w:vAlign w:val="center"/>
                </w:tcPr>
                <w:p>
                  <w:pPr>
                    <w:pStyle w:val="26"/>
                  </w:pPr>
                </w:p>
              </w:tc>
              <w:tc>
                <w:tcPr>
                  <w:tcW w:w="1960" w:type="pct"/>
                  <w:gridSpan w:val="4"/>
                  <w:vMerge w:val="restart"/>
                  <w:vAlign w:val="center"/>
                </w:tcPr>
                <w:p>
                  <w:pPr>
                    <w:pStyle w:val="26"/>
                  </w:pPr>
                  <w:r>
                    <w:t>健康危害</w:t>
                  </w:r>
                  <w:r>
                    <w:rPr>
                      <w:rFonts w:hint="eastAsia"/>
                    </w:rPr>
                    <w:t>：</w:t>
                  </w:r>
                  <w:r>
                    <w:t>皮肤接触柴油可引起接触性皮炎、油性痤疮，吸入可引起吸入性肺炎。能经胎盘进入胎儿血中。柴油废气可引起眼、鼻刺激症状，头晕及头痛。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6"/>
                  </w:pPr>
                  <w:r>
                    <w:t>急救措施</w:t>
                  </w:r>
                </w:p>
              </w:tc>
              <w:tc>
                <w:tcPr>
                  <w:tcW w:w="2185" w:type="pct"/>
                  <w:gridSpan w:val="4"/>
                  <w:vAlign w:val="center"/>
                </w:tcPr>
                <w:p>
                  <w:pPr>
                    <w:pStyle w:val="26"/>
                  </w:pPr>
                  <w:r>
                    <w:t>皮肤接触</w:t>
                  </w:r>
                  <w:r>
                    <w:rPr>
                      <w:rFonts w:hint="eastAsia"/>
                    </w:rPr>
                    <w:t>：</w:t>
                  </w:r>
                  <w:r>
                    <w:t>脱去污染的衣着，用肥皂和大量清水清洗污染皮肤。</w:t>
                  </w:r>
                </w:p>
              </w:tc>
              <w:tc>
                <w:tcPr>
                  <w:tcW w:w="346" w:type="pct"/>
                  <w:vMerge w:val="continue"/>
                  <w:vAlign w:val="center"/>
                </w:tcPr>
                <w:p>
                  <w:pPr>
                    <w:pStyle w:val="26"/>
                  </w:pPr>
                </w:p>
              </w:tc>
              <w:tc>
                <w:tcPr>
                  <w:tcW w:w="1960" w:type="pct"/>
                  <w:gridSpan w:val="4"/>
                  <w:vMerge w:val="continue"/>
                  <w:vAlign w:val="center"/>
                </w:tcPr>
                <w:p>
                  <w:pPr>
                    <w:pStyle w:val="26"/>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眼睛接触：无资料</w:t>
                  </w:r>
                </w:p>
              </w:tc>
              <w:tc>
                <w:tcPr>
                  <w:tcW w:w="346" w:type="pct"/>
                  <w:vMerge w:val="continue"/>
                  <w:vAlign w:val="center"/>
                </w:tcPr>
                <w:p>
                  <w:pPr>
                    <w:pStyle w:val="26"/>
                  </w:pPr>
                </w:p>
              </w:tc>
              <w:tc>
                <w:tcPr>
                  <w:tcW w:w="1960" w:type="pct"/>
                  <w:gridSpan w:val="4"/>
                  <w:vMerge w:val="continue"/>
                  <w:vAlign w:val="center"/>
                </w:tcPr>
                <w:p>
                  <w:pPr>
                    <w:pStyle w:val="26"/>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吸入：无资料</w:t>
                  </w:r>
                </w:p>
              </w:tc>
              <w:tc>
                <w:tcPr>
                  <w:tcW w:w="346" w:type="pct"/>
                  <w:vMerge w:val="restart"/>
                  <w:vAlign w:val="center"/>
                </w:tcPr>
                <w:p>
                  <w:pPr>
                    <w:pStyle w:val="26"/>
                  </w:pPr>
                  <w:r>
                    <w:t>泄漏处理</w:t>
                  </w:r>
                </w:p>
              </w:tc>
              <w:tc>
                <w:tcPr>
                  <w:tcW w:w="1960" w:type="pct"/>
                  <w:gridSpan w:val="4"/>
                  <w:vMerge w:val="restart"/>
                  <w:vAlign w:val="center"/>
                </w:tcPr>
                <w:p>
                  <w:pPr>
                    <w:pStyle w:val="26"/>
                  </w:pPr>
                  <w:r>
                    <w:t>切断火源。应急处理人员戴好防毒面具，穿化学防护服。在确保安全情况下堵漏。用活性炭或</w:t>
                  </w:r>
                  <w:r>
                    <w:rPr>
                      <w:rFonts w:hint="eastAsia"/>
                      <w:lang w:eastAsia="zh-CN"/>
                    </w:rPr>
                    <w:t>其他</w:t>
                  </w:r>
                  <w:r>
                    <w:t>惰性材料吸收，然后收集运到空旷处焚烧。如大量泄漏，利用围堤收容，然后收集、转移、回收或无害处理后废弃。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食入：无资料</w:t>
                  </w:r>
                </w:p>
              </w:tc>
              <w:tc>
                <w:tcPr>
                  <w:tcW w:w="346" w:type="pct"/>
                  <w:vMerge w:val="continue"/>
                  <w:vAlign w:val="center"/>
                </w:tcPr>
                <w:p>
                  <w:pPr>
                    <w:pStyle w:val="26"/>
                  </w:pPr>
                </w:p>
              </w:tc>
              <w:tc>
                <w:tcPr>
                  <w:tcW w:w="1960" w:type="pct"/>
                  <w:gridSpan w:val="4"/>
                  <w:vMerge w:val="continue"/>
                  <w:vAlign w:val="center"/>
                </w:tcPr>
                <w:p>
                  <w:pPr>
                    <w:pStyle w:val="26"/>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6"/>
                  </w:pPr>
                  <w:r>
                    <w:t>防护措施</w:t>
                  </w:r>
                </w:p>
              </w:tc>
              <w:tc>
                <w:tcPr>
                  <w:tcW w:w="2185" w:type="pct"/>
                  <w:gridSpan w:val="4"/>
                  <w:vAlign w:val="center"/>
                </w:tcPr>
                <w:p>
                  <w:pPr>
                    <w:pStyle w:val="26"/>
                  </w:pPr>
                  <w:r>
                    <w:t>呼吸系统防护</w:t>
                  </w:r>
                  <w:r>
                    <w:rPr>
                      <w:rFonts w:hint="eastAsia"/>
                    </w:rPr>
                    <w:t>：</w:t>
                  </w:r>
                  <w:r>
                    <w:t>一般不需特殊防护，但建议特殊情况下，</w:t>
                  </w:r>
                  <w:r>
                    <w:rPr>
                      <w:rFonts w:hint="eastAsia"/>
                      <w:lang w:eastAsia="zh-CN"/>
                    </w:rPr>
                    <w:t>佩戴</w:t>
                  </w:r>
                  <w:r>
                    <w:t>供气式呼吸器。</w:t>
                  </w:r>
                </w:p>
              </w:tc>
              <w:tc>
                <w:tcPr>
                  <w:tcW w:w="346" w:type="pct"/>
                  <w:vMerge w:val="continue"/>
                  <w:vAlign w:val="center"/>
                </w:tcPr>
                <w:p>
                  <w:pPr>
                    <w:pStyle w:val="26"/>
                  </w:pPr>
                </w:p>
              </w:tc>
              <w:tc>
                <w:tcPr>
                  <w:tcW w:w="1960" w:type="pct"/>
                  <w:gridSpan w:val="4"/>
                  <w:vMerge w:val="continue"/>
                  <w:vAlign w:val="center"/>
                </w:tcPr>
                <w:p>
                  <w:pPr>
                    <w:pStyle w:val="26"/>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眼睛防护</w:t>
                  </w:r>
                  <w:r>
                    <w:rPr>
                      <w:rFonts w:hint="eastAsia"/>
                    </w:rPr>
                    <w:t>：</w:t>
                  </w:r>
                  <w:r>
                    <w:t>必要时戴安全防护眼镜。</w:t>
                  </w:r>
                </w:p>
              </w:tc>
              <w:tc>
                <w:tcPr>
                  <w:tcW w:w="346" w:type="pct"/>
                  <w:vMerge w:val="continue"/>
                  <w:vAlign w:val="center"/>
                </w:tcPr>
                <w:p>
                  <w:pPr>
                    <w:pStyle w:val="26"/>
                  </w:pPr>
                </w:p>
              </w:tc>
              <w:tc>
                <w:tcPr>
                  <w:tcW w:w="1960" w:type="pct"/>
                  <w:gridSpan w:val="4"/>
                  <w:vMerge w:val="continue"/>
                  <w:vAlign w:val="center"/>
                </w:tcPr>
                <w:p>
                  <w:pPr>
                    <w:pStyle w:val="26"/>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手防护</w:t>
                  </w:r>
                  <w:r>
                    <w:rPr>
                      <w:rFonts w:hint="eastAsia"/>
                    </w:rPr>
                    <w:t>：</w:t>
                  </w:r>
                  <w:r>
                    <w:t>必要时戴防护手套。</w:t>
                  </w:r>
                </w:p>
              </w:tc>
              <w:tc>
                <w:tcPr>
                  <w:tcW w:w="346" w:type="pct"/>
                  <w:vMerge w:val="restart"/>
                  <w:vAlign w:val="center"/>
                </w:tcPr>
                <w:p>
                  <w:pPr>
                    <w:pStyle w:val="26"/>
                  </w:pPr>
                  <w:r>
                    <w:t>包装</w:t>
                  </w:r>
                </w:p>
              </w:tc>
              <w:tc>
                <w:tcPr>
                  <w:tcW w:w="1960" w:type="pct"/>
                  <w:gridSpan w:val="4"/>
                  <w:vAlign w:val="center"/>
                </w:tcPr>
                <w:p>
                  <w:pPr>
                    <w:pStyle w:val="26"/>
                  </w:pPr>
                  <w:r>
                    <w:t>危险性类别：第3.3类中闪点易燃液体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6"/>
                  </w:pPr>
                </w:p>
              </w:tc>
              <w:tc>
                <w:tcPr>
                  <w:tcW w:w="2185" w:type="pct"/>
                  <w:gridSpan w:val="4"/>
                  <w:vAlign w:val="center"/>
                </w:tcPr>
                <w:p>
                  <w:pPr>
                    <w:pStyle w:val="26"/>
                  </w:pPr>
                  <w:r>
                    <w:t>身体防护</w:t>
                  </w:r>
                  <w:r>
                    <w:rPr>
                      <w:rFonts w:hint="eastAsia"/>
                    </w:rPr>
                    <w:t>：</w:t>
                  </w:r>
                  <w:r>
                    <w:t>穿防静电工作服；必要时戴防护手套。</w:t>
                  </w:r>
                </w:p>
              </w:tc>
              <w:tc>
                <w:tcPr>
                  <w:tcW w:w="346" w:type="pct"/>
                  <w:vMerge w:val="continue"/>
                  <w:vAlign w:val="center"/>
                </w:tcPr>
                <w:p>
                  <w:pPr>
                    <w:pStyle w:val="26"/>
                  </w:pPr>
                </w:p>
              </w:tc>
              <w:tc>
                <w:tcPr>
                  <w:tcW w:w="1960" w:type="pct"/>
                  <w:gridSpan w:val="4"/>
                  <w:vAlign w:val="center"/>
                </w:tcPr>
                <w:p>
                  <w:pPr>
                    <w:pStyle w:val="26"/>
                  </w:pPr>
                  <w:r>
                    <w:t>危险货物包装标志：7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6"/>
                  </w:pPr>
                  <w:r>
                    <w:t>储存</w:t>
                  </w:r>
                </w:p>
              </w:tc>
              <w:tc>
                <w:tcPr>
                  <w:tcW w:w="4492" w:type="pct"/>
                  <w:gridSpan w:val="9"/>
                  <w:vAlign w:val="center"/>
                </w:tcPr>
                <w:p>
                  <w:pPr>
                    <w:pStyle w:val="26"/>
                  </w:pPr>
                  <w:r>
                    <w:t>储运注意事项：储存于阴凉、通风仓内。远离火种、热源。防止阳光直射。保持容器密封。应与氧化剂分开存放。桶装堆垛不可过大，应留墙距、顶距、柱距及必要的防火检查走道。罐储时要有防火防爆技术措施。禁止使用易产生火花的机械设备和工具。充装要控制流速，注意防止静电积聚。搬运时要轻装轻卸，防止包装及容器损坏。</w:t>
                  </w:r>
                </w:p>
              </w:tc>
            </w:tr>
          </w:tbl>
          <w:p>
            <w:pPr>
              <w:ind w:firstLine="480"/>
            </w:pPr>
            <w:bookmarkStart w:id="16" w:name="_Toc2247563"/>
            <w:r>
              <w:rPr>
                <w:rFonts w:hint="eastAsia"/>
              </w:rPr>
              <w:t>（2）</w:t>
            </w:r>
            <w:r>
              <w:t>生产</w:t>
            </w:r>
            <w:r>
              <w:rPr>
                <w:rFonts w:hint="eastAsia"/>
              </w:rPr>
              <w:t>系统危险性识别</w:t>
            </w:r>
            <w:bookmarkEnd w:id="16"/>
          </w:p>
          <w:p>
            <w:pPr>
              <w:ind w:firstLine="480"/>
            </w:pPr>
            <w:r>
              <w:rPr>
                <w:rFonts w:hint="eastAsia"/>
              </w:rPr>
              <w:t>项目生产系统危险因素见表5-</w:t>
            </w:r>
            <w:r>
              <w:rPr>
                <w:rFonts w:hint="eastAsia"/>
                <w:lang w:val="en-US" w:eastAsia="zh-CN"/>
              </w:rPr>
              <w:t>4</w:t>
            </w:r>
            <w:r>
              <w:rPr>
                <w:rFonts w:hint="eastAsia"/>
              </w:rPr>
              <w:t>。</w:t>
            </w:r>
          </w:p>
          <w:p>
            <w:pPr>
              <w:pStyle w:val="28"/>
              <w:spacing w:before="156"/>
            </w:pPr>
            <w:r>
              <w:t>表</w:t>
            </w:r>
            <w:r>
              <w:rPr>
                <w:rFonts w:hint="eastAsia"/>
              </w:rPr>
              <w:t>5-</w:t>
            </w:r>
            <w:r>
              <w:rPr>
                <w:rFonts w:hint="eastAsia"/>
                <w:lang w:val="en-US" w:eastAsia="zh-CN"/>
              </w:rPr>
              <w:t>4</w:t>
            </w:r>
            <w:r>
              <w:t>项目生产过程危害因素分析汇总一览表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1309"/>
              <w:gridCol w:w="1047"/>
              <w:gridCol w:w="1047"/>
              <w:gridCol w:w="1441"/>
              <w:gridCol w:w="2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11" w:type="pct"/>
                  <w:vAlign w:val="center"/>
                </w:tcPr>
                <w:p>
                  <w:pPr>
                    <w:pStyle w:val="29"/>
                  </w:pPr>
                  <w:r>
                    <w:t>序号</w:t>
                  </w:r>
                </w:p>
              </w:tc>
              <w:tc>
                <w:tcPr>
                  <w:tcW w:w="790" w:type="pct"/>
                  <w:vAlign w:val="center"/>
                </w:tcPr>
                <w:p>
                  <w:pPr>
                    <w:pStyle w:val="29"/>
                  </w:pPr>
                  <w:r>
                    <w:t>装置名称</w:t>
                  </w:r>
                </w:p>
              </w:tc>
              <w:tc>
                <w:tcPr>
                  <w:tcW w:w="632" w:type="pct"/>
                  <w:vAlign w:val="center"/>
                </w:tcPr>
                <w:p>
                  <w:pPr>
                    <w:pStyle w:val="29"/>
                  </w:pPr>
                  <w:r>
                    <w:t>作业特点</w:t>
                  </w:r>
                </w:p>
              </w:tc>
              <w:tc>
                <w:tcPr>
                  <w:tcW w:w="632" w:type="pct"/>
                  <w:vAlign w:val="center"/>
                </w:tcPr>
                <w:p>
                  <w:pPr>
                    <w:pStyle w:val="29"/>
                  </w:pPr>
                  <w:r>
                    <w:t>物料名称</w:t>
                  </w:r>
                </w:p>
              </w:tc>
              <w:tc>
                <w:tcPr>
                  <w:tcW w:w="870" w:type="pct"/>
                  <w:vAlign w:val="center"/>
                </w:tcPr>
                <w:p>
                  <w:pPr>
                    <w:pStyle w:val="29"/>
                  </w:pPr>
                  <w:r>
                    <w:t>危险因素</w:t>
                  </w:r>
                </w:p>
              </w:tc>
              <w:tc>
                <w:tcPr>
                  <w:tcW w:w="1661" w:type="pct"/>
                  <w:vAlign w:val="center"/>
                </w:tcPr>
                <w:p>
                  <w:pPr>
                    <w:pStyle w:val="29"/>
                  </w:pPr>
                  <w:r>
                    <w:t>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11" w:type="pct"/>
                  <w:vAlign w:val="center"/>
                </w:tcPr>
                <w:p>
                  <w:pPr>
                    <w:pStyle w:val="29"/>
                  </w:pPr>
                  <w:r>
                    <w:t>1</w:t>
                  </w:r>
                </w:p>
              </w:tc>
              <w:tc>
                <w:tcPr>
                  <w:tcW w:w="790" w:type="pct"/>
                  <w:vAlign w:val="center"/>
                </w:tcPr>
                <w:p>
                  <w:pPr>
                    <w:pStyle w:val="29"/>
                  </w:pPr>
                  <w:r>
                    <w:rPr>
                      <w:rFonts w:hint="eastAsia"/>
                    </w:rPr>
                    <w:t>柴油车</w:t>
                  </w:r>
                </w:p>
              </w:tc>
              <w:tc>
                <w:tcPr>
                  <w:tcW w:w="632" w:type="pct"/>
                  <w:vAlign w:val="center"/>
                </w:tcPr>
                <w:p>
                  <w:pPr>
                    <w:pStyle w:val="29"/>
                  </w:pPr>
                  <w:r>
                    <w:t>泄漏</w:t>
                  </w:r>
                </w:p>
              </w:tc>
              <w:tc>
                <w:tcPr>
                  <w:tcW w:w="632" w:type="pct"/>
                  <w:vAlign w:val="center"/>
                </w:tcPr>
                <w:p>
                  <w:pPr>
                    <w:pStyle w:val="29"/>
                  </w:pPr>
                  <w:r>
                    <w:rPr>
                      <w:rFonts w:hint="eastAsia"/>
                    </w:rPr>
                    <w:t>柴油</w:t>
                  </w:r>
                </w:p>
              </w:tc>
              <w:tc>
                <w:tcPr>
                  <w:tcW w:w="870" w:type="pct"/>
                  <w:vAlign w:val="center"/>
                </w:tcPr>
                <w:p>
                  <w:pPr>
                    <w:pStyle w:val="29"/>
                  </w:pPr>
                  <w:r>
                    <w:t>火灾、爆炸、泄漏</w:t>
                  </w:r>
                </w:p>
              </w:tc>
              <w:tc>
                <w:tcPr>
                  <w:tcW w:w="1661" w:type="pct"/>
                  <w:vAlign w:val="center"/>
                </w:tcPr>
                <w:p>
                  <w:pPr>
                    <w:pStyle w:val="29"/>
                  </w:pPr>
                  <w:r>
                    <w:t>泄漏、火灾、污染土壤</w:t>
                  </w:r>
                  <w:r>
                    <w:rPr>
                      <w:rFonts w:hint="eastAsia"/>
                    </w:rPr>
                    <w:t>、地下水</w:t>
                  </w:r>
                  <w:r>
                    <w:t>或大气</w:t>
                  </w:r>
                </w:p>
              </w:tc>
            </w:tr>
          </w:tbl>
          <w:p>
            <w:pPr>
              <w:ind w:firstLine="480"/>
            </w:pPr>
            <w:bookmarkStart w:id="17" w:name="_Toc22748"/>
            <w:bookmarkStart w:id="18" w:name="_Toc2247564"/>
            <w:r>
              <w:rPr>
                <w:rFonts w:hint="eastAsia"/>
              </w:rPr>
              <w:t>（3）环境风险类型及危害分析</w:t>
            </w:r>
            <w:bookmarkEnd w:id="17"/>
            <w:bookmarkEnd w:id="18"/>
          </w:p>
          <w:p>
            <w:pPr>
              <w:ind w:firstLine="480"/>
            </w:pPr>
            <w:r>
              <w:rPr>
                <w:rFonts w:hint="eastAsia"/>
              </w:rPr>
              <w:t>根据对项目的物质和生产系统危险性的识别，项目可能发生的突发环境风险事件类型及危害分析见表5-</w:t>
            </w:r>
            <w:r>
              <w:rPr>
                <w:rFonts w:hint="eastAsia"/>
                <w:lang w:val="en-US" w:eastAsia="zh-CN"/>
              </w:rPr>
              <w:t>5</w:t>
            </w:r>
            <w:r>
              <w:rPr>
                <w:rFonts w:hint="eastAsia"/>
              </w:rPr>
              <w:t>：</w:t>
            </w:r>
          </w:p>
          <w:p>
            <w:pPr>
              <w:pStyle w:val="28"/>
              <w:spacing w:before="156"/>
            </w:pPr>
            <w:r>
              <w:t>表</w:t>
            </w:r>
            <w:r>
              <w:rPr>
                <w:rFonts w:hint="eastAsia"/>
              </w:rPr>
              <w:t>5-</w:t>
            </w:r>
            <w:r>
              <w:rPr>
                <w:rFonts w:hint="eastAsia"/>
                <w:lang w:val="en-US" w:eastAsia="zh-CN"/>
              </w:rPr>
              <w:t>5</w:t>
            </w:r>
            <w:r>
              <w:t>项目</w:t>
            </w:r>
            <w:r>
              <w:rPr>
                <w:rFonts w:hint="eastAsia"/>
              </w:rPr>
              <w:t>环境风险类型及危害分析</w:t>
            </w:r>
            <w:r>
              <w:t>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97"/>
              <w:gridCol w:w="1198"/>
              <w:gridCol w:w="1198"/>
              <w:gridCol w:w="1198"/>
              <w:gridCol w:w="3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29"/>
                  </w:pPr>
                  <w:r>
                    <w:t>风险单元</w:t>
                  </w:r>
                </w:p>
              </w:tc>
              <w:tc>
                <w:tcPr>
                  <w:tcW w:w="723" w:type="pct"/>
                  <w:vAlign w:val="center"/>
                </w:tcPr>
                <w:p>
                  <w:pPr>
                    <w:pStyle w:val="29"/>
                  </w:pPr>
                  <w:r>
                    <w:t>危险设备</w:t>
                  </w:r>
                </w:p>
              </w:tc>
              <w:tc>
                <w:tcPr>
                  <w:tcW w:w="723" w:type="pct"/>
                  <w:vAlign w:val="center"/>
                </w:tcPr>
                <w:p>
                  <w:pPr>
                    <w:pStyle w:val="29"/>
                  </w:pPr>
                  <w:r>
                    <w:t>事故种类</w:t>
                  </w:r>
                </w:p>
              </w:tc>
              <w:tc>
                <w:tcPr>
                  <w:tcW w:w="723" w:type="pct"/>
                  <w:vAlign w:val="center"/>
                </w:tcPr>
                <w:p>
                  <w:pPr>
                    <w:pStyle w:val="29"/>
                  </w:pPr>
                  <w:r>
                    <w:t>产生原因</w:t>
                  </w:r>
                </w:p>
              </w:tc>
              <w:tc>
                <w:tcPr>
                  <w:tcW w:w="2105" w:type="pct"/>
                  <w:vAlign w:val="center"/>
                </w:tcPr>
                <w:p>
                  <w:pPr>
                    <w:pStyle w:val="29"/>
                  </w:pPr>
                  <w:r>
                    <w:rPr>
                      <w:rFonts w:hint="eastAsia"/>
                    </w:rPr>
                    <w:t>危害后果分析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Merge w:val="restart"/>
                  <w:vAlign w:val="center"/>
                </w:tcPr>
                <w:p>
                  <w:pPr>
                    <w:pStyle w:val="29"/>
                  </w:pPr>
                  <w:r>
                    <w:rPr>
                      <w:rFonts w:hint="eastAsia"/>
                    </w:rPr>
                    <w:t>危险化学品</w:t>
                  </w:r>
                </w:p>
              </w:tc>
              <w:tc>
                <w:tcPr>
                  <w:tcW w:w="723" w:type="pct"/>
                  <w:vMerge w:val="restart"/>
                  <w:vAlign w:val="center"/>
                </w:tcPr>
                <w:p>
                  <w:pPr>
                    <w:pStyle w:val="29"/>
                  </w:pPr>
                  <w:r>
                    <w:rPr>
                      <w:rFonts w:hint="eastAsia"/>
                    </w:rPr>
                    <w:t>柴油</w:t>
                  </w:r>
                </w:p>
              </w:tc>
              <w:tc>
                <w:tcPr>
                  <w:tcW w:w="723" w:type="pct"/>
                  <w:vMerge w:val="restart"/>
                  <w:vAlign w:val="center"/>
                </w:tcPr>
                <w:p>
                  <w:pPr>
                    <w:pStyle w:val="29"/>
                  </w:pPr>
                  <w:r>
                    <w:t>泄漏</w:t>
                  </w:r>
                </w:p>
              </w:tc>
              <w:tc>
                <w:tcPr>
                  <w:tcW w:w="723" w:type="pct"/>
                  <w:vMerge w:val="restart"/>
                  <w:vAlign w:val="center"/>
                </w:tcPr>
                <w:p>
                  <w:pPr>
                    <w:pStyle w:val="29"/>
                  </w:pPr>
                  <w:r>
                    <w:rPr>
                      <w:rFonts w:hint="eastAsia"/>
                    </w:rPr>
                    <w:t>容器破损</w:t>
                  </w:r>
                </w:p>
              </w:tc>
              <w:tc>
                <w:tcPr>
                  <w:tcW w:w="2105" w:type="pct"/>
                  <w:vAlign w:val="center"/>
                </w:tcPr>
                <w:p>
                  <w:pPr>
                    <w:pStyle w:val="29"/>
                  </w:pPr>
                  <w:r>
                    <w:rPr>
                      <w:rFonts w:hint="eastAsia"/>
                    </w:rPr>
                    <w:t>化学品发生泄漏，有害气体对大气环境产生影响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Merge w:val="continue"/>
                  <w:vAlign w:val="center"/>
                </w:tcPr>
                <w:p>
                  <w:pPr>
                    <w:pStyle w:val="29"/>
                  </w:pPr>
                </w:p>
              </w:tc>
              <w:tc>
                <w:tcPr>
                  <w:tcW w:w="723" w:type="pct"/>
                  <w:vMerge w:val="continue"/>
                  <w:vAlign w:val="center"/>
                </w:tcPr>
                <w:p>
                  <w:pPr>
                    <w:pStyle w:val="29"/>
                  </w:pPr>
                </w:p>
              </w:tc>
              <w:tc>
                <w:tcPr>
                  <w:tcW w:w="723" w:type="pct"/>
                  <w:vMerge w:val="continue"/>
                  <w:vAlign w:val="center"/>
                </w:tcPr>
                <w:p>
                  <w:pPr>
                    <w:pStyle w:val="29"/>
                  </w:pPr>
                </w:p>
              </w:tc>
              <w:tc>
                <w:tcPr>
                  <w:tcW w:w="723" w:type="pct"/>
                  <w:vMerge w:val="continue"/>
                  <w:vAlign w:val="center"/>
                </w:tcPr>
                <w:p>
                  <w:pPr>
                    <w:pStyle w:val="29"/>
                  </w:pPr>
                </w:p>
              </w:tc>
              <w:tc>
                <w:tcPr>
                  <w:tcW w:w="2105" w:type="pct"/>
                  <w:vAlign w:val="center"/>
                </w:tcPr>
                <w:p>
                  <w:pPr>
                    <w:pStyle w:val="29"/>
                  </w:pPr>
                  <w:r>
                    <w:rPr>
                      <w:rFonts w:hint="eastAsia"/>
                    </w:rPr>
                    <w:t>泄漏的柴油渗入地下，对土壤、地下水环境产生影响</w:t>
                  </w:r>
                </w:p>
              </w:tc>
            </w:tr>
          </w:tbl>
          <w:p>
            <w:pPr>
              <w:pStyle w:val="15"/>
              <w:ind w:firstLine="482"/>
            </w:pPr>
            <w:bookmarkStart w:id="19" w:name="_Toc9935"/>
            <w:bookmarkStart w:id="20" w:name="_Toc2247565"/>
            <w:r>
              <w:rPr>
                <w:rFonts w:hint="eastAsia"/>
              </w:rPr>
              <w:t>6.4环境风险分析</w:t>
            </w:r>
            <w:bookmarkEnd w:id="19"/>
            <w:bookmarkEnd w:id="20"/>
          </w:p>
          <w:p>
            <w:pPr>
              <w:ind w:firstLine="480"/>
            </w:pPr>
            <w:r>
              <w:rPr>
                <w:rFonts w:hint="eastAsia"/>
              </w:rPr>
              <w:t>（1）泄漏事故对外环境的影响分析</w:t>
            </w:r>
          </w:p>
          <w:p>
            <w:pPr>
              <w:ind w:firstLine="480"/>
            </w:pPr>
            <w:r>
              <w:rPr>
                <w:rFonts w:hint="eastAsia"/>
              </w:rPr>
              <w:t>A、环境空气</w:t>
            </w:r>
          </w:p>
          <w:p>
            <w:pPr>
              <w:ind w:firstLine="480"/>
            </w:pPr>
            <w:r>
              <w:rPr>
                <w:rFonts w:hint="eastAsia"/>
              </w:rPr>
              <w:t>项目柴油泄漏后，会挥发油气，污染空气；遇到明火可能引起火灾，燃烧产物主要为CO</w:t>
            </w:r>
            <w:r>
              <w:rPr>
                <w:rFonts w:hint="eastAsia"/>
                <w:vertAlign w:val="subscript"/>
              </w:rPr>
              <w:t>2</w:t>
            </w:r>
            <w:r>
              <w:rPr>
                <w:rFonts w:hint="eastAsia"/>
              </w:rPr>
              <w:t>和水蒸气，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pPr>
              <w:ind w:firstLine="480"/>
            </w:pPr>
            <w:r>
              <w:rPr>
                <w:rFonts w:hint="eastAsia"/>
              </w:rPr>
              <w:t>项目为防止油品泄漏或溢出事故的发生，柴油车应安全停放。一般情况下，本项目柴油车不会发生泄漏风险事故。且柴油车位于矿山，周边居民较少，发生泄漏对周边环境产生影响较小。</w:t>
            </w:r>
          </w:p>
          <w:p>
            <w:pPr>
              <w:ind w:firstLine="480"/>
            </w:pPr>
            <w:r>
              <w:rPr>
                <w:rFonts w:hint="eastAsia"/>
              </w:rPr>
              <w:t>B、地表水</w:t>
            </w:r>
          </w:p>
          <w:p>
            <w:pPr>
              <w:ind w:firstLine="480"/>
              <w:rPr>
                <w:rFonts w:hint="eastAsia"/>
              </w:rPr>
            </w:pPr>
            <w:r>
              <w:rPr>
                <w:rFonts w:hint="eastAsia"/>
              </w:rPr>
              <w:t>泄漏或渗漏的柴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C</w:t>
            </w:r>
            <w:r>
              <w:rPr>
                <w:rFonts w:hint="eastAsia"/>
                <w:vertAlign w:val="subscript"/>
              </w:rPr>
              <w:t>4</w:t>
            </w:r>
            <w:r>
              <w:rPr>
                <w:rFonts w:hint="eastAsia"/>
              </w:rPr>
              <w:t>～C</w:t>
            </w:r>
            <w:r>
              <w:rPr>
                <w:rFonts w:hint="eastAsia"/>
                <w:vertAlign w:val="subscript"/>
              </w:rPr>
              <w:t>9</w:t>
            </w:r>
            <w:r>
              <w:rPr>
                <w:rFonts w:hint="eastAsia"/>
              </w:rPr>
              <w:t>的烃类、芳烃类、醇酮类以及卤代烃类有机物，一旦进入水环境，由于可生化性较差，造成被污染水体长时间得不到净化，完全恢复则需十几年，甚至几十年的时间。</w:t>
            </w:r>
          </w:p>
          <w:p>
            <w:pPr>
              <w:ind w:firstLine="480"/>
            </w:pPr>
            <w:r>
              <w:rPr>
                <w:rFonts w:hint="eastAsia"/>
                <w:lang w:val="en-US" w:eastAsia="zh-CN"/>
              </w:rPr>
              <w:t>项目区西侧河流为季节性河流，项目区地面高程高于河床。施工期间将采取以下措施：施工场地</w:t>
            </w:r>
            <w:r>
              <w:rPr>
                <w:rFonts w:hint="eastAsia"/>
              </w:rPr>
              <w:t>采取修筑截排水沟</w:t>
            </w:r>
            <w:r>
              <w:rPr>
                <w:rFonts w:hint="eastAsia"/>
                <w:lang w:eastAsia="zh-CN"/>
              </w:rPr>
              <w:t>。设环形排水沟，接入沉淀池（防泥浆外溢）。</w:t>
            </w:r>
            <w:r>
              <w:rPr>
                <w:rFonts w:hint="eastAsia"/>
                <w:lang w:val="en-US" w:eastAsia="zh-CN"/>
              </w:rPr>
              <w:t>严格管控敏感区域，距河岸100范围内禁止设置沉淀池、柴油储存区等污染风险设施。通过上述措施，</w:t>
            </w:r>
            <w:r>
              <w:rPr>
                <w:rFonts w:hint="eastAsia" w:ascii="宋体" w:hAnsi="宋体" w:eastAsia="宋体" w:cs="宋体"/>
                <w:color w:val="000000"/>
                <w:kern w:val="0"/>
                <w:sz w:val="24"/>
                <w:szCs w:val="24"/>
                <w:lang w:val="en-US" w:eastAsia="zh-CN" w:bidi="ar"/>
              </w:rPr>
              <w:t>本项目不会对地表水环境产生影响。</w:t>
            </w:r>
          </w:p>
          <w:p>
            <w:pPr>
              <w:ind w:firstLine="480"/>
            </w:pPr>
            <w:r>
              <w:rPr>
                <w:rFonts w:hint="eastAsia"/>
              </w:rPr>
              <w:t>C、地下水和土壤</w:t>
            </w:r>
          </w:p>
          <w:p>
            <w:pPr>
              <w:ind w:firstLine="480"/>
            </w:pPr>
            <w:r>
              <w:rPr>
                <w:rFonts w:hint="eastAsia"/>
              </w:rPr>
              <w:t>泄漏柴油流入土壤孔隙，可降低土壤的通透性，抑制土壤中酶活性，使土壤生物减少。油品洒落地区形成土壤的局部污染，一般而言，油品集中于土壤表层0~20cm范围内，这便使得根系分布于此深度的植物不能生长。</w:t>
            </w:r>
          </w:p>
          <w:p>
            <w:pPr>
              <w:ind w:firstLine="480"/>
            </w:pPr>
            <w:r>
              <w:rPr>
                <w:rFonts w:hint="eastAsia"/>
              </w:rPr>
              <w:t>由于柴油泄漏，油品将通过包气带下渗进入</w:t>
            </w:r>
            <w:r>
              <w:rPr>
                <w:rFonts w:hint="eastAsia"/>
                <w:lang w:val="en-US" w:eastAsia="zh-CN"/>
              </w:rPr>
              <w:t>基岩裂隙</w:t>
            </w:r>
            <w:r>
              <w:rPr>
                <w:rFonts w:hint="eastAsia"/>
              </w:rPr>
              <w:t>，可能会使地下水受到污染。在大量油品泄漏、短时间内未回收的情况下，含油污水方可通过在土壤中的渗透，污染地下水。因此需要加强生产管理和监督，采取有效的防范措施，防止和减轻柴油泄漏造成的污染。</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综上所述，项目轻质柴油对大气、地表水、地下水环境影响较小。</w:t>
            </w:r>
          </w:p>
          <w:p>
            <w:pPr>
              <w:ind w:firstLine="480"/>
            </w:pPr>
            <w:r>
              <w:rPr>
                <w:rFonts w:hint="eastAsia"/>
              </w:rPr>
              <w:t>（2）火灾爆炸对环境危害性分析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柴油桶若要发生火灾及爆炸，必须具备下列条件：</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、油类泄漏或油气蒸发；</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、有足够的空气助燃；</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c</w:t>
            </w:r>
            <w:r>
              <w:rPr>
                <w:rFonts w:hint="eastAsia" w:ascii="宋体" w:hAnsi="宋体" w:eastAsia="宋体" w:cs="宋体"/>
                <w:color w:val="000000"/>
                <w:kern w:val="0"/>
                <w:sz w:val="24"/>
                <w:szCs w:val="24"/>
                <w:lang w:val="en-US" w:eastAsia="zh-CN" w:bidi="ar"/>
              </w:rPr>
              <w:t>、油气必须与空气混合，并达到一定的浓度；</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、现场有明火。</w:t>
            </w:r>
          </w:p>
          <w:p>
            <w:pPr>
              <w:ind w:firstLine="480"/>
            </w:pPr>
            <w:r>
              <w:rPr>
                <w:rFonts w:hint="eastAsia" w:ascii="宋体" w:hAnsi="宋体" w:eastAsia="宋体" w:cs="宋体"/>
                <w:color w:val="000000"/>
                <w:kern w:val="0"/>
                <w:sz w:val="24"/>
                <w:szCs w:val="24"/>
                <w:lang w:val="en-US" w:eastAsia="zh-CN" w:bidi="ar"/>
              </w:rPr>
              <w:t>只有以上四个条件同时具备时，才可能发生火灾和爆炸。油桶的燃烧或爆炸造成的后果往往是灾难性的，不但会造成人员伤亡和财产损失，并且还会造成生态环境的破坏。</w:t>
            </w:r>
          </w:p>
          <w:p>
            <w:pPr>
              <w:pStyle w:val="15"/>
              <w:ind w:firstLine="482"/>
            </w:pPr>
            <w:r>
              <w:rPr>
                <w:rFonts w:hint="eastAsia"/>
              </w:rPr>
              <w:t>6.5风险防范措施</w:t>
            </w:r>
          </w:p>
          <w:p>
            <w:pPr>
              <w:ind w:firstLine="480"/>
            </w:pPr>
            <w:r>
              <w:rPr>
                <w:rFonts w:hint="eastAsia"/>
                <w:lang w:val="en-US" w:eastAsia="zh-CN"/>
              </w:rPr>
              <w:t>本项目勘探区加强对柴油泄漏巡查，加强劳动安全管理，制定完备、有效的安全防范措施，尽可能降低项目环境风险事故发生的概率。</w:t>
            </w:r>
          </w:p>
          <w:p>
            <w:r>
              <w:rPr>
                <w:rFonts w:hint="eastAsia"/>
                <w:lang w:val="en-US" w:eastAsia="zh-CN"/>
              </w:rPr>
              <w:t>（</w:t>
            </w:r>
            <w:r>
              <w:rPr>
                <w:rFonts w:hint="default"/>
                <w:lang w:val="en-US" w:eastAsia="zh-CN"/>
              </w:rPr>
              <w:t>1</w:t>
            </w:r>
            <w:r>
              <w:rPr>
                <w:rFonts w:hint="eastAsia"/>
                <w:lang w:val="en-US" w:eastAsia="zh-CN"/>
              </w:rPr>
              <w:t>）</w:t>
            </w:r>
            <w:r>
              <w:rPr>
                <w:rFonts w:hint="eastAsia"/>
              </w:rPr>
              <w:t>临时堆存弃土溃坝风险防范措施</w:t>
            </w:r>
          </w:p>
          <w:p>
            <w:r>
              <w:rPr>
                <w:rFonts w:hint="eastAsia"/>
              </w:rPr>
              <w:t>1）建设单位应减少表土和废石临时堆存时间，及时进行复垦；</w:t>
            </w:r>
          </w:p>
          <w:p>
            <w:pPr>
              <w:ind w:firstLine="480"/>
              <w:rPr>
                <w:rFonts w:hint="eastAsia"/>
                <w:lang w:val="en-US" w:eastAsia="zh-CN"/>
              </w:rPr>
            </w:pPr>
            <w:r>
              <w:rPr>
                <w:rFonts w:hint="eastAsia"/>
              </w:rPr>
              <w:t>2）建设单位在临时弃土堆存时应</w:t>
            </w:r>
            <w:r>
              <w:t>采用篷布</w:t>
            </w:r>
            <w:r>
              <w:rPr>
                <w:rFonts w:hint="eastAsia"/>
              </w:rPr>
              <w:t>覆盖，避免强暴雨季节雨水冲刷。</w:t>
            </w:r>
          </w:p>
          <w:p>
            <w:r>
              <w:rPr>
                <w:rFonts w:hint="eastAsia"/>
              </w:rPr>
              <w:t>（2）防火灾措施</w:t>
            </w:r>
          </w:p>
          <w:p>
            <w:r>
              <w:t>1</w:t>
            </w:r>
            <w:r>
              <w:rPr>
                <w:rFonts w:hint="eastAsia"/>
              </w:rPr>
              <w:t>）健全安全生产和管理检查制度，配备专职人员定期检查，确保易燃物质储存和使用的安全性，避免因管理和使用不当导致的火灾事故发生。</w:t>
            </w:r>
          </w:p>
          <w:p>
            <w:r>
              <w:t>2</w:t>
            </w:r>
            <w:r>
              <w:rPr>
                <w:rFonts w:hint="eastAsia"/>
              </w:rPr>
              <w:t>）设立专门的安全和环境管理机构，制定日常管理措施和应急预案。</w:t>
            </w:r>
          </w:p>
          <w:p>
            <w:pPr>
              <w:ind w:firstLine="480"/>
              <w:rPr>
                <w:rFonts w:hint="eastAsia"/>
              </w:rPr>
            </w:pPr>
            <w:r>
              <w:t>3</w:t>
            </w:r>
            <w:r>
              <w:rPr>
                <w:rFonts w:hint="eastAsia"/>
              </w:rPr>
              <w:t>）对工作人员进行火灾事态时的报警和消防培训，平时加强消防知识的宣传和教育。</w:t>
            </w:r>
          </w:p>
          <w:p>
            <w:pPr>
              <w:ind w:firstLine="480"/>
              <w:rPr>
                <w:rFonts w:hint="eastAsia"/>
              </w:rPr>
            </w:pPr>
            <w:r>
              <w:rPr>
                <w:rFonts w:hint="eastAsia"/>
              </w:rPr>
              <w:t>（</w:t>
            </w:r>
            <w:r>
              <w:t>3</w:t>
            </w:r>
            <w:r>
              <w:rPr>
                <w:rFonts w:hint="eastAsia"/>
              </w:rPr>
              <w:t>）防泄漏措施</w:t>
            </w:r>
          </w:p>
          <w:p>
            <w:pPr>
              <w:ind w:firstLine="480"/>
              <w:rPr>
                <w:rFonts w:hint="eastAsia"/>
                <w:lang w:val="en-US" w:eastAsia="zh-CN"/>
              </w:rPr>
            </w:pPr>
            <w:r>
              <w:rPr>
                <w:rFonts w:hint="eastAsia"/>
              </w:rPr>
              <w:t>1）</w:t>
            </w:r>
            <w:r>
              <w:rPr>
                <w:rFonts w:hint="eastAsia"/>
                <w:lang w:val="en-US" w:eastAsia="zh-CN"/>
              </w:rPr>
              <w:t>柴油储罐应严格落实本次评价提出的防渗措施，加强重点防渗措施。</w:t>
            </w:r>
          </w:p>
          <w:p>
            <w:pPr>
              <w:ind w:firstLine="480"/>
            </w:pPr>
            <w:r>
              <w:rPr>
                <w:rFonts w:hint="default"/>
                <w:lang w:val="en-US" w:eastAsia="zh-CN"/>
              </w:rPr>
              <w:t>2</w:t>
            </w:r>
            <w:r>
              <w:rPr>
                <w:rFonts w:hint="eastAsia"/>
                <w:lang w:val="en-US" w:eastAsia="zh-CN"/>
              </w:rPr>
              <w:t>）存储容器密封性应良好，在不影响生产的情况下，尽可能减少储存量；在储存期内应定期检查，发现其品质变化、泄漏等情况，应及时清理处置。</w:t>
            </w:r>
          </w:p>
          <w:p>
            <w:pPr>
              <w:ind w:firstLine="480"/>
            </w:pPr>
            <w:r>
              <w:rPr>
                <w:rFonts w:hint="default"/>
                <w:lang w:val="en-US" w:eastAsia="zh-CN"/>
              </w:rPr>
              <w:t>3</w:t>
            </w:r>
            <w:r>
              <w:rPr>
                <w:rFonts w:hint="eastAsia"/>
                <w:lang w:val="en-US" w:eastAsia="zh-CN"/>
              </w:rPr>
              <w:t>）搬运、装卸时应按照有关规定进行，做到轻装、轻卸。严禁摔、碰、撞、击、拖拉、倾斜和滚动。</w:t>
            </w:r>
          </w:p>
          <w:p>
            <w:pPr>
              <w:ind w:firstLine="480"/>
              <w:rPr>
                <w:rFonts w:hint="eastAsia"/>
                <w:lang w:val="en-US" w:eastAsia="zh-CN"/>
              </w:rPr>
            </w:pPr>
            <w:r>
              <w:rPr>
                <w:rFonts w:hint="default"/>
                <w:lang w:val="en-US" w:eastAsia="zh-CN"/>
              </w:rPr>
              <w:t>4</w:t>
            </w:r>
            <w:r>
              <w:rPr>
                <w:rFonts w:hint="eastAsia"/>
                <w:lang w:val="en-US" w:eastAsia="zh-CN"/>
              </w:rPr>
              <w:t>）定期检查，确保没有泄漏迹象。同时也要经常检查防漏设施的有效性。对员工进行环境保护意识的培训，教育他们如何正确操作设备，以及在发生泄漏时应采取的紧急措施。</w:t>
            </w:r>
          </w:p>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（4）钻孔涌水措施</w:t>
            </w:r>
          </w:p>
          <w:p>
            <w:pPr>
              <w:ind w:firstLine="480"/>
              <w:rPr>
                <w:rFonts w:hint="eastAsia"/>
                <w:lang w:val="en-US" w:eastAsia="zh-CN"/>
              </w:rPr>
            </w:pPr>
            <w:r>
              <w:rPr>
                <w:rFonts w:hint="default" w:ascii="Times New Roman" w:hAnsi="Times New Roman" w:cs="Times New Roman"/>
                <w:vertAlign w:val="baseline"/>
                <w:lang w:val="en-US" w:eastAsia="zh-CN"/>
              </w:rPr>
              <w:t>钻探施工中出现孔内浆液较严重漏失或涌水现象，必须及时采用环保堵漏材料或下入套管等方法进行封堵，防止钻井液对地下水环境造成污染。钻孔终孔后按照地质设计做好封孔工作，确保封孔质量。</w:t>
            </w:r>
          </w:p>
          <w:p>
            <w:pPr>
              <w:adjustRightInd w:val="0"/>
              <w:snapToGrid w:val="0"/>
              <w:ind w:firstLine="482"/>
              <w:rPr>
                <w:b/>
              </w:rPr>
            </w:pPr>
            <w:r>
              <w:rPr>
                <w:rFonts w:hint="eastAsia"/>
                <w:b/>
              </w:rPr>
              <w:t>6.</w:t>
            </w:r>
            <w:r>
              <w:rPr>
                <w:rFonts w:hint="eastAsia"/>
                <w:b/>
                <w:lang w:val="en-US" w:eastAsia="zh-CN"/>
              </w:rPr>
              <w:t>6</w:t>
            </w:r>
            <w:r>
              <w:rPr>
                <w:rFonts w:hint="eastAsia"/>
                <w:b/>
              </w:rPr>
              <w:t>环境风险评价结论与建议</w:t>
            </w:r>
          </w:p>
          <w:p>
            <w:pPr>
              <w:ind w:firstLine="480"/>
            </w:pPr>
            <w:r>
              <w:rPr>
                <w:rFonts w:hint="eastAsia"/>
                <w:lang w:val="en-US" w:eastAsia="zh-CN"/>
              </w:rPr>
              <w:t>本项目的主要危险物质为轻质柴油，一旦发生事故，将对大气环境、土壤环境和地下水环境产生影响。</w:t>
            </w:r>
            <w:r>
              <w:rPr>
                <w:rFonts w:hint="eastAsia"/>
              </w:rPr>
              <w:t>项目位于</w:t>
            </w:r>
            <w:r>
              <w:t>若羌县</w:t>
            </w:r>
            <w:r>
              <w:rPr>
                <w:rFonts w:hint="eastAsia"/>
              </w:rPr>
              <w:t>内，周边多以山体为主，每个钻孔采用防渗膜塑料布及支架组装成简易沉淀池，每个规模为5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r>
              <w:rPr>
                <w:rFonts w:hint="eastAsia"/>
              </w:rPr>
              <w:t>在正常运行过程中，加强对风险物质的管理，规范员工的操作规程，对各项净化设施和风险防控措施进行管理和维护。</w:t>
            </w:r>
          </w:p>
          <w:p>
            <w:pPr>
              <w:ind w:firstLine="480"/>
            </w:pPr>
            <w:r>
              <w:rPr>
                <w:rFonts w:hint="eastAsia"/>
              </w:rPr>
              <w:t>项目应落实本报告相关要求，制定一套完善的事故风险防范措施和应急预案，并上报环保行政主管部门备案。综上所述，本项目在认真落实环评提出的环境风险防范措施后，可以在最大程度上降低事故的发生率。项目的环境风险在可接受范围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454" w:type="dxa"/>
            <w:tcMar>
              <w:left w:w="28" w:type="dxa"/>
              <w:right w:w="28" w:type="dxa"/>
            </w:tcMar>
            <w:vAlign w:val="center"/>
          </w:tcPr>
          <w:p>
            <w:pPr>
              <w:adjustRightInd w:val="0"/>
              <w:snapToGrid w:val="0"/>
              <w:ind w:left="0" w:leftChars="0" w:firstLine="0" w:firstLineChars="0"/>
              <w:jc w:val="both"/>
              <w:rPr>
                <w:rFonts w:ascii="宋体" w:hAnsi="宋体" w:cs="宋体"/>
                <w:bCs/>
                <w:szCs w:val="21"/>
              </w:rPr>
            </w:pPr>
            <w:r>
              <w:rPr>
                <w:rFonts w:hint="eastAsia" w:cs="宋体"/>
                <w:szCs w:val="21"/>
              </w:rPr>
              <w:t>运营期生态环境保护措施</w:t>
            </w:r>
          </w:p>
        </w:tc>
        <w:tc>
          <w:tcPr>
            <w:tcW w:w="8154" w:type="dxa"/>
            <w:vAlign w:val="center"/>
          </w:tcPr>
          <w:p>
            <w:pPr>
              <w:ind w:firstLine="480"/>
            </w:pPr>
            <w:r>
              <w:rPr>
                <w:rFonts w:hint="eastAsia"/>
              </w:rPr>
              <w:t>本项目仅涉及勘探，不涉及采矿，所以没有运营期。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454" w:type="dxa"/>
            <w:tcMar>
              <w:left w:w="28" w:type="dxa"/>
              <w:right w:w="28" w:type="dxa"/>
            </w:tcMar>
            <w:vAlign w:val="center"/>
          </w:tcPr>
          <w:p>
            <w:pPr>
              <w:pStyle w:val="26"/>
            </w:pPr>
            <w:r>
              <w:rPr>
                <w:rFonts w:hint="eastAsia"/>
              </w:rPr>
              <w:t>其他</w:t>
            </w:r>
          </w:p>
        </w:tc>
        <w:tc>
          <w:tcPr>
            <w:tcW w:w="8154" w:type="dxa"/>
            <w:vAlign w:val="center"/>
          </w:tcPr>
          <w:p>
            <w:pPr>
              <w:pStyle w:val="15"/>
              <w:ind w:firstLine="482"/>
            </w:pPr>
            <w:r>
              <w:rPr>
                <w:rFonts w:hint="eastAsia"/>
              </w:rPr>
              <w:t>6.9</w:t>
            </w:r>
            <w:r>
              <w:t>环境管理建议</w:t>
            </w:r>
          </w:p>
          <w:p>
            <w:pPr>
              <w:ind w:firstLine="480"/>
            </w:pPr>
            <w:r>
              <w:rPr>
                <w:rFonts w:hint="eastAsia"/>
              </w:rPr>
              <w:t>（1）施工期环境保护管理计划</w:t>
            </w:r>
          </w:p>
          <w:p>
            <w:pPr>
              <w:ind w:firstLine="480"/>
            </w:pPr>
            <w:r>
              <w:t>施工期环保管理的中心工作是：在抓好工程施工建设的同时，防止和控制施工活动对环境可能造成的污染或破坏，具体内容是：</w:t>
            </w:r>
          </w:p>
          <w:p>
            <w:pPr>
              <w:ind w:firstLine="480"/>
            </w:pPr>
            <w:r>
              <w:rPr>
                <w:rFonts w:hint="eastAsia"/>
                <w:lang w:val="en-US" w:eastAsia="zh-CN"/>
              </w:rPr>
              <w:t>1</w:t>
            </w:r>
            <w:r>
              <w:rPr>
                <w:rFonts w:hint="eastAsia"/>
              </w:rPr>
              <w:t>）</w:t>
            </w:r>
            <w:r>
              <w:t>制定工程建设过程中的污染防治措施、环保管理措施和实施办法，负责施工过程中的环保工作，督促和检查施工过程中环保措施的执行情况，发现问题，及时解决。</w:t>
            </w:r>
          </w:p>
          <w:p>
            <w:pPr>
              <w:ind w:firstLine="480"/>
            </w:pPr>
            <w:r>
              <w:rPr>
                <w:rFonts w:hint="eastAsia"/>
                <w:lang w:val="en-US" w:eastAsia="zh-CN"/>
              </w:rPr>
              <w:t>2</w:t>
            </w:r>
            <w:r>
              <w:rPr>
                <w:rFonts w:hint="eastAsia"/>
              </w:rPr>
              <w:t>）</w:t>
            </w:r>
            <w:r>
              <w:t>负责对施工过程中的污染源管理，合理安排施工机械的运行及施工作业时间，最大限度地减少施工作业产生的噪声、扬尘对环境的影响。</w:t>
            </w:r>
          </w:p>
          <w:p>
            <w:pPr>
              <w:ind w:firstLine="480"/>
            </w:pPr>
            <w:r>
              <w:rPr>
                <w:rFonts w:hint="default"/>
                <w:lang w:val="en-US" w:eastAsia="zh-CN"/>
              </w:rPr>
              <w:t>3</w:t>
            </w:r>
            <w:r>
              <w:rPr>
                <w:rFonts w:hint="eastAsia"/>
                <w:lang w:val="en-US" w:eastAsia="zh-CN"/>
              </w:rPr>
              <w:t>）落实源头分类。产废单位应按固废类别进行分类贮存，禁止将一般工业固体废物投放到生活垃圾收集设施。对施工过程中产生的废料、生活垃圾及生活污水等进行集中统一处置，防止对环境造成不利影响。</w:t>
            </w:r>
          </w:p>
          <w:p>
            <w:pPr>
              <w:ind w:firstLine="480"/>
              <w:rPr>
                <w:rFonts w:hint="eastAsia"/>
                <w:lang w:val="en-US" w:eastAsia="zh-CN"/>
              </w:rPr>
            </w:pPr>
            <w:r>
              <w:rPr>
                <w:rFonts w:hint="default"/>
                <w:lang w:val="en-US" w:eastAsia="zh-CN"/>
              </w:rPr>
              <w:t>4</w:t>
            </w:r>
            <w:r>
              <w:rPr>
                <w:rFonts w:hint="eastAsia"/>
                <w:lang w:val="en-US" w:eastAsia="zh-CN"/>
              </w:rPr>
              <w:t>）参与施工作业管理及计划安排，防止施工造成长时间的交通中断、交通堵塞，以及公共服务设施如水、电、气、通讯等的中断。</w:t>
            </w:r>
          </w:p>
          <w:p>
            <w:pPr>
              <w:ind w:firstLine="480"/>
              <w:rPr>
                <w:rFonts w:hint="eastAsia"/>
                <w:lang w:val="en-US" w:eastAsia="zh-CN"/>
              </w:rPr>
            </w:pPr>
            <w:r>
              <w:rPr>
                <w:rFonts w:hint="eastAsia"/>
                <w:lang w:val="en-US" w:eastAsia="zh-CN"/>
              </w:rPr>
              <w:t>5）根据《绿色勘察指南》（T/CMAS0001-2018）勘查责任主体应建立绿色勘查监管制度，由绿色勘查监督管理机构或责任部门，对涉及本标准内容的设计、施工和成果进行审查、检查监督及验收评价。勘查过程中，责任主体应及时对绿色勘查工作进行动态监管，督促勘查施工单位认真执行绿色勘查设计要求及规范标准。绿色勘查工作中，施工单位应及时做好相关施工技术及管理工作资料的记录、收集、整理及编制归档工作，并做到真实、齐全、规范。对阶段性工作及竣工成果，应按照规定做出检验评价。</w:t>
            </w:r>
          </w:p>
          <w:p>
            <w:pPr>
              <w:ind w:firstLine="480"/>
              <w:rPr>
                <w:rFonts w:hint="eastAsia"/>
              </w:rPr>
            </w:pPr>
            <w:r>
              <w:rPr>
                <w:rFonts w:hint="eastAsia"/>
              </w:rPr>
              <w:t>（2）环境管理任务</w:t>
            </w:r>
          </w:p>
          <w:p>
            <w:pPr>
              <w:ind w:firstLine="480"/>
              <w:rPr>
                <w:rFonts w:hint="eastAsia"/>
              </w:rPr>
            </w:pPr>
            <w:r>
              <w:rPr>
                <w:rFonts w:hint="eastAsia"/>
              </w:rPr>
              <w:t>因资金分阶段落实，项目环评工作将于2025年启动。为确保环保措施同步实施，已制定分阶段资金保障计划，确保环评通过前不开展实质性施工。</w:t>
            </w:r>
          </w:p>
          <w:p>
            <w:pPr>
              <w:ind w:firstLine="480"/>
            </w:pPr>
            <w:r>
              <w:rPr>
                <w:rFonts w:hint="eastAsia"/>
              </w:rPr>
              <w:t>1）</w:t>
            </w:r>
            <w:r>
              <w:t>施工筹建期</w:t>
            </w:r>
          </w:p>
          <w:p>
            <w:pPr>
              <w:ind w:firstLine="480"/>
            </w:pPr>
            <w:r>
              <w:rPr>
                <w:rFonts w:hint="eastAsia" w:ascii="宋体" w:hAnsi="宋体" w:cs="宋体"/>
              </w:rPr>
              <w:t>①</w:t>
            </w:r>
            <w:r>
              <w:t>审核工程环境影响评价成果，保证环境影响报告中有关环境保护的措施列入工程最终设计文件。</w:t>
            </w:r>
          </w:p>
          <w:p>
            <w:pPr>
              <w:ind w:firstLine="480"/>
            </w:pPr>
            <w:r>
              <w:rPr>
                <w:rFonts w:hint="eastAsia" w:ascii="宋体" w:hAnsi="宋体" w:cs="宋体"/>
              </w:rPr>
              <w:t>②</w:t>
            </w:r>
            <w:r>
              <w:t>根据环境影响报告和环境保护设计报告，负责工程招投标文件及合同文件中相关环境保护条款的编制。</w:t>
            </w:r>
          </w:p>
          <w:p>
            <w:pPr>
              <w:ind w:firstLine="480"/>
            </w:pPr>
            <w:r>
              <w:fldChar w:fldCharType="begin"/>
            </w:r>
            <w:r>
              <w:instrText xml:space="preserve"> = 3 \* GB3 \* MERGEFORMAT </w:instrText>
            </w:r>
            <w:r>
              <w:fldChar w:fldCharType="separate"/>
            </w:r>
            <w:r>
              <w:rPr>
                <w:rFonts w:hint="eastAsia" w:ascii="宋体" w:hAnsi="宋体" w:cs="宋体"/>
              </w:rPr>
              <w:t>③</w:t>
            </w:r>
            <w:r>
              <w:fldChar w:fldCharType="end"/>
            </w:r>
            <w:r>
              <w:t>筹建环境管理机构，进行环境管理人员培训。</w:t>
            </w:r>
          </w:p>
          <w:p>
            <w:pPr>
              <w:ind w:firstLine="480"/>
            </w:pPr>
            <w:r>
              <w:rPr>
                <w:rFonts w:hint="eastAsia"/>
              </w:rPr>
              <w:t>2）施工工区环境管理</w:t>
            </w:r>
          </w:p>
          <w:p>
            <w:pPr>
              <w:ind w:firstLine="480"/>
            </w:pPr>
            <w:r>
              <w:rPr>
                <w:rFonts w:hint="eastAsia" w:ascii="宋体" w:hAnsi="宋体" w:cs="宋体"/>
              </w:rPr>
              <w:t>①</w:t>
            </w:r>
            <w:r>
              <w:t>贯彻执行国家有关环境保护方针、政策及法规条例，制订工程环境保护管理具体规定与管理办法。</w:t>
            </w:r>
          </w:p>
          <w:p>
            <w:pPr>
              <w:ind w:firstLine="480"/>
            </w:pPr>
            <w:r>
              <w:rPr>
                <w:rFonts w:hint="eastAsia" w:ascii="宋体" w:hAnsi="宋体" w:cs="宋体"/>
              </w:rPr>
              <w:t>②</w:t>
            </w:r>
            <w:r>
              <w:t>按照国家有关环境保护法规和工程的环境保护规定，统一管理施工工区环境保护工作。</w:t>
            </w:r>
          </w:p>
          <w:p>
            <w:pPr>
              <w:ind w:firstLine="480"/>
            </w:pPr>
            <w:r>
              <w:fldChar w:fldCharType="begin"/>
            </w:r>
            <w:r>
              <w:instrText xml:space="preserve"> = 3 \* GB3 \* MERGEFORMAT </w:instrText>
            </w:r>
            <w:r>
              <w:fldChar w:fldCharType="separate"/>
            </w:r>
            <w:r>
              <w:rPr>
                <w:rFonts w:hint="eastAsia" w:ascii="宋体" w:hAnsi="宋体" w:cs="宋体"/>
              </w:rPr>
              <w:t>③</w:t>
            </w:r>
            <w:r>
              <w:fldChar w:fldCharType="end"/>
            </w:r>
            <w:r>
              <w:t>编制环境管理工作计划，整编监测资料，建立工程的生态与环境信息库，编制工程年度环境质量报告，并报上级主管部门和地方</w:t>
            </w:r>
            <w:r>
              <w:rPr>
                <w:rStyle w:val="23"/>
                <w:rFonts w:hint="eastAsia"/>
                <w:lang w:val="en-US" w:eastAsia="zh-CN"/>
              </w:rPr>
              <w:t>生态环境</w:t>
            </w:r>
            <w:r>
              <w:t>部门。</w:t>
            </w:r>
          </w:p>
          <w:p>
            <w:pPr>
              <w:ind w:firstLine="480"/>
            </w:pPr>
            <w:r>
              <w:fldChar w:fldCharType="begin"/>
            </w:r>
            <w:r>
              <w:instrText xml:space="preserve"> = 4 \* GB3 \* MERGEFORMAT </w:instrText>
            </w:r>
            <w:r>
              <w:fldChar w:fldCharType="separate"/>
            </w:r>
            <w:r>
              <w:rPr>
                <w:rFonts w:hint="eastAsia" w:ascii="宋体" w:hAnsi="宋体" w:cs="宋体"/>
              </w:rPr>
              <w:t>④</w:t>
            </w:r>
            <w:r>
              <w:fldChar w:fldCharType="end"/>
            </w:r>
            <w:r>
              <w:t>会同地方环保检查、监督工程承包商执行环境保护条款的情况。</w:t>
            </w:r>
          </w:p>
          <w:p>
            <w:pPr>
              <w:ind w:firstLine="480"/>
            </w:pPr>
            <w:r>
              <w:fldChar w:fldCharType="begin"/>
            </w:r>
            <w:r>
              <w:instrText xml:space="preserve"> = 5 \* GB3 \* MERGEFORMAT </w:instrText>
            </w:r>
            <w:r>
              <w:fldChar w:fldCharType="separate"/>
            </w:r>
            <w:r>
              <w:rPr>
                <w:rFonts w:hint="eastAsia" w:ascii="宋体" w:hAnsi="宋体" w:cs="宋体"/>
              </w:rPr>
              <w:t>⑤</w:t>
            </w:r>
            <w:r>
              <w:fldChar w:fldCharType="end"/>
            </w:r>
            <w:r>
              <w:t>负责协调处理工程引起的环境纠纷和环境污染事故。</w:t>
            </w:r>
          </w:p>
          <w:p>
            <w:pPr>
              <w:ind w:firstLine="480"/>
            </w:pPr>
            <w:r>
              <w:fldChar w:fldCharType="begin"/>
            </w:r>
            <w:r>
              <w:instrText xml:space="preserve"> = 6 \* GB3 \* MERGEFORMAT </w:instrText>
            </w:r>
            <w:r>
              <w:fldChar w:fldCharType="separate"/>
            </w:r>
            <w:r>
              <w:rPr>
                <w:rFonts w:hint="eastAsia" w:ascii="宋体" w:hAnsi="宋体" w:cs="宋体"/>
              </w:rPr>
              <w:t>⑥</w:t>
            </w:r>
            <w:r>
              <w:fldChar w:fldCharType="end"/>
            </w:r>
            <w:r>
              <w:t>加强环境保护的宣传教育，负责组织实施环境管理培训工作，提高工程环境管理人员的技术水平。</w:t>
            </w:r>
          </w:p>
          <w:p>
            <w:pPr>
              <w:ind w:firstLine="480"/>
            </w:pPr>
            <w:r>
              <w:rPr>
                <w:rFonts w:hint="eastAsia"/>
              </w:rPr>
              <w:t>3）勘探期结束后环境管理</w:t>
            </w:r>
          </w:p>
          <w:p>
            <w:pPr>
              <w:ind w:firstLine="480"/>
            </w:pPr>
            <w:r>
              <w:rPr>
                <w:rFonts w:hint="eastAsia"/>
              </w:rPr>
              <w:t>勘探期结束后，各产污设备将停止运行，“三废”等排放也将停止，基本不存在“三废”等污染问题。主要环境问题为探矿造成的生态环境影响。</w:t>
            </w:r>
            <w:r>
              <w:t>服务期满后环境管理具体要求见表</w:t>
            </w:r>
            <w:r>
              <w:rPr>
                <w:rFonts w:hint="eastAsia"/>
              </w:rPr>
              <w:t>5-</w:t>
            </w:r>
            <w:r>
              <w:rPr>
                <w:rFonts w:hint="eastAsia"/>
                <w:lang w:val="en-US" w:eastAsia="zh-CN"/>
              </w:rPr>
              <w:t>6</w:t>
            </w:r>
            <w:r>
              <w:t>。</w:t>
            </w:r>
          </w:p>
          <w:p>
            <w:pPr>
              <w:pStyle w:val="28"/>
              <w:spacing w:before="156"/>
            </w:pPr>
            <w:r>
              <w:rPr>
                <w:rFonts w:hint="eastAsia"/>
              </w:rPr>
              <w:t>表5-</w:t>
            </w:r>
            <w:r>
              <w:rPr>
                <w:rFonts w:hint="eastAsia"/>
                <w:lang w:val="en-US" w:eastAsia="zh-CN"/>
              </w:rPr>
              <w:t>6</w:t>
            </w:r>
            <w:r>
              <w:rPr>
                <w:rFonts w:hint="eastAsia"/>
              </w:rPr>
              <w:t>勘探期结束后环境管理要求</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29"/>
                  </w:pPr>
                  <w:r>
                    <w:t>环境影响</w:t>
                  </w:r>
                </w:p>
              </w:tc>
              <w:tc>
                <w:tcPr>
                  <w:tcW w:w="6089" w:type="dxa"/>
                  <w:shd w:val="clear" w:color="auto" w:fill="auto"/>
                  <w:vAlign w:val="center"/>
                </w:tcPr>
                <w:p>
                  <w:pPr>
                    <w:pStyle w:val="29"/>
                  </w:pPr>
                  <w:r>
                    <w:t>环境管理具体要求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29"/>
                  </w:pPr>
                  <w:r>
                    <w:rPr>
                      <w:rFonts w:hint="eastAsia"/>
                    </w:rPr>
                    <w:t>废水、废气、噪声、固废</w:t>
                  </w:r>
                </w:p>
              </w:tc>
              <w:tc>
                <w:tcPr>
                  <w:tcW w:w="6089" w:type="dxa"/>
                  <w:shd w:val="clear" w:color="auto" w:fill="auto"/>
                  <w:vAlign w:val="center"/>
                </w:tcPr>
                <w:p>
                  <w:pPr>
                    <w:pStyle w:val="29"/>
                    <w:jc w:val="both"/>
                  </w:pPr>
                  <w:r>
                    <w:t>（</w:t>
                  </w:r>
                  <w:r>
                    <w:rPr>
                      <w:rFonts w:hint="eastAsia"/>
                    </w:rPr>
                    <w:t>1</w:t>
                  </w:r>
                  <w:r>
                    <w:t>）</w:t>
                  </w:r>
                  <w:r>
                    <w:rPr>
                      <w:rFonts w:hint="eastAsia"/>
                    </w:rPr>
                    <w:t>对钻孔的封堵情况进行监督管理；</w:t>
                  </w:r>
                </w:p>
                <w:p>
                  <w:pPr>
                    <w:pStyle w:val="29"/>
                    <w:jc w:val="both"/>
                  </w:pPr>
                  <w:r>
                    <w:t>（</w:t>
                  </w:r>
                  <w:r>
                    <w:rPr>
                      <w:rFonts w:hint="eastAsia"/>
                    </w:rPr>
                    <w:t>2</w:t>
                  </w:r>
                  <w:r>
                    <w:t>）</w:t>
                  </w:r>
                  <w:r>
                    <w:rPr>
                      <w:rFonts w:hint="eastAsia"/>
                    </w:rPr>
                    <w:t>对场内临时工程的拆除及清理情况进行监督管理；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29"/>
                  </w:pPr>
                  <w:r>
                    <w:rPr>
                      <w:rFonts w:hint="eastAsia"/>
                    </w:rPr>
                    <w:t>生态环境影响</w:t>
                  </w:r>
                </w:p>
              </w:tc>
              <w:tc>
                <w:tcPr>
                  <w:tcW w:w="6089" w:type="dxa"/>
                  <w:shd w:val="clear" w:color="auto" w:fill="auto"/>
                  <w:vAlign w:val="center"/>
                </w:tcPr>
                <w:p>
                  <w:pPr>
                    <w:pStyle w:val="29"/>
                    <w:jc w:val="both"/>
                  </w:pPr>
                  <w:r>
                    <w:rPr>
                      <w:rFonts w:hint="eastAsia"/>
                    </w:rPr>
                    <w:t>（1）对场地生态恢复措施落实情况进行监督管理；</w:t>
                  </w:r>
                </w:p>
                <w:p>
                  <w:pPr>
                    <w:pStyle w:val="29"/>
                    <w:jc w:val="both"/>
                  </w:pPr>
                  <w:r>
                    <w:rPr>
                      <w:rFonts w:hint="eastAsia"/>
                    </w:rPr>
                    <w:t>（</w:t>
                  </w:r>
                  <w:r>
                    <w:rPr>
                      <w:rFonts w:hint="eastAsia"/>
                      <w:lang w:val="en-US" w:eastAsia="zh-CN"/>
                    </w:rPr>
                    <w:t>2</w:t>
                  </w:r>
                  <w:r>
                    <w:rPr>
                      <w:rFonts w:hint="eastAsia"/>
                    </w:rPr>
                    <w:t>）严格按照土地复垦要求，对探矿区复垦情况进行监督管理；</w:t>
                  </w:r>
                </w:p>
              </w:tc>
            </w:tr>
          </w:tbl>
          <w:p>
            <w:pPr>
              <w:ind w:firstLine="0" w:firstLineChars="0"/>
              <w:rPr>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454" w:type="dxa"/>
            <w:tcMar>
              <w:left w:w="28" w:type="dxa"/>
              <w:right w:w="28" w:type="dxa"/>
            </w:tcMar>
            <w:vAlign w:val="center"/>
          </w:tcPr>
          <w:p>
            <w:pPr>
              <w:pStyle w:val="26"/>
            </w:pPr>
            <w:r>
              <w:rPr>
                <w:rFonts w:hint="eastAsia"/>
              </w:rPr>
              <w:t>环保</w:t>
            </w:r>
          </w:p>
          <w:p>
            <w:pPr>
              <w:pStyle w:val="26"/>
            </w:pPr>
            <w:r>
              <w:rPr>
                <w:rFonts w:hint="eastAsia"/>
              </w:rPr>
              <w:t>投资</w:t>
            </w:r>
          </w:p>
        </w:tc>
        <w:tc>
          <w:tcPr>
            <w:tcW w:w="8154" w:type="dxa"/>
            <w:vAlign w:val="center"/>
          </w:tcPr>
          <w:p>
            <w:pPr>
              <w:ind w:firstLine="480"/>
              <w:rPr>
                <w:b/>
                <w:bCs/>
                <w:szCs w:val="32"/>
              </w:rPr>
            </w:pPr>
            <w:r>
              <w:t>项目环境保护投资总计</w:t>
            </w:r>
            <w:r>
              <w:rPr>
                <w:rFonts w:hint="eastAsia"/>
                <w:highlight w:val="none"/>
                <w:lang w:val="en-US" w:eastAsia="zh-CN"/>
              </w:rPr>
              <w:t>64</w:t>
            </w:r>
            <w:r>
              <w:t>万元，占总投资</w:t>
            </w:r>
            <w:r>
              <w:rPr>
                <w:rFonts w:hint="eastAsia"/>
                <w:lang w:val="en-US" w:eastAsia="zh-CN"/>
              </w:rPr>
              <w:t>433.81</w:t>
            </w:r>
            <w:r>
              <w:t>万元的</w:t>
            </w:r>
            <w:r>
              <w:rPr>
                <w:rFonts w:hint="eastAsia"/>
                <w:lang w:val="en-US" w:eastAsia="zh-CN"/>
              </w:rPr>
              <w:t>19.43</w:t>
            </w:r>
            <w:r>
              <w:t>%，项目环保措施及投资见</w:t>
            </w:r>
            <w:r>
              <w:rPr>
                <w:rFonts w:hint="eastAsia"/>
              </w:rPr>
              <w:t>下表。</w:t>
            </w:r>
          </w:p>
          <w:p>
            <w:pPr>
              <w:pStyle w:val="28"/>
              <w:spacing w:before="156"/>
            </w:pPr>
            <w:r>
              <w:t>表</w:t>
            </w:r>
            <w:r>
              <w:rPr>
                <w:rFonts w:hint="eastAsia"/>
              </w:rPr>
              <w:t>5-</w:t>
            </w:r>
            <w:r>
              <w:rPr>
                <w:rFonts w:hint="eastAsia"/>
                <w:lang w:val="en-US" w:eastAsia="zh-CN"/>
              </w:rPr>
              <w:t>8</w:t>
            </w:r>
            <w:r>
              <w:t>环保</w:t>
            </w:r>
            <w:r>
              <w:rPr>
                <w:rFonts w:hint="eastAsia"/>
              </w:rPr>
              <w:t>措施及</w:t>
            </w:r>
            <w:r>
              <w:t>投资估算一览表</w:t>
            </w:r>
          </w:p>
          <w:tbl>
            <w:tblPr>
              <w:tblStyle w:val="19"/>
              <w:tblW w:w="82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28" w:type="dxa"/>
                <w:bottom w:w="57" w:type="dxa"/>
                <w:right w:w="28" w:type="dxa"/>
              </w:tblCellMar>
            </w:tblPr>
            <w:tblGrid>
              <w:gridCol w:w="536"/>
              <w:gridCol w:w="949"/>
              <w:gridCol w:w="5543"/>
              <w:gridCol w:w="1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93" w:hRule="atLeast"/>
                <w:tblHeader/>
                <w:jc w:val="center"/>
              </w:trPr>
              <w:tc>
                <w:tcPr>
                  <w:tcW w:w="1485" w:type="dxa"/>
                  <w:gridSpan w:val="2"/>
                  <w:tcMar>
                    <w:top w:w="57" w:type="dxa"/>
                    <w:bottom w:w="57" w:type="dxa"/>
                  </w:tcMar>
                  <w:vAlign w:val="center"/>
                </w:tcPr>
                <w:p>
                  <w:pPr>
                    <w:pStyle w:val="29"/>
                  </w:pPr>
                  <w:r>
                    <w:t>项目</w:t>
                  </w:r>
                </w:p>
              </w:tc>
              <w:tc>
                <w:tcPr>
                  <w:tcW w:w="5543" w:type="dxa"/>
                  <w:tcMar>
                    <w:top w:w="57" w:type="dxa"/>
                    <w:bottom w:w="57" w:type="dxa"/>
                  </w:tcMar>
                  <w:vAlign w:val="center"/>
                </w:tcPr>
                <w:p>
                  <w:pPr>
                    <w:pStyle w:val="29"/>
                  </w:pPr>
                  <w:r>
                    <w:t>环保措施</w:t>
                  </w:r>
                </w:p>
              </w:tc>
              <w:tc>
                <w:tcPr>
                  <w:tcW w:w="1231" w:type="dxa"/>
                  <w:tcMar>
                    <w:top w:w="57" w:type="dxa"/>
                    <w:bottom w:w="57" w:type="dxa"/>
                  </w:tcMar>
                  <w:vAlign w:val="center"/>
                </w:tcPr>
                <w:p>
                  <w:pPr>
                    <w:pStyle w:val="29"/>
                  </w:pPr>
                  <w:r>
                    <w:t>环保费用</w:t>
                  </w:r>
                  <w:r>
                    <w:rPr>
                      <w:rFonts w:hint="eastAsi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tcMar>
                    <w:top w:w="57" w:type="dxa"/>
                    <w:bottom w:w="57" w:type="dxa"/>
                  </w:tcMar>
                  <w:vAlign w:val="center"/>
                </w:tcPr>
                <w:p>
                  <w:pPr>
                    <w:pStyle w:val="29"/>
                  </w:pPr>
                  <w:r>
                    <w:t>废气</w:t>
                  </w:r>
                </w:p>
              </w:tc>
              <w:tc>
                <w:tcPr>
                  <w:tcW w:w="949" w:type="dxa"/>
                  <w:vAlign w:val="center"/>
                </w:tcPr>
                <w:p>
                  <w:pPr>
                    <w:pStyle w:val="29"/>
                  </w:pPr>
                  <w:r>
                    <w:rPr>
                      <w:rFonts w:hint="eastAsia"/>
                    </w:rPr>
                    <w:t>扬尘</w:t>
                  </w:r>
                </w:p>
              </w:tc>
              <w:tc>
                <w:tcPr>
                  <w:tcW w:w="5543" w:type="dxa"/>
                  <w:tcMar>
                    <w:top w:w="57" w:type="dxa"/>
                    <w:bottom w:w="57" w:type="dxa"/>
                  </w:tcMar>
                  <w:vAlign w:val="center"/>
                </w:tcPr>
                <w:p>
                  <w:pPr>
                    <w:pStyle w:val="29"/>
                  </w:pPr>
                  <w:r>
                    <w:t>对</w:t>
                  </w:r>
                  <w:r>
                    <w:rPr>
                      <w:rFonts w:hint="eastAsia"/>
                    </w:rPr>
                    <w:t>弃渣堆</w:t>
                  </w:r>
                  <w:r>
                    <w:t>表面</w:t>
                  </w:r>
                  <w:r>
                    <w:rPr>
                      <w:rFonts w:hint="eastAsia"/>
                    </w:rPr>
                    <w:t>压实</w:t>
                  </w:r>
                  <w:r>
                    <w:t>、覆盖</w:t>
                  </w:r>
                  <w:r>
                    <w:rPr>
                      <w:rFonts w:hint="eastAsia"/>
                    </w:rPr>
                    <w:t>、洒水降尘；矿区道路洒水降尘；钻探、槽探作业区设置围挡，洒水降尘</w:t>
                  </w:r>
                </w:p>
              </w:tc>
              <w:tc>
                <w:tcPr>
                  <w:tcW w:w="1231" w:type="dxa"/>
                  <w:tcMar>
                    <w:top w:w="57" w:type="dxa"/>
                    <w:bottom w:w="57" w:type="dxa"/>
                  </w:tcMar>
                  <w:vAlign w:val="center"/>
                </w:tcPr>
                <w:p>
                  <w:pPr>
                    <w:pStyle w:val="29"/>
                    <w:rPr>
                      <w:rFonts w:hint="default" w:eastAsia="宋体"/>
                      <w:lang w:val="en-US" w:eastAsia="zh-CN"/>
                    </w:rPr>
                  </w:pPr>
                  <w:r>
                    <w:rPr>
                      <w:rFonts w:hint="eastAsia"/>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restart"/>
                  <w:tcMar>
                    <w:top w:w="57" w:type="dxa"/>
                    <w:bottom w:w="57" w:type="dxa"/>
                  </w:tcMar>
                  <w:vAlign w:val="center"/>
                </w:tcPr>
                <w:p>
                  <w:pPr>
                    <w:pStyle w:val="29"/>
                  </w:pPr>
                  <w:r>
                    <w:t>废水</w:t>
                  </w:r>
                </w:p>
              </w:tc>
              <w:tc>
                <w:tcPr>
                  <w:tcW w:w="949" w:type="dxa"/>
                  <w:vAlign w:val="center"/>
                </w:tcPr>
                <w:p>
                  <w:pPr>
                    <w:pStyle w:val="29"/>
                  </w:pPr>
                  <w:r>
                    <w:rPr>
                      <w:rFonts w:hint="eastAsia"/>
                    </w:rPr>
                    <w:t>钻探废水</w:t>
                  </w:r>
                </w:p>
              </w:tc>
              <w:tc>
                <w:tcPr>
                  <w:tcW w:w="5543" w:type="dxa"/>
                  <w:tcMar>
                    <w:top w:w="57" w:type="dxa"/>
                    <w:bottom w:w="57" w:type="dxa"/>
                  </w:tcMar>
                  <w:vAlign w:val="center"/>
                </w:tcPr>
                <w:p>
                  <w:pPr>
                    <w:pStyle w:val="29"/>
                  </w:pPr>
                  <w:r>
                    <w:t>每个钻孔设置一座循环沉淀池（5m</w:t>
                  </w:r>
                  <w:r>
                    <w:rPr>
                      <w:vertAlign w:val="superscript"/>
                    </w:rPr>
                    <w:t>3</w:t>
                  </w:r>
                  <w:r>
                    <w:t>），采用防渗膜塑料布及支架组装，大部分循环使用，少量用于洒水降尘</w:t>
                  </w:r>
                </w:p>
              </w:tc>
              <w:tc>
                <w:tcPr>
                  <w:tcW w:w="1231" w:type="dxa"/>
                  <w:tcMar>
                    <w:top w:w="57" w:type="dxa"/>
                    <w:bottom w:w="57" w:type="dxa"/>
                  </w:tcMar>
                  <w:vAlign w:val="center"/>
                </w:tcPr>
                <w:p>
                  <w:pPr>
                    <w:pStyle w:val="29"/>
                    <w:rPr>
                      <w:rFonts w:hint="default" w:eastAsia="宋体"/>
                      <w:lang w:val="en-US" w:eastAsia="zh-CN"/>
                    </w:rPr>
                  </w:pPr>
                  <w:r>
                    <w:rPr>
                      <w:rFonts w:hint="eastAsia"/>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29"/>
                  </w:pPr>
                </w:p>
              </w:tc>
              <w:tc>
                <w:tcPr>
                  <w:tcW w:w="949" w:type="dxa"/>
                  <w:vAlign w:val="center"/>
                </w:tcPr>
                <w:p>
                  <w:pPr>
                    <w:pStyle w:val="29"/>
                    <w:rPr>
                      <w:rFonts w:hint="eastAsia" w:eastAsia="宋体"/>
                      <w:lang w:eastAsia="zh-CN"/>
                    </w:rPr>
                  </w:pPr>
                  <w:r>
                    <w:rPr>
                      <w:rFonts w:hint="eastAsia"/>
                      <w:lang w:eastAsia="zh-CN"/>
                    </w:rPr>
                    <w:t>生活污水</w:t>
                  </w:r>
                </w:p>
              </w:tc>
              <w:tc>
                <w:tcPr>
                  <w:tcW w:w="5543" w:type="dxa"/>
                  <w:tcMar>
                    <w:top w:w="57" w:type="dxa"/>
                    <w:bottom w:w="57" w:type="dxa"/>
                  </w:tcMar>
                  <w:vAlign w:val="center"/>
                </w:tcPr>
                <w:p>
                  <w:pPr>
                    <w:pStyle w:val="29"/>
                  </w:pPr>
                  <w:r>
                    <w:rPr>
                      <w:rFonts w:hint="eastAsia"/>
                    </w:rPr>
                    <w:t>生活污水</w:t>
                  </w:r>
                  <w:r>
                    <w:rPr>
                      <w:rFonts w:hint="eastAsia"/>
                      <w:lang w:val="en-US" w:eastAsia="zh-CN"/>
                    </w:rPr>
                    <w:t>经化粪池处理后用于荒漠灌溉。</w:t>
                  </w:r>
                </w:p>
              </w:tc>
              <w:tc>
                <w:tcPr>
                  <w:tcW w:w="1231" w:type="dxa"/>
                  <w:tcMar>
                    <w:top w:w="57" w:type="dxa"/>
                    <w:bottom w:w="57" w:type="dxa"/>
                  </w:tcMar>
                  <w:vAlign w:val="center"/>
                </w:tcPr>
                <w:p>
                  <w:pPr>
                    <w:pStyle w:val="29"/>
                    <w:rPr>
                      <w:rFonts w:hint="eastAsia" w:eastAsia="宋体"/>
                      <w:lang w:eastAsia="zh-CN"/>
                    </w:rPr>
                  </w:pPr>
                  <w:r>
                    <w:rPr>
                      <w:rFonts w:hint="eastAsia"/>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tcMar>
                    <w:top w:w="57" w:type="dxa"/>
                    <w:bottom w:w="57" w:type="dxa"/>
                  </w:tcMar>
                  <w:vAlign w:val="center"/>
                </w:tcPr>
                <w:p>
                  <w:pPr>
                    <w:pStyle w:val="29"/>
                  </w:pPr>
                  <w:r>
                    <w:t>噪声</w:t>
                  </w:r>
                </w:p>
              </w:tc>
              <w:tc>
                <w:tcPr>
                  <w:tcW w:w="949" w:type="dxa"/>
                  <w:vAlign w:val="center"/>
                </w:tcPr>
                <w:p>
                  <w:pPr>
                    <w:pStyle w:val="29"/>
                  </w:pPr>
                  <w:r>
                    <w:rPr>
                      <w:rFonts w:hint="eastAsia"/>
                    </w:rPr>
                    <w:t>机械噪声</w:t>
                  </w:r>
                </w:p>
              </w:tc>
              <w:tc>
                <w:tcPr>
                  <w:tcW w:w="5543" w:type="dxa"/>
                  <w:tcMar>
                    <w:top w:w="57" w:type="dxa"/>
                    <w:bottom w:w="57" w:type="dxa"/>
                  </w:tcMar>
                  <w:vAlign w:val="center"/>
                </w:tcPr>
                <w:p>
                  <w:pPr>
                    <w:pStyle w:val="29"/>
                  </w:pPr>
                  <w:r>
                    <w:t>对连续接触高噪声源的操作人员，采取相应防护措施</w:t>
                  </w:r>
                </w:p>
              </w:tc>
              <w:tc>
                <w:tcPr>
                  <w:tcW w:w="1231" w:type="dxa"/>
                  <w:tcMar>
                    <w:top w:w="57" w:type="dxa"/>
                    <w:bottom w:w="57" w:type="dxa"/>
                  </w:tcMar>
                  <w:vAlign w:val="center"/>
                </w:tcPr>
                <w:p>
                  <w:pPr>
                    <w:pStyle w:val="29"/>
                    <w:rPr>
                      <w:rFonts w:hint="default" w:eastAsia="宋体"/>
                      <w:lang w:val="en-US" w:eastAsia="zh-CN"/>
                    </w:rPr>
                  </w:pPr>
                  <w:r>
                    <w:rPr>
                      <w:rFonts w:hint="eastAsia"/>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restart"/>
                  <w:tcMar>
                    <w:top w:w="57" w:type="dxa"/>
                    <w:bottom w:w="57" w:type="dxa"/>
                  </w:tcMar>
                  <w:vAlign w:val="center"/>
                </w:tcPr>
                <w:p>
                  <w:pPr>
                    <w:pStyle w:val="29"/>
                  </w:pPr>
                  <w:r>
                    <w:t>固体</w:t>
                  </w:r>
                </w:p>
                <w:p>
                  <w:pPr>
                    <w:pStyle w:val="29"/>
                  </w:pPr>
                  <w:r>
                    <w:t>废物</w:t>
                  </w:r>
                </w:p>
              </w:tc>
              <w:tc>
                <w:tcPr>
                  <w:tcW w:w="949" w:type="dxa"/>
                  <w:vAlign w:val="center"/>
                </w:tcPr>
                <w:p>
                  <w:pPr>
                    <w:pStyle w:val="29"/>
                  </w:pPr>
                  <w:r>
                    <w:rPr>
                      <w:rFonts w:hint="eastAsia"/>
                    </w:rPr>
                    <w:t>临时弃土</w:t>
                  </w:r>
                </w:p>
              </w:tc>
              <w:tc>
                <w:tcPr>
                  <w:tcW w:w="5543" w:type="dxa"/>
                  <w:tcMar>
                    <w:top w:w="57" w:type="dxa"/>
                    <w:bottom w:w="57" w:type="dxa"/>
                  </w:tcMar>
                  <w:vAlign w:val="center"/>
                </w:tcPr>
                <w:p>
                  <w:pPr>
                    <w:pStyle w:val="29"/>
                  </w:pPr>
                  <w:r>
                    <w:t>钻探产生的临时弃土，采用篷布覆盖暂存，然后用于植被恢复</w:t>
                  </w:r>
                </w:p>
              </w:tc>
              <w:tc>
                <w:tcPr>
                  <w:tcW w:w="1231" w:type="dxa"/>
                  <w:tcMar>
                    <w:top w:w="57" w:type="dxa"/>
                    <w:bottom w:w="57" w:type="dxa"/>
                  </w:tcMar>
                  <w:vAlign w:val="center"/>
                </w:tcPr>
                <w:p>
                  <w:pPr>
                    <w:pStyle w:val="29"/>
                    <w:rPr>
                      <w:rFonts w:hint="eastAsia" w:eastAsia="宋体"/>
                      <w:lang w:eastAsia="zh-CN"/>
                    </w:rPr>
                  </w:pPr>
                  <w:r>
                    <w:rPr>
                      <w:rFonts w:hint="eastAsia"/>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29"/>
                  </w:pPr>
                </w:p>
              </w:tc>
              <w:tc>
                <w:tcPr>
                  <w:tcW w:w="949" w:type="dxa"/>
                  <w:vAlign w:val="center"/>
                </w:tcPr>
                <w:p>
                  <w:pPr>
                    <w:pStyle w:val="29"/>
                  </w:pPr>
                  <w:r>
                    <w:rPr>
                      <w:rFonts w:hint="eastAsia"/>
                    </w:rPr>
                    <w:t>钻探泥浆</w:t>
                  </w:r>
                </w:p>
              </w:tc>
              <w:tc>
                <w:tcPr>
                  <w:tcW w:w="5543" w:type="dxa"/>
                  <w:tcMar>
                    <w:top w:w="57" w:type="dxa"/>
                    <w:bottom w:w="57" w:type="dxa"/>
                  </w:tcMar>
                  <w:vAlign w:val="center"/>
                </w:tcPr>
                <w:p>
                  <w:pPr>
                    <w:pStyle w:val="29"/>
                  </w:pPr>
                  <w:r>
                    <w:t>产生的钻探泥浆待完工后，沉淀池固化填埋</w:t>
                  </w:r>
                </w:p>
              </w:tc>
              <w:tc>
                <w:tcPr>
                  <w:tcW w:w="1231" w:type="dxa"/>
                  <w:tcMar>
                    <w:top w:w="57" w:type="dxa"/>
                    <w:bottom w:w="57" w:type="dxa"/>
                  </w:tcMar>
                  <w:vAlign w:val="center"/>
                </w:tcPr>
                <w:p>
                  <w:pPr>
                    <w:pStyle w:val="29"/>
                    <w:rPr>
                      <w:rFonts w:hint="eastAsia" w:eastAsia="宋体"/>
                      <w:lang w:eastAsia="zh-CN"/>
                    </w:rPr>
                  </w:pPr>
                  <w:r>
                    <w:rPr>
                      <w:rFonts w:hint="eastAsia"/>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29"/>
                  </w:pPr>
                </w:p>
              </w:tc>
              <w:tc>
                <w:tcPr>
                  <w:tcW w:w="949" w:type="dxa"/>
                  <w:vAlign w:val="center"/>
                </w:tcPr>
                <w:p>
                  <w:pPr>
                    <w:pStyle w:val="29"/>
                  </w:pPr>
                  <w:r>
                    <w:rPr>
                      <w:rFonts w:hint="eastAsia"/>
                    </w:rPr>
                    <w:t>生活垃圾</w:t>
                  </w:r>
                </w:p>
              </w:tc>
              <w:tc>
                <w:tcPr>
                  <w:tcW w:w="5543" w:type="dxa"/>
                  <w:tcMar>
                    <w:top w:w="57" w:type="dxa"/>
                    <w:bottom w:w="57" w:type="dxa"/>
                  </w:tcMar>
                  <w:vAlign w:val="center"/>
                </w:tcPr>
                <w:p>
                  <w:pPr>
                    <w:pStyle w:val="29"/>
                  </w:pPr>
                  <w:r>
                    <w:t>生活垃圾</w:t>
                  </w:r>
                  <w:r>
                    <w:rPr>
                      <w:rFonts w:hint="eastAsia"/>
                    </w:rPr>
                    <w:t>采用垃圾袋集中收集后运出矿区由环卫部门统一清运</w:t>
                  </w:r>
                </w:p>
              </w:tc>
              <w:tc>
                <w:tcPr>
                  <w:tcW w:w="1231" w:type="dxa"/>
                  <w:tcMar>
                    <w:top w:w="57" w:type="dxa"/>
                    <w:bottom w:w="57" w:type="dxa"/>
                  </w:tcMar>
                  <w:vAlign w:val="center"/>
                </w:tcPr>
                <w:p>
                  <w:pPr>
                    <w:pStyle w:val="29"/>
                    <w:rPr>
                      <w:rFonts w:hint="eastAsia" w:eastAsia="宋体"/>
                      <w:lang w:val="en-US" w:eastAsia="zh-CN"/>
                    </w:rPr>
                  </w:pPr>
                  <w:r>
                    <w:rPr>
                      <w:rFonts w:hint="eastAsia"/>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1485" w:type="dxa"/>
                  <w:gridSpan w:val="2"/>
                  <w:tcMar>
                    <w:top w:w="57" w:type="dxa"/>
                    <w:bottom w:w="57" w:type="dxa"/>
                  </w:tcMar>
                  <w:vAlign w:val="center"/>
                </w:tcPr>
                <w:p>
                  <w:pPr>
                    <w:pStyle w:val="29"/>
                  </w:pPr>
                  <w:r>
                    <w:rPr>
                      <w:rFonts w:hint="eastAsia"/>
                    </w:rPr>
                    <w:t>地下水</w:t>
                  </w:r>
                </w:p>
              </w:tc>
              <w:tc>
                <w:tcPr>
                  <w:tcW w:w="5543" w:type="dxa"/>
                  <w:tcMar>
                    <w:top w:w="57" w:type="dxa"/>
                    <w:bottom w:w="57" w:type="dxa"/>
                  </w:tcMar>
                  <w:vAlign w:val="center"/>
                </w:tcPr>
                <w:p>
                  <w:pPr>
                    <w:pStyle w:val="29"/>
                  </w:pPr>
                  <w:r>
                    <w:rPr>
                      <w:rFonts w:hint="eastAsia"/>
                    </w:rPr>
                    <w:t>沉淀池采用防渗膜塑料布及支架组装成。</w:t>
                  </w:r>
                  <w:r>
                    <w:rPr>
                      <w:rFonts w:hint="eastAsia"/>
                      <w:lang w:val="en-US" w:eastAsia="zh-CN"/>
                    </w:rPr>
                    <w:t>柴油储存区铺设双层防渗土工布铺垫对储存区域进行防渗处理。</w:t>
                  </w:r>
                </w:p>
              </w:tc>
              <w:tc>
                <w:tcPr>
                  <w:tcW w:w="1231" w:type="dxa"/>
                  <w:tcMar>
                    <w:top w:w="57" w:type="dxa"/>
                    <w:bottom w:w="57" w:type="dxa"/>
                  </w:tcMar>
                  <w:vAlign w:val="center"/>
                </w:tcPr>
                <w:p>
                  <w:pPr>
                    <w:pStyle w:val="29"/>
                    <w:rPr>
                      <w:rFonts w:hint="eastAsia" w:eastAsia="宋体"/>
                      <w:lang w:eastAsia="zh-CN"/>
                    </w:rPr>
                  </w:pPr>
                  <w:r>
                    <w:rPr>
                      <w:rFonts w:hint="eastAsia"/>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1485" w:type="dxa"/>
                  <w:gridSpan w:val="2"/>
                  <w:tcMar>
                    <w:top w:w="57" w:type="dxa"/>
                    <w:bottom w:w="57" w:type="dxa"/>
                  </w:tcMar>
                  <w:vAlign w:val="center"/>
                </w:tcPr>
                <w:p>
                  <w:pPr>
                    <w:pStyle w:val="29"/>
                  </w:pPr>
                  <w:r>
                    <w:rPr>
                      <w:rFonts w:hint="eastAsia"/>
                    </w:rPr>
                    <w:t>其他</w:t>
                  </w:r>
                </w:p>
              </w:tc>
              <w:tc>
                <w:tcPr>
                  <w:tcW w:w="5543" w:type="dxa"/>
                  <w:tcMar>
                    <w:top w:w="57" w:type="dxa"/>
                    <w:bottom w:w="57" w:type="dxa"/>
                  </w:tcMar>
                  <w:vAlign w:val="center"/>
                </w:tcPr>
                <w:p>
                  <w:pPr>
                    <w:pStyle w:val="29"/>
                  </w:pPr>
                  <w:r>
                    <w:t>加强环境管理，对作业人员开展生态环境保护宣传教育</w:t>
                  </w:r>
                </w:p>
              </w:tc>
              <w:tc>
                <w:tcPr>
                  <w:tcW w:w="1231" w:type="dxa"/>
                  <w:tcMar>
                    <w:top w:w="57" w:type="dxa"/>
                    <w:bottom w:w="57" w:type="dxa"/>
                  </w:tcMar>
                  <w:vAlign w:val="center"/>
                </w:tcPr>
                <w:p>
                  <w:pPr>
                    <w:pStyle w:val="29"/>
                    <w:rPr>
                      <w:rFonts w:hint="default" w:eastAsia="宋体"/>
                      <w:lang w:val="en-US" w:eastAsia="zh-CN"/>
                    </w:rPr>
                  </w:pPr>
                  <w:r>
                    <w:rPr>
                      <w:rFonts w:hint="eastAsia"/>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271" w:hRule="atLeast"/>
                <w:jc w:val="center"/>
              </w:trPr>
              <w:tc>
                <w:tcPr>
                  <w:tcW w:w="7028" w:type="dxa"/>
                  <w:gridSpan w:val="3"/>
                </w:tcPr>
                <w:p>
                  <w:pPr>
                    <w:pStyle w:val="29"/>
                  </w:pPr>
                  <w:r>
                    <w:t>合计</w:t>
                  </w:r>
                </w:p>
              </w:tc>
              <w:tc>
                <w:tcPr>
                  <w:tcW w:w="1231" w:type="dxa"/>
                  <w:tcMar>
                    <w:top w:w="57" w:type="dxa"/>
                    <w:bottom w:w="57" w:type="dxa"/>
                  </w:tcMar>
                  <w:vAlign w:val="center"/>
                </w:tcPr>
                <w:p>
                  <w:pPr>
                    <w:pStyle w:val="29"/>
                    <w:rPr>
                      <w:rFonts w:hint="default" w:eastAsia="宋体"/>
                      <w:lang w:val="en-US" w:eastAsia="zh-CN"/>
                    </w:rPr>
                  </w:pPr>
                  <w:r>
                    <w:rPr>
                      <w:rFonts w:hint="eastAsia"/>
                      <w:highlight w:val="none"/>
                      <w:lang w:val="en-US" w:eastAsia="zh-CN"/>
                    </w:rPr>
                    <w:t>64</w:t>
                  </w:r>
                </w:p>
              </w:tc>
            </w:tr>
          </w:tbl>
          <w:p>
            <w:pPr>
              <w:ind w:firstLine="480"/>
              <w:rPr>
                <w:szCs w:val="32"/>
              </w:rPr>
            </w:pPr>
          </w:p>
          <w:p>
            <w:pPr>
              <w:ind w:firstLine="0" w:firstLineChars="0"/>
              <w:rPr>
                <w:szCs w:val="32"/>
              </w:rPr>
            </w:pPr>
          </w:p>
        </w:tc>
      </w:tr>
    </w:tbl>
    <w:p>
      <w:pPr>
        <w:rPr>
          <w:rFonts w:hint="eastAsia"/>
          <w:snapToGrid w:val="0"/>
        </w:rPr>
      </w:pPr>
      <w:r>
        <w:rPr>
          <w:rFonts w:hint="eastAsia"/>
          <w:snapToGrid w:val="0"/>
        </w:rPr>
        <w:br w:type="page"/>
      </w:r>
    </w:p>
    <w:p>
      <w:pPr>
        <w:pStyle w:val="2"/>
        <w:rPr>
          <w:snapToGrid w:val="0"/>
        </w:rPr>
      </w:pPr>
      <w:r>
        <w:rPr>
          <w:rFonts w:hint="eastAsia"/>
          <w:snapToGrid w:val="0"/>
        </w:rPr>
        <w:t>六、</w:t>
      </w:r>
      <w:bookmarkStart w:id="21" w:name="_Hlk54167917"/>
      <w:r>
        <w:rPr>
          <w:rFonts w:hint="eastAsia"/>
          <w:snapToGrid w:val="0"/>
        </w:rPr>
        <w:t>生态环境保护措施监督检查清单</w:t>
      </w:r>
      <w:bookmarkEnd w:id="21"/>
    </w:p>
    <w:tbl>
      <w:tblPr>
        <w:tblStyle w:val="1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294"/>
        <w:gridCol w:w="2481"/>
        <w:gridCol w:w="1525"/>
        <w:gridCol w:w="1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70" w:type="dxa"/>
            <w:vMerge w:val="restart"/>
            <w:tcBorders>
              <w:tl2br w:val="single" w:color="auto" w:sz="4" w:space="0"/>
            </w:tcBorders>
          </w:tcPr>
          <w:p>
            <w:pPr>
              <w:pStyle w:val="26"/>
            </w:pPr>
            <w:r>
              <w:rPr>
                <w:rFonts w:hint="eastAsia"/>
              </w:rPr>
              <w:t>内容</w:t>
            </w:r>
          </w:p>
          <w:p>
            <w:pPr>
              <w:pStyle w:val="26"/>
            </w:pPr>
          </w:p>
          <w:p>
            <w:pPr>
              <w:pStyle w:val="26"/>
              <w:jc w:val="both"/>
            </w:pPr>
            <w:r>
              <w:rPr>
                <w:rFonts w:hint="eastAsia"/>
              </w:rPr>
              <w:t>要素</w:t>
            </w:r>
          </w:p>
        </w:tc>
        <w:tc>
          <w:tcPr>
            <w:tcW w:w="4775" w:type="dxa"/>
            <w:gridSpan w:val="2"/>
            <w:vAlign w:val="center"/>
          </w:tcPr>
          <w:p>
            <w:pPr>
              <w:pStyle w:val="26"/>
            </w:pPr>
            <w:r>
              <w:rPr>
                <w:rFonts w:hint="eastAsia"/>
              </w:rPr>
              <w:t>施工期</w:t>
            </w:r>
          </w:p>
        </w:tc>
        <w:tc>
          <w:tcPr>
            <w:tcW w:w="2655" w:type="dxa"/>
            <w:gridSpan w:val="2"/>
            <w:vAlign w:val="center"/>
          </w:tcPr>
          <w:p>
            <w:pPr>
              <w:pStyle w:val="26"/>
            </w:pPr>
            <w:r>
              <w:rPr>
                <w:rFonts w:hint="eastAsia"/>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tl2br w:val="single" w:color="auto" w:sz="4" w:space="0"/>
            </w:tcBorders>
          </w:tcPr>
          <w:p>
            <w:pPr>
              <w:pStyle w:val="26"/>
              <w:rPr>
                <w:rFonts w:hint="eastAsia" w:ascii="宋体" w:hAnsi="宋体" w:cs="宋体"/>
                <w:szCs w:val="21"/>
              </w:rPr>
            </w:pPr>
          </w:p>
        </w:tc>
        <w:tc>
          <w:tcPr>
            <w:tcW w:w="2294" w:type="dxa"/>
            <w:vAlign w:val="center"/>
          </w:tcPr>
          <w:p>
            <w:pPr>
              <w:pStyle w:val="26"/>
            </w:pPr>
            <w:r>
              <w:rPr>
                <w:rFonts w:hint="eastAsia"/>
              </w:rPr>
              <w:t>环境保护措施</w:t>
            </w:r>
          </w:p>
        </w:tc>
        <w:tc>
          <w:tcPr>
            <w:tcW w:w="2481" w:type="dxa"/>
            <w:vAlign w:val="center"/>
          </w:tcPr>
          <w:p>
            <w:pPr>
              <w:pStyle w:val="26"/>
            </w:pPr>
            <w:r>
              <w:rPr>
                <w:rFonts w:hint="eastAsia"/>
              </w:rPr>
              <w:t>验收要求</w:t>
            </w:r>
          </w:p>
        </w:tc>
        <w:tc>
          <w:tcPr>
            <w:tcW w:w="1525" w:type="dxa"/>
            <w:vAlign w:val="center"/>
          </w:tcPr>
          <w:p>
            <w:pPr>
              <w:pStyle w:val="26"/>
            </w:pPr>
            <w:r>
              <w:rPr>
                <w:rFonts w:hint="eastAsia"/>
              </w:rPr>
              <w:t>环境保护措施</w:t>
            </w:r>
          </w:p>
        </w:tc>
        <w:tc>
          <w:tcPr>
            <w:tcW w:w="1130" w:type="dxa"/>
            <w:vAlign w:val="center"/>
          </w:tcPr>
          <w:p>
            <w:pPr>
              <w:pStyle w:val="26"/>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陆生生态</w:t>
            </w:r>
          </w:p>
        </w:tc>
        <w:tc>
          <w:tcPr>
            <w:tcW w:w="2294" w:type="dxa"/>
            <w:vAlign w:val="center"/>
          </w:tcPr>
          <w:p>
            <w:pPr>
              <w:pStyle w:val="26"/>
            </w:pPr>
            <w:r>
              <w:t>施工期间在项目用地范围内施工，严禁超范围施工，注意对</w:t>
            </w:r>
            <w:r>
              <w:rPr>
                <w:rFonts w:hint="eastAsia"/>
              </w:rPr>
              <w:t>项目周围</w:t>
            </w:r>
            <w:r>
              <w:t>植被的保护，施工结束后及时采取工程和植物措施对临时用地进行迹地恢复</w:t>
            </w:r>
          </w:p>
        </w:tc>
        <w:tc>
          <w:tcPr>
            <w:tcW w:w="2481" w:type="dxa"/>
            <w:vAlign w:val="center"/>
          </w:tcPr>
          <w:p>
            <w:pPr>
              <w:pStyle w:val="26"/>
              <w:rPr>
                <w:rFonts w:cs="宋体"/>
              </w:rPr>
            </w:pPr>
            <w:r>
              <w:t>严格限制施工作业范围，禁止破坏施工作业外的地表植被，临时占地复垦到原状态</w:t>
            </w:r>
          </w:p>
        </w:tc>
        <w:tc>
          <w:tcPr>
            <w:tcW w:w="1525" w:type="dxa"/>
            <w:vAlign w:val="center"/>
          </w:tcPr>
          <w:p>
            <w:pPr>
              <w:pStyle w:val="26"/>
            </w:pPr>
            <w:r>
              <w:rPr>
                <w:rFonts w:hint="eastAsia"/>
              </w:rPr>
              <w:t>/</w:t>
            </w:r>
          </w:p>
        </w:tc>
        <w:tc>
          <w:tcPr>
            <w:tcW w:w="1130" w:type="dxa"/>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水生生态</w:t>
            </w:r>
          </w:p>
        </w:tc>
        <w:tc>
          <w:tcPr>
            <w:tcW w:w="2294" w:type="dxa"/>
            <w:vAlign w:val="center"/>
          </w:tcPr>
          <w:p>
            <w:pPr>
              <w:pStyle w:val="26"/>
              <w:rPr>
                <w:rFonts w:hint="eastAsia" w:ascii="宋体" w:hAnsi="宋体" w:cs="宋体"/>
                <w:szCs w:val="21"/>
              </w:rPr>
            </w:pPr>
            <w:r>
              <w:rPr>
                <w:rFonts w:hint="eastAsia" w:ascii="宋体" w:hAnsi="宋体" w:cs="宋体"/>
                <w:szCs w:val="21"/>
              </w:rPr>
              <w:t>/</w:t>
            </w:r>
          </w:p>
        </w:tc>
        <w:tc>
          <w:tcPr>
            <w:tcW w:w="2481" w:type="dxa"/>
            <w:vAlign w:val="center"/>
          </w:tcPr>
          <w:p>
            <w:pPr>
              <w:pStyle w:val="26"/>
              <w:rPr>
                <w:rFonts w:hint="eastAsia" w:ascii="宋体" w:hAnsi="宋体" w:cs="宋体"/>
                <w:szCs w:val="21"/>
              </w:rPr>
            </w:pPr>
            <w:r>
              <w:rPr>
                <w:rFonts w:hint="eastAsia" w:ascii="宋体" w:hAnsi="宋体" w:cs="宋体"/>
                <w:szCs w:val="21"/>
              </w:rPr>
              <w:t>/</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restart"/>
            <w:vAlign w:val="center"/>
          </w:tcPr>
          <w:p>
            <w:pPr>
              <w:pStyle w:val="26"/>
            </w:pPr>
            <w:r>
              <w:rPr>
                <w:rFonts w:hint="eastAsia"/>
              </w:rPr>
              <w:t>地表水环境</w:t>
            </w:r>
          </w:p>
        </w:tc>
        <w:tc>
          <w:tcPr>
            <w:tcW w:w="2294" w:type="dxa"/>
            <w:vAlign w:val="center"/>
          </w:tcPr>
          <w:p>
            <w:pPr>
              <w:pStyle w:val="26"/>
              <w:rPr>
                <w:rFonts w:hint="eastAsia" w:ascii="宋体" w:hAnsi="宋体" w:cs="宋体"/>
                <w:szCs w:val="21"/>
              </w:rPr>
            </w:pPr>
            <w:r>
              <w:rPr>
                <w:bCs/>
                <w:szCs w:val="21"/>
              </w:rPr>
              <w:t>施工</w:t>
            </w:r>
            <w:r>
              <w:rPr>
                <w:rFonts w:hint="eastAsia"/>
                <w:bCs/>
                <w:szCs w:val="21"/>
              </w:rPr>
              <w:t>生产</w:t>
            </w:r>
            <w:r>
              <w:rPr>
                <w:bCs/>
                <w:szCs w:val="21"/>
              </w:rPr>
              <w:t>废水沉淀池（</w:t>
            </w:r>
            <w:r>
              <w:rPr>
                <w:rFonts w:hint="eastAsia"/>
                <w:bCs/>
                <w:szCs w:val="21"/>
              </w:rPr>
              <w:t>每个钻孔均</w:t>
            </w:r>
            <w:r>
              <w:rPr>
                <w:bCs/>
                <w:szCs w:val="21"/>
              </w:rPr>
              <w:t>约5</w:t>
            </w:r>
            <w:r>
              <w:rPr>
                <w:rFonts w:hint="eastAsia"/>
                <w:bCs/>
                <w:szCs w:val="21"/>
              </w:rPr>
              <w:t>m</w:t>
            </w:r>
            <w:r>
              <w:rPr>
                <w:rFonts w:hint="eastAsia"/>
                <w:bCs/>
                <w:szCs w:val="21"/>
                <w:vertAlign w:val="superscript"/>
              </w:rPr>
              <w:t>3</w:t>
            </w:r>
            <w:r>
              <w:rPr>
                <w:bCs/>
                <w:szCs w:val="21"/>
              </w:rPr>
              <w:t>）</w:t>
            </w:r>
          </w:p>
        </w:tc>
        <w:tc>
          <w:tcPr>
            <w:tcW w:w="2481" w:type="dxa"/>
            <w:vAlign w:val="center"/>
          </w:tcPr>
          <w:p>
            <w:pPr>
              <w:pStyle w:val="26"/>
              <w:rPr>
                <w:rFonts w:hint="eastAsia" w:ascii="宋体" w:hAnsi="宋体" w:cs="宋体"/>
                <w:szCs w:val="21"/>
              </w:rPr>
            </w:pPr>
            <w:r>
              <w:rPr>
                <w:rFonts w:hint="eastAsia"/>
                <w:bCs/>
                <w:szCs w:val="21"/>
              </w:rPr>
              <w:t>循环利用，不外排</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continue"/>
            <w:vAlign w:val="center"/>
          </w:tcPr>
          <w:p>
            <w:pPr>
              <w:pStyle w:val="26"/>
            </w:pPr>
          </w:p>
        </w:tc>
        <w:tc>
          <w:tcPr>
            <w:tcW w:w="2294" w:type="dxa"/>
            <w:vAlign w:val="center"/>
          </w:tcPr>
          <w:p>
            <w:pPr>
              <w:pStyle w:val="26"/>
              <w:rPr>
                <w:bCs/>
                <w:szCs w:val="21"/>
              </w:rPr>
            </w:pPr>
            <w:r>
              <w:rPr>
                <w:rFonts w:hint="eastAsia"/>
              </w:rPr>
              <w:t>生活污水</w:t>
            </w:r>
            <w:r>
              <w:rPr>
                <w:rFonts w:hint="eastAsia"/>
                <w:lang w:val="en-US" w:eastAsia="zh-CN"/>
              </w:rPr>
              <w:t>经化粪池处理后用于荒漠灌溉。</w:t>
            </w:r>
          </w:p>
        </w:tc>
        <w:tc>
          <w:tcPr>
            <w:tcW w:w="2481" w:type="dxa"/>
            <w:vAlign w:val="center"/>
          </w:tcPr>
          <w:p>
            <w:pPr>
              <w:pStyle w:val="26"/>
              <w:rPr>
                <w:bCs/>
                <w:szCs w:val="21"/>
              </w:rPr>
            </w:pPr>
            <w:r>
              <w:rPr>
                <w:rFonts w:hint="eastAsia"/>
                <w:bCs/>
                <w:szCs w:val="21"/>
                <w:lang w:val="en-US" w:eastAsia="zh-CN"/>
              </w:rPr>
              <w:t>生活污水达到《农村生活污水处理排放标准》（DB654275-2019）表2的C级标准；</w:t>
            </w:r>
          </w:p>
        </w:tc>
        <w:tc>
          <w:tcPr>
            <w:tcW w:w="1525" w:type="dxa"/>
            <w:vAlign w:val="center"/>
          </w:tcPr>
          <w:p>
            <w:pPr>
              <w:pStyle w:val="26"/>
              <w:rPr>
                <w:rFonts w:hint="eastAsia" w:ascii="宋体" w:hAnsi="宋体" w:cs="宋体"/>
                <w:szCs w:val="21"/>
              </w:rPr>
            </w:pPr>
          </w:p>
        </w:tc>
        <w:tc>
          <w:tcPr>
            <w:tcW w:w="1130" w:type="dxa"/>
            <w:vAlign w:val="center"/>
          </w:tcPr>
          <w:p>
            <w:pPr>
              <w:pStyle w:val="26"/>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地下水及土壤环境</w:t>
            </w:r>
          </w:p>
        </w:tc>
        <w:tc>
          <w:tcPr>
            <w:tcW w:w="2294" w:type="dxa"/>
            <w:vAlign w:val="center"/>
          </w:tcPr>
          <w:p>
            <w:pPr>
              <w:pStyle w:val="26"/>
              <w:rPr>
                <w:rFonts w:hint="eastAsia" w:ascii="宋体" w:hAnsi="宋体" w:cs="宋体"/>
                <w:szCs w:val="21"/>
              </w:rPr>
            </w:pPr>
            <w:r>
              <w:rPr>
                <w:rFonts w:hint="eastAsia" w:ascii="宋体" w:hAnsi="宋体" w:cs="宋体"/>
                <w:szCs w:val="21"/>
              </w:rPr>
              <w:t>/</w:t>
            </w:r>
          </w:p>
        </w:tc>
        <w:tc>
          <w:tcPr>
            <w:tcW w:w="2481" w:type="dxa"/>
            <w:vAlign w:val="center"/>
          </w:tcPr>
          <w:p>
            <w:pPr>
              <w:pStyle w:val="26"/>
              <w:rPr>
                <w:rFonts w:hint="eastAsia" w:ascii="宋体" w:hAnsi="宋体" w:cs="宋体"/>
                <w:szCs w:val="21"/>
              </w:rPr>
            </w:pPr>
            <w:r>
              <w:rPr>
                <w:rFonts w:hint="eastAsia" w:ascii="宋体" w:hAnsi="宋体" w:cs="宋体"/>
                <w:szCs w:val="21"/>
              </w:rPr>
              <w:t>/</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声环境</w:t>
            </w:r>
          </w:p>
        </w:tc>
        <w:tc>
          <w:tcPr>
            <w:tcW w:w="2294" w:type="dxa"/>
            <w:vAlign w:val="center"/>
          </w:tcPr>
          <w:p>
            <w:pPr>
              <w:pStyle w:val="26"/>
              <w:rPr>
                <w:rFonts w:hint="eastAsia" w:ascii="宋体" w:hAnsi="宋体" w:cs="宋体"/>
                <w:szCs w:val="21"/>
              </w:rPr>
            </w:pPr>
            <w:r>
              <w:rPr>
                <w:rFonts w:hint="eastAsia"/>
                <w:szCs w:val="21"/>
              </w:rPr>
              <w:t>夜间应禁止施工作业；合理进行施工总平布置；采用低噪声设备并做好施工机械的保养和维护；对高噪声设备采取隔声措施</w:t>
            </w:r>
          </w:p>
        </w:tc>
        <w:tc>
          <w:tcPr>
            <w:tcW w:w="2481" w:type="dxa"/>
            <w:vAlign w:val="center"/>
          </w:tcPr>
          <w:p>
            <w:pPr>
              <w:pStyle w:val="26"/>
              <w:rPr>
                <w:rFonts w:hint="eastAsia" w:ascii="宋体" w:hAnsi="宋体" w:cs="宋体"/>
                <w:szCs w:val="21"/>
              </w:rPr>
            </w:pPr>
            <w:r>
              <w:rPr>
                <w:szCs w:val="21"/>
              </w:rPr>
              <w:t>《建筑施工场界环境噪声排放限值》（GB12523-2011）</w:t>
            </w:r>
            <w:r>
              <w:rPr>
                <w:rFonts w:hint="eastAsia"/>
                <w:szCs w:val="21"/>
                <w:lang w:val="en-US" w:eastAsia="zh-CN"/>
              </w:rPr>
              <w:t>2类</w:t>
            </w:r>
            <w:r>
              <w:rPr>
                <w:szCs w:val="21"/>
              </w:rPr>
              <w:t>标准</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振动</w:t>
            </w:r>
          </w:p>
        </w:tc>
        <w:tc>
          <w:tcPr>
            <w:tcW w:w="2294" w:type="dxa"/>
            <w:vAlign w:val="center"/>
          </w:tcPr>
          <w:p>
            <w:pPr>
              <w:pStyle w:val="26"/>
              <w:rPr>
                <w:rFonts w:hint="eastAsia" w:ascii="宋体" w:hAnsi="宋体" w:cs="宋体"/>
                <w:szCs w:val="21"/>
              </w:rPr>
            </w:pPr>
            <w:r>
              <w:rPr>
                <w:rFonts w:hint="eastAsia" w:ascii="宋体" w:hAnsi="宋体" w:cs="宋体"/>
                <w:szCs w:val="21"/>
              </w:rPr>
              <w:t>/</w:t>
            </w:r>
          </w:p>
        </w:tc>
        <w:tc>
          <w:tcPr>
            <w:tcW w:w="2481" w:type="dxa"/>
            <w:vAlign w:val="center"/>
          </w:tcPr>
          <w:p>
            <w:pPr>
              <w:pStyle w:val="26"/>
              <w:rPr>
                <w:rFonts w:hint="eastAsia" w:ascii="宋体" w:hAnsi="宋体" w:cs="宋体"/>
                <w:szCs w:val="21"/>
              </w:rPr>
            </w:pPr>
            <w:r>
              <w:rPr>
                <w:rFonts w:hint="eastAsia" w:ascii="宋体" w:hAnsi="宋体" w:cs="宋体"/>
                <w:szCs w:val="21"/>
              </w:rPr>
              <w:t>/</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restart"/>
            <w:vAlign w:val="center"/>
          </w:tcPr>
          <w:p>
            <w:pPr>
              <w:pStyle w:val="26"/>
            </w:pPr>
            <w:r>
              <w:rPr>
                <w:rFonts w:hint="eastAsia"/>
              </w:rPr>
              <w:t>大气环境</w:t>
            </w:r>
          </w:p>
        </w:tc>
        <w:tc>
          <w:tcPr>
            <w:tcW w:w="2294" w:type="dxa"/>
            <w:vAlign w:val="center"/>
          </w:tcPr>
          <w:p>
            <w:pPr>
              <w:pStyle w:val="26"/>
              <w:rPr>
                <w:rFonts w:hint="eastAsia" w:ascii="宋体" w:hAnsi="宋体" w:cs="宋体"/>
                <w:szCs w:val="21"/>
              </w:rPr>
            </w:pPr>
            <w:r>
              <w:rPr>
                <w:rFonts w:hint="eastAsia" w:ascii="宋体" w:hAnsi="宋体" w:cs="宋体"/>
                <w:szCs w:val="21"/>
              </w:rPr>
              <w:t>施工扬尘设置围挡、洒水降尘</w:t>
            </w:r>
          </w:p>
        </w:tc>
        <w:tc>
          <w:tcPr>
            <w:tcW w:w="2481" w:type="dxa"/>
            <w:vAlign w:val="center"/>
          </w:tcPr>
          <w:p>
            <w:pPr>
              <w:pStyle w:val="26"/>
              <w:rPr>
                <w:rFonts w:hint="default"/>
                <w:szCs w:val="21"/>
                <w:lang w:val="en-US" w:eastAsia="zh-CN"/>
              </w:rPr>
            </w:pPr>
            <w:r>
              <w:rPr>
                <w:szCs w:val="21"/>
              </w:rPr>
              <w:t>《大气污染物</w:t>
            </w:r>
            <w:r>
              <w:rPr>
                <w:rFonts w:hint="eastAsia"/>
                <w:szCs w:val="21"/>
              </w:rPr>
              <w:t>综合</w:t>
            </w:r>
            <w:r>
              <w:rPr>
                <w:szCs w:val="21"/>
              </w:rPr>
              <w:t>排放标准》（GB16297-1996）</w:t>
            </w:r>
            <w:r>
              <w:rPr>
                <w:rFonts w:hint="eastAsia"/>
                <w:szCs w:val="21"/>
                <w:lang w:val="en-US" w:eastAsia="zh-CN"/>
              </w:rPr>
              <w:t>表2无组织排放监控浓度限值</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continue"/>
            <w:vAlign w:val="center"/>
          </w:tcPr>
          <w:p>
            <w:pPr>
              <w:pStyle w:val="26"/>
            </w:pPr>
          </w:p>
        </w:tc>
        <w:tc>
          <w:tcPr>
            <w:tcW w:w="2294" w:type="dxa"/>
            <w:vAlign w:val="center"/>
          </w:tcPr>
          <w:p>
            <w:pPr>
              <w:pStyle w:val="26"/>
              <w:rPr>
                <w:rFonts w:hint="eastAsia" w:ascii="宋体" w:hAnsi="宋体" w:cs="宋体"/>
                <w:szCs w:val="21"/>
              </w:rPr>
            </w:pPr>
            <w:r>
              <w:rPr>
                <w:rFonts w:hint="eastAsia" w:ascii="宋体" w:hAnsi="宋体" w:cs="宋体"/>
                <w:szCs w:val="21"/>
              </w:rPr>
              <w:t>施工机械尾气自然扩散</w:t>
            </w:r>
          </w:p>
        </w:tc>
        <w:tc>
          <w:tcPr>
            <w:tcW w:w="2481" w:type="dxa"/>
            <w:vAlign w:val="center"/>
          </w:tcPr>
          <w:p>
            <w:pPr>
              <w:pStyle w:val="26"/>
              <w:rPr>
                <w:rFonts w:hint="eastAsia"/>
                <w:szCs w:val="21"/>
              </w:rPr>
            </w:pPr>
            <w:r>
              <w:rPr>
                <w:szCs w:val="21"/>
              </w:rPr>
              <w:t>《非道路移动机械用柴油机排气污染物排放限值及测量方法（中国第三、四阶段）》（GB20891-2014）</w:t>
            </w:r>
            <w:r>
              <w:rPr>
                <w:rFonts w:hint="eastAsia"/>
                <w:szCs w:val="21"/>
              </w:rPr>
              <w:t>表2</w:t>
            </w:r>
          </w:p>
        </w:tc>
        <w:tc>
          <w:tcPr>
            <w:tcW w:w="1525" w:type="dxa"/>
            <w:vAlign w:val="center"/>
          </w:tcPr>
          <w:p>
            <w:pPr>
              <w:pStyle w:val="26"/>
              <w:rPr>
                <w:rFonts w:hint="eastAsia" w:ascii="宋体" w:hAnsi="宋体" w:cs="宋体"/>
                <w:szCs w:val="21"/>
              </w:rPr>
            </w:pPr>
          </w:p>
        </w:tc>
        <w:tc>
          <w:tcPr>
            <w:tcW w:w="1130" w:type="dxa"/>
            <w:vAlign w:val="center"/>
          </w:tcPr>
          <w:p>
            <w:pPr>
              <w:pStyle w:val="26"/>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固体废物</w:t>
            </w:r>
          </w:p>
        </w:tc>
        <w:tc>
          <w:tcPr>
            <w:tcW w:w="2294" w:type="dxa"/>
            <w:vAlign w:val="center"/>
          </w:tcPr>
          <w:p>
            <w:pPr>
              <w:pStyle w:val="26"/>
              <w:rPr>
                <w:rFonts w:hint="eastAsia" w:ascii="宋体" w:hAnsi="宋体" w:cs="宋体"/>
                <w:szCs w:val="21"/>
              </w:rPr>
            </w:pPr>
            <w:r>
              <w:rPr>
                <w:rFonts w:hint="eastAsia"/>
                <w:szCs w:val="21"/>
              </w:rPr>
              <w:t>剥离的表土和挖出的土石方在临时堆场暂存后用于回填和土地恢复。</w:t>
            </w:r>
            <w:r>
              <w:rPr>
                <w:rFonts w:hint="eastAsia"/>
                <w:lang w:val="en-US" w:eastAsia="zh-CN"/>
              </w:rPr>
              <w:t>钻孔岩屑用于封孔，对钻孔进行密封；</w:t>
            </w:r>
            <w:r>
              <w:t>生活垃圾</w:t>
            </w:r>
            <w:r>
              <w:rPr>
                <w:rFonts w:hint="eastAsia"/>
              </w:rPr>
              <w:t>采用垃圾袋集中收集后运出矿区由环卫部门统一清运</w:t>
            </w:r>
            <w:r>
              <w:t>。</w:t>
            </w:r>
            <w:r>
              <w:rPr>
                <w:rFonts w:hint="eastAsia"/>
                <w:lang w:val="en-US" w:eastAsia="zh-CN"/>
              </w:rPr>
              <w:t>废包装物、废防渗膜均收集后进行回收。</w:t>
            </w:r>
          </w:p>
        </w:tc>
        <w:tc>
          <w:tcPr>
            <w:tcW w:w="2481" w:type="dxa"/>
            <w:vAlign w:val="center"/>
          </w:tcPr>
          <w:p>
            <w:pPr>
              <w:pStyle w:val="26"/>
              <w:rPr>
                <w:rFonts w:hint="eastAsia" w:ascii="宋体" w:hAnsi="宋体" w:cs="宋体"/>
                <w:szCs w:val="21"/>
              </w:rPr>
            </w:pPr>
            <w:r>
              <w:rPr>
                <w:color w:val="000000"/>
                <w:szCs w:val="21"/>
              </w:rPr>
              <w:t>施工期的固废妥善</w:t>
            </w:r>
            <w:r>
              <w:rPr>
                <w:rFonts w:hint="eastAsia"/>
                <w:color w:val="000000"/>
                <w:szCs w:val="21"/>
              </w:rPr>
              <w:t>地</w:t>
            </w:r>
            <w:r>
              <w:rPr>
                <w:color w:val="000000"/>
                <w:szCs w:val="21"/>
              </w:rPr>
              <w:t>处理</w:t>
            </w:r>
            <w:r>
              <w:rPr>
                <w:rFonts w:hint="eastAsia"/>
                <w:color w:val="000000"/>
                <w:szCs w:val="21"/>
              </w:rPr>
              <w:t>，不随意堆弃</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电磁环境</w:t>
            </w:r>
          </w:p>
        </w:tc>
        <w:tc>
          <w:tcPr>
            <w:tcW w:w="2294" w:type="dxa"/>
            <w:vAlign w:val="center"/>
          </w:tcPr>
          <w:p>
            <w:pPr>
              <w:pStyle w:val="26"/>
              <w:rPr>
                <w:rFonts w:hint="eastAsia" w:ascii="宋体" w:hAnsi="宋体" w:cs="宋体"/>
                <w:szCs w:val="21"/>
              </w:rPr>
            </w:pPr>
            <w:r>
              <w:rPr>
                <w:rFonts w:hint="eastAsia" w:ascii="宋体" w:hAnsi="宋体" w:cs="宋体"/>
                <w:szCs w:val="21"/>
              </w:rPr>
              <w:t>/</w:t>
            </w:r>
          </w:p>
        </w:tc>
        <w:tc>
          <w:tcPr>
            <w:tcW w:w="2481" w:type="dxa"/>
            <w:vAlign w:val="center"/>
          </w:tcPr>
          <w:p>
            <w:pPr>
              <w:pStyle w:val="26"/>
              <w:rPr>
                <w:rFonts w:hint="eastAsia" w:ascii="宋体" w:hAnsi="宋体" w:cs="宋体"/>
                <w:szCs w:val="21"/>
              </w:rPr>
            </w:pPr>
            <w:r>
              <w:rPr>
                <w:rFonts w:hint="eastAsia" w:ascii="宋体" w:hAnsi="宋体" w:cs="宋体"/>
                <w:szCs w:val="21"/>
              </w:rPr>
              <w:t>/</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环境风险</w:t>
            </w:r>
          </w:p>
        </w:tc>
        <w:tc>
          <w:tcPr>
            <w:tcW w:w="2294" w:type="dxa"/>
            <w:vAlign w:val="center"/>
          </w:tcPr>
          <w:p>
            <w:pPr>
              <w:pStyle w:val="26"/>
              <w:rPr>
                <w:rFonts w:hint="eastAsia" w:ascii="宋体" w:hAnsi="宋体" w:cs="宋体"/>
                <w:szCs w:val="21"/>
              </w:rPr>
            </w:pPr>
            <w:r>
              <w:rPr>
                <w:rFonts w:hint="eastAsia" w:ascii="宋体" w:hAnsi="宋体" w:cs="宋体"/>
                <w:szCs w:val="21"/>
                <w:lang w:val="en-US" w:eastAsia="zh-CN"/>
              </w:rPr>
              <w:t>本项目轻质柴油分期从</w:t>
            </w:r>
            <w:r>
              <w:rPr>
                <w:rFonts w:hint="eastAsia"/>
                <w:lang w:val="en-US" w:eastAsia="zh-CN"/>
              </w:rPr>
              <w:t>若羌县依吞布拉克镇</w:t>
            </w:r>
            <w:r>
              <w:rPr>
                <w:rFonts w:hint="eastAsia" w:ascii="宋体" w:hAnsi="宋体" w:cs="宋体"/>
                <w:szCs w:val="21"/>
                <w:lang w:val="en-US" w:eastAsia="zh-CN"/>
              </w:rPr>
              <w:t>购买，本项目设置柴油储存区，由皮卡车进行拉运，储存量960L</w:t>
            </w:r>
          </w:p>
        </w:tc>
        <w:tc>
          <w:tcPr>
            <w:tcW w:w="2481" w:type="dxa"/>
            <w:vAlign w:val="center"/>
          </w:tcPr>
          <w:p>
            <w:pPr>
              <w:pStyle w:val="26"/>
              <w:jc w:val="both"/>
              <w:rPr>
                <w:rFonts w:hint="eastAsia" w:ascii="宋体" w:hAnsi="宋体" w:cs="宋体"/>
                <w:szCs w:val="21"/>
              </w:rPr>
            </w:pPr>
            <w:r>
              <w:rPr>
                <w:rFonts w:hint="eastAsia" w:ascii="宋体" w:hAnsi="宋体" w:cs="宋体"/>
                <w:szCs w:val="21"/>
                <w:lang w:val="en-US" w:eastAsia="zh-CN"/>
              </w:rPr>
              <w:t>加强劳动安全管理，制定完备、有效的安全防范措施</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环境监测</w:t>
            </w:r>
          </w:p>
        </w:tc>
        <w:tc>
          <w:tcPr>
            <w:tcW w:w="2294" w:type="dxa"/>
            <w:vAlign w:val="center"/>
          </w:tcPr>
          <w:p>
            <w:pPr>
              <w:pStyle w:val="26"/>
              <w:rPr>
                <w:rFonts w:hint="eastAsia" w:ascii="宋体" w:hAnsi="宋体" w:cs="宋体"/>
                <w:szCs w:val="21"/>
              </w:rPr>
            </w:pPr>
            <w:r>
              <w:rPr>
                <w:rFonts w:hint="eastAsia" w:ascii="宋体" w:hAnsi="宋体" w:cs="宋体"/>
                <w:szCs w:val="21"/>
              </w:rPr>
              <w:t>/</w:t>
            </w:r>
          </w:p>
        </w:tc>
        <w:tc>
          <w:tcPr>
            <w:tcW w:w="2481" w:type="dxa"/>
            <w:vAlign w:val="center"/>
          </w:tcPr>
          <w:p>
            <w:pPr>
              <w:pStyle w:val="26"/>
              <w:rPr>
                <w:rFonts w:hint="eastAsia" w:ascii="宋体" w:hAnsi="宋体" w:cs="宋体"/>
                <w:szCs w:val="21"/>
              </w:rPr>
            </w:pPr>
            <w:r>
              <w:rPr>
                <w:rFonts w:hint="eastAsia" w:ascii="宋体" w:hAnsi="宋体" w:cs="宋体"/>
                <w:szCs w:val="21"/>
              </w:rPr>
              <w:t>/</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6"/>
            </w:pPr>
            <w:r>
              <w:rPr>
                <w:rFonts w:hint="eastAsia"/>
              </w:rPr>
              <w:t>其他</w:t>
            </w:r>
          </w:p>
        </w:tc>
        <w:tc>
          <w:tcPr>
            <w:tcW w:w="2294" w:type="dxa"/>
            <w:vAlign w:val="center"/>
          </w:tcPr>
          <w:p>
            <w:pPr>
              <w:pStyle w:val="26"/>
              <w:rPr>
                <w:rFonts w:hint="eastAsia" w:ascii="宋体" w:hAnsi="宋体" w:cs="宋体"/>
                <w:szCs w:val="21"/>
              </w:rPr>
            </w:pPr>
            <w:r>
              <w:rPr>
                <w:rFonts w:hint="eastAsia" w:ascii="宋体" w:hAnsi="宋体" w:cs="宋体"/>
                <w:szCs w:val="21"/>
              </w:rPr>
              <w:t>/</w:t>
            </w:r>
          </w:p>
        </w:tc>
        <w:tc>
          <w:tcPr>
            <w:tcW w:w="2481" w:type="dxa"/>
            <w:vAlign w:val="center"/>
          </w:tcPr>
          <w:p>
            <w:pPr>
              <w:pStyle w:val="26"/>
              <w:rPr>
                <w:rFonts w:hint="eastAsia" w:ascii="宋体" w:hAnsi="宋体" w:cs="宋体"/>
                <w:szCs w:val="21"/>
              </w:rPr>
            </w:pPr>
            <w:r>
              <w:rPr>
                <w:rFonts w:hint="eastAsia" w:ascii="宋体" w:hAnsi="宋体" w:cs="宋体"/>
                <w:szCs w:val="21"/>
              </w:rPr>
              <w:t>/</w:t>
            </w:r>
          </w:p>
        </w:tc>
        <w:tc>
          <w:tcPr>
            <w:tcW w:w="1525" w:type="dxa"/>
            <w:vAlign w:val="center"/>
          </w:tcPr>
          <w:p>
            <w:pPr>
              <w:pStyle w:val="26"/>
              <w:rPr>
                <w:rFonts w:hint="eastAsia" w:ascii="宋体" w:hAnsi="宋体" w:cs="宋体"/>
                <w:szCs w:val="21"/>
              </w:rPr>
            </w:pPr>
            <w:r>
              <w:rPr>
                <w:rFonts w:hint="eastAsia" w:ascii="宋体" w:hAnsi="宋体" w:cs="宋体"/>
                <w:szCs w:val="21"/>
              </w:rPr>
              <w:t>/</w:t>
            </w:r>
          </w:p>
        </w:tc>
        <w:tc>
          <w:tcPr>
            <w:tcW w:w="1130" w:type="dxa"/>
            <w:vAlign w:val="center"/>
          </w:tcPr>
          <w:p>
            <w:pPr>
              <w:pStyle w:val="26"/>
              <w:rPr>
                <w:rFonts w:hint="eastAsia" w:ascii="宋体" w:hAnsi="宋体" w:cs="宋体"/>
                <w:szCs w:val="21"/>
              </w:rPr>
            </w:pPr>
            <w:r>
              <w:rPr>
                <w:rFonts w:hint="eastAsia" w:ascii="宋体" w:hAnsi="宋体" w:cs="宋体"/>
                <w:szCs w:val="21"/>
              </w:rPr>
              <w:t>/</w:t>
            </w:r>
          </w:p>
        </w:tc>
      </w:tr>
    </w:tbl>
    <w:p>
      <w:pPr>
        <w:ind w:firstLine="480"/>
        <w:rPr>
          <w:snapToGrid w:val="0"/>
        </w:rPr>
      </w:pPr>
    </w:p>
    <w:p>
      <w:pPr>
        <w:ind w:firstLine="480"/>
        <w:rPr>
          <w:snapToGrid w:val="0"/>
        </w:rPr>
      </w:pPr>
      <w:r>
        <w:rPr>
          <w:snapToGrid w:val="0"/>
        </w:rPr>
        <w:br w:type="page"/>
      </w:r>
    </w:p>
    <w:p>
      <w:pPr>
        <w:pStyle w:val="2"/>
        <w:rPr>
          <w:snapToGrid w:val="0"/>
        </w:rPr>
      </w:pPr>
      <w:r>
        <w:rPr>
          <w:rFonts w:hint="eastAsia"/>
          <w:snapToGrid w:val="0"/>
        </w:rPr>
        <w:t>七、结论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8865" w:type="dxa"/>
            <w:vAlign w:val="center"/>
          </w:tcPr>
          <w:p>
            <w:pPr>
              <w:ind w:firstLine="482"/>
              <w:rPr>
                <w:rFonts w:ascii="宋体" w:cs="宋体"/>
              </w:rPr>
            </w:pPr>
            <w:r>
              <w:rPr>
                <w:rFonts w:hint="eastAsia" w:ascii="宋体" w:cs="宋体"/>
                <w:b/>
                <w:bCs/>
              </w:rPr>
              <w:t>1、建设项目环境可行性结论</w:t>
            </w:r>
          </w:p>
          <w:p>
            <w:pPr>
              <w:ind w:firstLine="480"/>
              <w:rPr>
                <w:rFonts w:ascii="宋体" w:cs="宋体"/>
              </w:rPr>
            </w:pPr>
            <w:r>
              <w:rPr>
                <w:rFonts w:hint="eastAsia" w:ascii="宋体" w:cs="宋体"/>
              </w:rPr>
              <w:t>本项目符合国家产业政策。该项目工程区内不涉及集中式饮用水源保护区、不涉及保护文物、不涉及风景名胜区及生态敏感区，不会对当地城镇发展规划造成影响。项目拟采取的三废治理措施有效可行。勘探作业严格按照相关操作规程进行，做好防范措施。该项工程采取的环境风险措施及制定的应急预案切实可行。在落实风险防范措施及应急预案后，环境风险达到可以接受水平。</w:t>
            </w:r>
          </w:p>
          <w:p>
            <w:pPr>
              <w:ind w:firstLine="480"/>
              <w:rPr>
                <w:rFonts w:ascii="宋体" w:cs="宋体"/>
              </w:rPr>
            </w:pPr>
            <w:r>
              <w:rPr>
                <w:rFonts w:hint="eastAsia" w:ascii="宋体" w:cs="宋体"/>
              </w:rPr>
              <w:t>综上所述，在施工过程中强化环保管理，落实各项环保措施，保证各项设施正常运行，从环境保护角度分析，本项目建设是可行的。</w:t>
            </w:r>
          </w:p>
          <w:p>
            <w:pPr>
              <w:ind w:firstLine="480"/>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tc>
      </w:tr>
    </w:tbl>
    <w:p>
      <w:pPr>
        <w:ind w:firstLine="480"/>
        <w:rPr>
          <w:rFonts w:ascii="宋体" w:cs="宋体"/>
        </w:rPr>
      </w:pPr>
    </w:p>
    <w:p>
      <w:pPr>
        <w:ind w:firstLine="0" w:firstLine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2</w:t>
    </w:r>
    <w:r>
      <w:fldChar w:fldCharType="end"/>
    </w:r>
  </w:p>
  <w:p>
    <w:pPr>
      <w:pStyle w:val="10"/>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E5A40"/>
    <w:multiLevelType w:val="singleLevel"/>
    <w:tmpl w:val="CFEE5A40"/>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OWM4NmUxZjU4OGNkMWM4Yzc3ODc2ZWEyODQ2OTcifQ=="/>
  </w:docVars>
  <w:rsids>
    <w:rsidRoot w:val="00742A2F"/>
    <w:rsid w:val="0032577D"/>
    <w:rsid w:val="00742A2F"/>
    <w:rsid w:val="008107FB"/>
    <w:rsid w:val="00C626F0"/>
    <w:rsid w:val="00FB6FA7"/>
    <w:rsid w:val="01921A76"/>
    <w:rsid w:val="01927169"/>
    <w:rsid w:val="02180193"/>
    <w:rsid w:val="02355837"/>
    <w:rsid w:val="023A579D"/>
    <w:rsid w:val="02664583"/>
    <w:rsid w:val="027543F0"/>
    <w:rsid w:val="038A570F"/>
    <w:rsid w:val="03980E6F"/>
    <w:rsid w:val="03DE3CAC"/>
    <w:rsid w:val="0521768A"/>
    <w:rsid w:val="05726640"/>
    <w:rsid w:val="063858F6"/>
    <w:rsid w:val="067F52D3"/>
    <w:rsid w:val="06FD2082"/>
    <w:rsid w:val="070457D8"/>
    <w:rsid w:val="070E48A8"/>
    <w:rsid w:val="071559B4"/>
    <w:rsid w:val="071F6AB6"/>
    <w:rsid w:val="075229E7"/>
    <w:rsid w:val="078F4D2D"/>
    <w:rsid w:val="07BE62CF"/>
    <w:rsid w:val="07EC07E8"/>
    <w:rsid w:val="07FE3FF3"/>
    <w:rsid w:val="08142021"/>
    <w:rsid w:val="08147C9D"/>
    <w:rsid w:val="08836BD0"/>
    <w:rsid w:val="08D4742C"/>
    <w:rsid w:val="08DD243C"/>
    <w:rsid w:val="08E43B13"/>
    <w:rsid w:val="08F14341"/>
    <w:rsid w:val="08F57ACE"/>
    <w:rsid w:val="09A646EC"/>
    <w:rsid w:val="09D973F0"/>
    <w:rsid w:val="09EA5159"/>
    <w:rsid w:val="0A0643B4"/>
    <w:rsid w:val="0A3A0746"/>
    <w:rsid w:val="0AED6421"/>
    <w:rsid w:val="0B923CFA"/>
    <w:rsid w:val="0BAC35AA"/>
    <w:rsid w:val="0BB7550F"/>
    <w:rsid w:val="0BDE6F3F"/>
    <w:rsid w:val="0C50326D"/>
    <w:rsid w:val="0C822B22"/>
    <w:rsid w:val="0C8C699B"/>
    <w:rsid w:val="0CAD246E"/>
    <w:rsid w:val="0D1C457E"/>
    <w:rsid w:val="0E794CFD"/>
    <w:rsid w:val="0ED523E5"/>
    <w:rsid w:val="0EE26D46"/>
    <w:rsid w:val="0F205179"/>
    <w:rsid w:val="0F2643D8"/>
    <w:rsid w:val="0F9D2C6D"/>
    <w:rsid w:val="0FDC3796"/>
    <w:rsid w:val="1034712E"/>
    <w:rsid w:val="10A92213"/>
    <w:rsid w:val="10AE197C"/>
    <w:rsid w:val="11250BC0"/>
    <w:rsid w:val="11C52008"/>
    <w:rsid w:val="11CE710E"/>
    <w:rsid w:val="12492D44"/>
    <w:rsid w:val="12C16C73"/>
    <w:rsid w:val="12CD386A"/>
    <w:rsid w:val="12D40754"/>
    <w:rsid w:val="12E82DB2"/>
    <w:rsid w:val="13252B75"/>
    <w:rsid w:val="13873A19"/>
    <w:rsid w:val="13EE5846"/>
    <w:rsid w:val="142851FC"/>
    <w:rsid w:val="142B3777"/>
    <w:rsid w:val="14D45EC4"/>
    <w:rsid w:val="15030EF3"/>
    <w:rsid w:val="15791A87"/>
    <w:rsid w:val="1580160C"/>
    <w:rsid w:val="158C17BA"/>
    <w:rsid w:val="15B33FE9"/>
    <w:rsid w:val="15E50ECA"/>
    <w:rsid w:val="162B4B2F"/>
    <w:rsid w:val="165F2A2B"/>
    <w:rsid w:val="16AB687C"/>
    <w:rsid w:val="170944F3"/>
    <w:rsid w:val="176D73C9"/>
    <w:rsid w:val="17CA1714"/>
    <w:rsid w:val="17CC2342"/>
    <w:rsid w:val="17EA2E29"/>
    <w:rsid w:val="180A4C18"/>
    <w:rsid w:val="1892740D"/>
    <w:rsid w:val="18952734"/>
    <w:rsid w:val="18B0018F"/>
    <w:rsid w:val="18BA4890"/>
    <w:rsid w:val="194E11ED"/>
    <w:rsid w:val="1A3F329F"/>
    <w:rsid w:val="1AAD645B"/>
    <w:rsid w:val="1B340431"/>
    <w:rsid w:val="1B486183"/>
    <w:rsid w:val="1B9A62B3"/>
    <w:rsid w:val="1BC72EAC"/>
    <w:rsid w:val="1C273FEB"/>
    <w:rsid w:val="1C2C1601"/>
    <w:rsid w:val="1C5B5A42"/>
    <w:rsid w:val="1D2504C0"/>
    <w:rsid w:val="1DFE0F43"/>
    <w:rsid w:val="1E3173A3"/>
    <w:rsid w:val="1E5137D0"/>
    <w:rsid w:val="1F0D1C26"/>
    <w:rsid w:val="1F3233D2"/>
    <w:rsid w:val="1F6F7089"/>
    <w:rsid w:val="1F903C55"/>
    <w:rsid w:val="1F9A0F77"/>
    <w:rsid w:val="201A79C2"/>
    <w:rsid w:val="20251073"/>
    <w:rsid w:val="20381C4F"/>
    <w:rsid w:val="205B0707"/>
    <w:rsid w:val="209B6D55"/>
    <w:rsid w:val="20CE0ED9"/>
    <w:rsid w:val="20DD528F"/>
    <w:rsid w:val="218C669E"/>
    <w:rsid w:val="21D92244"/>
    <w:rsid w:val="222039B6"/>
    <w:rsid w:val="22235254"/>
    <w:rsid w:val="223B259E"/>
    <w:rsid w:val="2250591D"/>
    <w:rsid w:val="22813D29"/>
    <w:rsid w:val="22E26EBD"/>
    <w:rsid w:val="23056708"/>
    <w:rsid w:val="23616034"/>
    <w:rsid w:val="236B6EB3"/>
    <w:rsid w:val="236E69A3"/>
    <w:rsid w:val="23CB7240"/>
    <w:rsid w:val="2412155C"/>
    <w:rsid w:val="241B112E"/>
    <w:rsid w:val="24814250"/>
    <w:rsid w:val="24A81A41"/>
    <w:rsid w:val="24B6415E"/>
    <w:rsid w:val="24FB7DC2"/>
    <w:rsid w:val="250824DF"/>
    <w:rsid w:val="25D23219"/>
    <w:rsid w:val="264766C6"/>
    <w:rsid w:val="265B7F58"/>
    <w:rsid w:val="26EB3E67"/>
    <w:rsid w:val="270218DC"/>
    <w:rsid w:val="274243CE"/>
    <w:rsid w:val="274E4B21"/>
    <w:rsid w:val="2830402E"/>
    <w:rsid w:val="289447B6"/>
    <w:rsid w:val="28E13773"/>
    <w:rsid w:val="292F0025"/>
    <w:rsid w:val="2940049A"/>
    <w:rsid w:val="29453D02"/>
    <w:rsid w:val="297D524A"/>
    <w:rsid w:val="299D5C5F"/>
    <w:rsid w:val="299F1664"/>
    <w:rsid w:val="29F251ED"/>
    <w:rsid w:val="2AA1765E"/>
    <w:rsid w:val="2B015C91"/>
    <w:rsid w:val="2C844B41"/>
    <w:rsid w:val="2C86594D"/>
    <w:rsid w:val="2D1E0AF2"/>
    <w:rsid w:val="2F250A0B"/>
    <w:rsid w:val="2F9257C7"/>
    <w:rsid w:val="2FAD43AF"/>
    <w:rsid w:val="30503E2B"/>
    <w:rsid w:val="30520522"/>
    <w:rsid w:val="30BE5D98"/>
    <w:rsid w:val="30BF083E"/>
    <w:rsid w:val="313C1E8F"/>
    <w:rsid w:val="31610093"/>
    <w:rsid w:val="31660CB9"/>
    <w:rsid w:val="31762CCE"/>
    <w:rsid w:val="317909ED"/>
    <w:rsid w:val="31E357BE"/>
    <w:rsid w:val="32D103B5"/>
    <w:rsid w:val="33810416"/>
    <w:rsid w:val="340D7B12"/>
    <w:rsid w:val="34515C51"/>
    <w:rsid w:val="34AC6634"/>
    <w:rsid w:val="34DA795B"/>
    <w:rsid w:val="3534133A"/>
    <w:rsid w:val="35EA010B"/>
    <w:rsid w:val="3630439A"/>
    <w:rsid w:val="363B2715"/>
    <w:rsid w:val="36C56482"/>
    <w:rsid w:val="36DB3EF8"/>
    <w:rsid w:val="37024FE0"/>
    <w:rsid w:val="37F468E9"/>
    <w:rsid w:val="3801798E"/>
    <w:rsid w:val="38B4055C"/>
    <w:rsid w:val="38CE5AC2"/>
    <w:rsid w:val="39DC7D6B"/>
    <w:rsid w:val="39DE576D"/>
    <w:rsid w:val="3A2368CB"/>
    <w:rsid w:val="3A401647"/>
    <w:rsid w:val="3A601A2D"/>
    <w:rsid w:val="3AC0143A"/>
    <w:rsid w:val="3AE710BD"/>
    <w:rsid w:val="3B0E664A"/>
    <w:rsid w:val="3B210644"/>
    <w:rsid w:val="3B42152E"/>
    <w:rsid w:val="3BA448B8"/>
    <w:rsid w:val="3BDC04F6"/>
    <w:rsid w:val="3BFA097C"/>
    <w:rsid w:val="3C0B2B89"/>
    <w:rsid w:val="3C3C2D43"/>
    <w:rsid w:val="3CFC5869"/>
    <w:rsid w:val="3D4225DB"/>
    <w:rsid w:val="3E500D27"/>
    <w:rsid w:val="3E637CD0"/>
    <w:rsid w:val="3EE84B41"/>
    <w:rsid w:val="3F2D1069"/>
    <w:rsid w:val="3F4168C2"/>
    <w:rsid w:val="3F6A2F55"/>
    <w:rsid w:val="3FA76696"/>
    <w:rsid w:val="40210BCD"/>
    <w:rsid w:val="40DE6906"/>
    <w:rsid w:val="418F0D2C"/>
    <w:rsid w:val="419E1DAA"/>
    <w:rsid w:val="42366486"/>
    <w:rsid w:val="427D5863"/>
    <w:rsid w:val="4339622E"/>
    <w:rsid w:val="43733F52"/>
    <w:rsid w:val="4379487C"/>
    <w:rsid w:val="43974657"/>
    <w:rsid w:val="43C024AB"/>
    <w:rsid w:val="443A5AC8"/>
    <w:rsid w:val="44A771C7"/>
    <w:rsid w:val="44E65F41"/>
    <w:rsid w:val="45181E73"/>
    <w:rsid w:val="45350C77"/>
    <w:rsid w:val="454669E0"/>
    <w:rsid w:val="45903D88"/>
    <w:rsid w:val="45AA6F6F"/>
    <w:rsid w:val="46396545"/>
    <w:rsid w:val="46690BD8"/>
    <w:rsid w:val="46ED1809"/>
    <w:rsid w:val="47A53E92"/>
    <w:rsid w:val="47C969BA"/>
    <w:rsid w:val="47D863D9"/>
    <w:rsid w:val="47F46BC7"/>
    <w:rsid w:val="4831759E"/>
    <w:rsid w:val="487403AF"/>
    <w:rsid w:val="48790E7B"/>
    <w:rsid w:val="48DD765B"/>
    <w:rsid w:val="490E5A67"/>
    <w:rsid w:val="49902920"/>
    <w:rsid w:val="4A875AD1"/>
    <w:rsid w:val="4A9D3546"/>
    <w:rsid w:val="4AC24D5B"/>
    <w:rsid w:val="4BBD5522"/>
    <w:rsid w:val="4C2F4672"/>
    <w:rsid w:val="4C400A25"/>
    <w:rsid w:val="4C8229F4"/>
    <w:rsid w:val="4D096C71"/>
    <w:rsid w:val="4D821D50"/>
    <w:rsid w:val="4D8E6E43"/>
    <w:rsid w:val="4DEA6AA2"/>
    <w:rsid w:val="4EB253AC"/>
    <w:rsid w:val="4EC975D1"/>
    <w:rsid w:val="4EE07EA5"/>
    <w:rsid w:val="4EFF2886"/>
    <w:rsid w:val="4F1101BD"/>
    <w:rsid w:val="50526B81"/>
    <w:rsid w:val="509E4823"/>
    <w:rsid w:val="51516E38"/>
    <w:rsid w:val="515B1A65"/>
    <w:rsid w:val="52A01E26"/>
    <w:rsid w:val="52A66D10"/>
    <w:rsid w:val="52C27FEE"/>
    <w:rsid w:val="53114AD1"/>
    <w:rsid w:val="5323717E"/>
    <w:rsid w:val="53920987"/>
    <w:rsid w:val="53DB3EFF"/>
    <w:rsid w:val="54024680"/>
    <w:rsid w:val="54285B0B"/>
    <w:rsid w:val="543C16DA"/>
    <w:rsid w:val="548B2661"/>
    <w:rsid w:val="549239F0"/>
    <w:rsid w:val="558275C0"/>
    <w:rsid w:val="55A1773E"/>
    <w:rsid w:val="55BF0815"/>
    <w:rsid w:val="55F935FB"/>
    <w:rsid w:val="562C39D0"/>
    <w:rsid w:val="56DF6C95"/>
    <w:rsid w:val="577613A7"/>
    <w:rsid w:val="583077A8"/>
    <w:rsid w:val="58AC53B7"/>
    <w:rsid w:val="5900220E"/>
    <w:rsid w:val="591250FF"/>
    <w:rsid w:val="596A4F3B"/>
    <w:rsid w:val="597E28DF"/>
    <w:rsid w:val="5980650D"/>
    <w:rsid w:val="5A331DC6"/>
    <w:rsid w:val="5A6000EC"/>
    <w:rsid w:val="5AF076C2"/>
    <w:rsid w:val="5B046CCA"/>
    <w:rsid w:val="5B10566E"/>
    <w:rsid w:val="5B144B5D"/>
    <w:rsid w:val="5B2D073B"/>
    <w:rsid w:val="5B5F03A4"/>
    <w:rsid w:val="5B977B3E"/>
    <w:rsid w:val="5BAF30D9"/>
    <w:rsid w:val="5BDD2470"/>
    <w:rsid w:val="5CF52D6E"/>
    <w:rsid w:val="5E062D59"/>
    <w:rsid w:val="5E0A0A9B"/>
    <w:rsid w:val="5E2C48FC"/>
    <w:rsid w:val="5E7D126D"/>
    <w:rsid w:val="5EEC1F4F"/>
    <w:rsid w:val="5F1F0576"/>
    <w:rsid w:val="5FBD56B6"/>
    <w:rsid w:val="5FE315A4"/>
    <w:rsid w:val="60136EAC"/>
    <w:rsid w:val="603407B6"/>
    <w:rsid w:val="605F0D74"/>
    <w:rsid w:val="606721D5"/>
    <w:rsid w:val="60CC028A"/>
    <w:rsid w:val="60E6759D"/>
    <w:rsid w:val="61161505"/>
    <w:rsid w:val="617A7CE6"/>
    <w:rsid w:val="61A17EA0"/>
    <w:rsid w:val="61AF33D0"/>
    <w:rsid w:val="6223037D"/>
    <w:rsid w:val="624F1172"/>
    <w:rsid w:val="626119E0"/>
    <w:rsid w:val="62A56FE4"/>
    <w:rsid w:val="62AA0157"/>
    <w:rsid w:val="62CD2097"/>
    <w:rsid w:val="62F15D85"/>
    <w:rsid w:val="633F4D43"/>
    <w:rsid w:val="634C1DD4"/>
    <w:rsid w:val="63E31B72"/>
    <w:rsid w:val="64700709"/>
    <w:rsid w:val="65586259"/>
    <w:rsid w:val="65A17F37"/>
    <w:rsid w:val="65A215B9"/>
    <w:rsid w:val="65C459D3"/>
    <w:rsid w:val="66D20E22"/>
    <w:rsid w:val="67411519"/>
    <w:rsid w:val="678278F4"/>
    <w:rsid w:val="67BD25D5"/>
    <w:rsid w:val="67D46CDA"/>
    <w:rsid w:val="67F26828"/>
    <w:rsid w:val="68FA756E"/>
    <w:rsid w:val="69041767"/>
    <w:rsid w:val="6907225D"/>
    <w:rsid w:val="69482477"/>
    <w:rsid w:val="6A1F767C"/>
    <w:rsid w:val="6A750816"/>
    <w:rsid w:val="6AC81AC2"/>
    <w:rsid w:val="6B364C7D"/>
    <w:rsid w:val="6BEA6B80"/>
    <w:rsid w:val="6C3E1FF3"/>
    <w:rsid w:val="6C863C17"/>
    <w:rsid w:val="6C891725"/>
    <w:rsid w:val="6CBB23F1"/>
    <w:rsid w:val="6DA71E62"/>
    <w:rsid w:val="6DD16EDF"/>
    <w:rsid w:val="6E970129"/>
    <w:rsid w:val="6EBA5BC5"/>
    <w:rsid w:val="6EEB3730"/>
    <w:rsid w:val="6F8D32DA"/>
    <w:rsid w:val="6FA80114"/>
    <w:rsid w:val="705931BC"/>
    <w:rsid w:val="707E1EF8"/>
    <w:rsid w:val="70980188"/>
    <w:rsid w:val="70986CF7"/>
    <w:rsid w:val="70F84783"/>
    <w:rsid w:val="717E2EDA"/>
    <w:rsid w:val="722515A8"/>
    <w:rsid w:val="72A7258E"/>
    <w:rsid w:val="72A97C9E"/>
    <w:rsid w:val="72E620E9"/>
    <w:rsid w:val="733221CE"/>
    <w:rsid w:val="7340032B"/>
    <w:rsid w:val="743149FC"/>
    <w:rsid w:val="7439203D"/>
    <w:rsid w:val="74404DBF"/>
    <w:rsid w:val="745E6FF3"/>
    <w:rsid w:val="74C4154C"/>
    <w:rsid w:val="74EB4D2A"/>
    <w:rsid w:val="751B4EE4"/>
    <w:rsid w:val="754601B3"/>
    <w:rsid w:val="75D27C98"/>
    <w:rsid w:val="760342F6"/>
    <w:rsid w:val="762A7AD4"/>
    <w:rsid w:val="764D5571"/>
    <w:rsid w:val="76E12867"/>
    <w:rsid w:val="7718792D"/>
    <w:rsid w:val="77CD33DD"/>
    <w:rsid w:val="77DD23FF"/>
    <w:rsid w:val="78774B27"/>
    <w:rsid w:val="78A647DD"/>
    <w:rsid w:val="7960176D"/>
    <w:rsid w:val="7A0423EA"/>
    <w:rsid w:val="7A462A03"/>
    <w:rsid w:val="7A682C83"/>
    <w:rsid w:val="7A735CF7"/>
    <w:rsid w:val="7B6A2721"/>
    <w:rsid w:val="7B8437E3"/>
    <w:rsid w:val="7BDE7C10"/>
    <w:rsid w:val="7C136915"/>
    <w:rsid w:val="7C5E3333"/>
    <w:rsid w:val="7CDE6F23"/>
    <w:rsid w:val="7D280A06"/>
    <w:rsid w:val="7D5119DC"/>
    <w:rsid w:val="7DC92D39"/>
    <w:rsid w:val="7E350DC4"/>
    <w:rsid w:val="7E3E2163"/>
    <w:rsid w:val="7E696CC0"/>
    <w:rsid w:val="7E7019E6"/>
    <w:rsid w:val="7E75113B"/>
    <w:rsid w:val="7E7A711F"/>
    <w:rsid w:val="7F721BA4"/>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60" w:line="240" w:lineRule="auto"/>
      <w:ind w:firstLine="0" w:firstLineChars="0"/>
      <w:jc w:val="center"/>
      <w:outlineLvl w:val="0"/>
    </w:pPr>
    <w:rPr>
      <w:b/>
      <w:bCs/>
      <w:color w:val="000000"/>
      <w:kern w:val="44"/>
      <w:sz w:val="28"/>
      <w:szCs w:val="30"/>
    </w:rPr>
  </w:style>
  <w:style w:type="paragraph" w:styleId="3">
    <w:name w:val="heading 2"/>
    <w:basedOn w:val="1"/>
    <w:next w:val="1"/>
    <w:unhideWhenUsed/>
    <w:qFormat/>
    <w:uiPriority w:val="9"/>
    <w:pPr>
      <w:keepNext/>
      <w:keepLines/>
      <w:spacing w:before="120" w:after="60" w:line="240" w:lineRule="auto"/>
      <w:outlineLvl w:val="1"/>
    </w:pPr>
    <w:rPr>
      <w:rFonts w:cstheme="majorBidi"/>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32"/>
    <w:qFormat/>
    <w:uiPriority w:val="0"/>
    <w:pPr>
      <w:jc w:val="left"/>
    </w:pPr>
  </w:style>
  <w:style w:type="paragraph" w:styleId="6">
    <w:name w:val="Body Text"/>
    <w:basedOn w:val="1"/>
    <w:next w:val="7"/>
    <w:qFormat/>
    <w:uiPriority w:val="0"/>
    <w:pPr>
      <w:widowControl/>
      <w:snapToGrid w:val="0"/>
      <w:spacing w:before="60" w:after="160" w:line="259" w:lineRule="auto"/>
      <w:ind w:right="113"/>
    </w:pPr>
    <w:rPr>
      <w:kern w:val="0"/>
      <w:sz w:val="18"/>
      <w:szCs w:val="20"/>
    </w:rPr>
  </w:style>
  <w:style w:type="paragraph" w:styleId="7">
    <w:name w:val="List Bullet 5"/>
    <w:basedOn w:val="1"/>
    <w:qFormat/>
    <w:uiPriority w:val="0"/>
    <w:pPr>
      <w:numPr>
        <w:ilvl w:val="0"/>
        <w:numId w:val="1"/>
      </w:numPr>
    </w:pPr>
  </w:style>
  <w:style w:type="paragraph" w:styleId="8">
    <w:name w:val="Body Text Indent"/>
    <w:basedOn w:val="1"/>
    <w:qFormat/>
    <w:uiPriority w:val="0"/>
    <w:pPr>
      <w:spacing w:after="120"/>
      <w:ind w:left="420" w:leftChars="200"/>
    </w:pPr>
  </w:style>
  <w:style w:type="paragraph" w:styleId="9">
    <w:name w:val="toc 3"/>
    <w:basedOn w:val="1"/>
    <w:next w:val="1"/>
    <w:semiHidden/>
    <w:qFormat/>
    <w:uiPriority w:val="0"/>
    <w:pPr>
      <w:ind w:left="420"/>
      <w:jc w:val="left"/>
    </w:pPr>
    <w:rPr>
      <w:i/>
      <w:iCs/>
      <w:sz w:val="20"/>
      <w:szCs w:val="20"/>
    </w:rPr>
  </w:style>
  <w:style w:type="paragraph" w:styleId="10">
    <w:name w:val="footer"/>
    <w:basedOn w:val="1"/>
    <w:qFormat/>
    <w:uiPriority w:val="99"/>
    <w:pPr>
      <w:tabs>
        <w:tab w:val="center" w:pos="4153"/>
        <w:tab w:val="right" w:pos="8306"/>
      </w:tabs>
      <w:snapToGrid w:val="0"/>
      <w:jc w:val="left"/>
    </w:pPr>
    <w:rPr>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List"/>
    <w:basedOn w:val="1"/>
    <w:next w:val="1"/>
    <w:qFormat/>
    <w:uiPriority w:val="0"/>
    <w:pPr>
      <w:ind w:left="200" w:hanging="200" w:hangingChars="200"/>
      <w:contextualSpacing/>
    </w:pPr>
  </w:style>
  <w:style w:type="paragraph" w:styleId="13">
    <w:name w:val="Body Text Indent 3"/>
    <w:basedOn w:val="1"/>
    <w:qFormat/>
    <w:uiPriority w:val="0"/>
    <w:pPr>
      <w:spacing w:line="480" w:lineRule="exact"/>
      <w:ind w:firstLine="588" w:firstLineChars="210"/>
    </w:pPr>
    <w:rPr>
      <w:rFonts w:ascii="仿宋_GB2312" w:hAnsi="宋体" w:eastAsia="仿宋_GB2312"/>
      <w:sz w:val="28"/>
    </w:rPr>
  </w:style>
  <w:style w:type="paragraph" w:styleId="14">
    <w:name w:val="Normal (Web)"/>
    <w:basedOn w:val="1"/>
    <w:qFormat/>
    <w:uiPriority w:val="0"/>
    <w:pPr>
      <w:widowControl/>
      <w:spacing w:before="100" w:beforeAutospacing="1" w:after="100" w:afterAutospacing="1"/>
      <w:jc w:val="left"/>
    </w:pPr>
    <w:rPr>
      <w:rFonts w:ascii="宋体" w:hAnsi="宋体"/>
      <w:kern w:val="0"/>
      <w:szCs w:val="20"/>
    </w:rPr>
  </w:style>
  <w:style w:type="paragraph" w:styleId="15">
    <w:name w:val="Title"/>
    <w:basedOn w:val="1"/>
    <w:next w:val="1"/>
    <w:link w:val="30"/>
    <w:qFormat/>
    <w:uiPriority w:val="0"/>
    <w:pPr>
      <w:spacing w:before="120" w:after="120" w:line="240" w:lineRule="auto"/>
      <w:jc w:val="left"/>
      <w:outlineLvl w:val="1"/>
    </w:pPr>
    <w:rPr>
      <w:b/>
      <w:bCs/>
      <w:szCs w:val="32"/>
    </w:rPr>
  </w:style>
  <w:style w:type="paragraph" w:styleId="16">
    <w:name w:val="annotation subject"/>
    <w:basedOn w:val="5"/>
    <w:next w:val="5"/>
    <w:link w:val="33"/>
    <w:qFormat/>
    <w:uiPriority w:val="0"/>
    <w:rPr>
      <w:b/>
      <w:bCs/>
    </w:rPr>
  </w:style>
  <w:style w:type="paragraph" w:styleId="17">
    <w:name w:val="Body Text First Indent"/>
    <w:basedOn w:val="6"/>
    <w:next w:val="1"/>
    <w:qFormat/>
    <w:uiPriority w:val="0"/>
    <w:pPr>
      <w:spacing w:after="120" w:line="240" w:lineRule="auto"/>
      <w:ind w:firstLine="420"/>
    </w:pPr>
    <w:rPr>
      <w:sz w:val="21"/>
    </w:rPr>
  </w:style>
  <w:style w:type="paragraph" w:styleId="18">
    <w:name w:val="Body Text First Indent 2"/>
    <w:basedOn w:val="8"/>
    <w:qFormat/>
    <w:uiPriority w:val="0"/>
    <w:pPr>
      <w:ind w:firstLine="42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basedOn w:val="21"/>
    <w:qFormat/>
    <w:uiPriority w:val="0"/>
    <w:rPr>
      <w:sz w:val="21"/>
      <w:szCs w:val="21"/>
    </w:rPr>
  </w:style>
  <w:style w:type="paragraph" w:customStyle="1" w:styleId="24">
    <w:name w:val="正文格式"/>
    <w:basedOn w:val="17"/>
    <w:next w:val="25"/>
    <w:qFormat/>
    <w:uiPriority w:val="0"/>
    <w:pPr>
      <w:adjustRightInd w:val="0"/>
      <w:spacing w:line="360" w:lineRule="auto"/>
      <w:ind w:firstLine="560"/>
    </w:pPr>
    <w:rPr>
      <w:color w:val="000000"/>
      <w:lang w:val="zh-CN"/>
    </w:rPr>
  </w:style>
  <w:style w:type="paragraph" w:customStyle="1" w:styleId="25">
    <w:name w:val="_Style 5"/>
    <w:basedOn w:val="1"/>
    <w:qFormat/>
    <w:uiPriority w:val="0"/>
    <w:pPr>
      <w:ind w:firstLine="420"/>
    </w:pPr>
    <w:rPr>
      <w:rFonts w:ascii="Calibri" w:hAnsi="Calibri"/>
      <w:szCs w:val="22"/>
    </w:rPr>
  </w:style>
  <w:style w:type="paragraph" w:styleId="26">
    <w:name w:val="No Spacing"/>
    <w:basedOn w:val="12"/>
    <w:next w:val="1"/>
    <w:qFormat/>
    <w:uiPriority w:val="1"/>
    <w:pPr>
      <w:spacing w:line="240" w:lineRule="auto"/>
      <w:ind w:left="0" w:firstLine="0" w:firstLineChars="0"/>
      <w:jc w:val="center"/>
      <w:textAlignment w:val="center"/>
    </w:pPr>
    <w:rPr>
      <w:sz w:val="21"/>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8">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29">
    <w:name w:val="表格5号居中"/>
    <w:basedOn w:val="1"/>
    <w:qFormat/>
    <w:uiPriority w:val="0"/>
    <w:pPr>
      <w:tabs>
        <w:tab w:val="left" w:pos="5400"/>
      </w:tabs>
      <w:adjustRightInd w:val="0"/>
      <w:spacing w:line="240" w:lineRule="auto"/>
      <w:ind w:firstLine="0" w:firstLineChars="0"/>
      <w:jc w:val="center"/>
      <w:textAlignment w:val="baseline"/>
    </w:pPr>
    <w:rPr>
      <w:iCs/>
      <w:spacing w:val="-6"/>
      <w:kern w:val="0"/>
      <w:sz w:val="21"/>
      <w:szCs w:val="21"/>
    </w:rPr>
  </w:style>
  <w:style w:type="character" w:customStyle="1" w:styleId="30">
    <w:name w:val="标题 字符"/>
    <w:link w:val="15"/>
    <w:qFormat/>
    <w:uiPriority w:val="0"/>
    <w:rPr>
      <w:rFonts w:cs="Times New Roman"/>
      <w:b/>
      <w:bCs/>
      <w:szCs w:val="32"/>
    </w:rPr>
  </w:style>
  <w:style w:type="paragraph" w:customStyle="1" w:styleId="31">
    <w:name w:val="表格"/>
    <w:basedOn w:val="1"/>
    <w:next w:val="1"/>
    <w:qFormat/>
    <w:uiPriority w:val="0"/>
    <w:pPr>
      <w:adjustRightInd w:val="0"/>
      <w:snapToGrid w:val="0"/>
      <w:spacing w:line="240" w:lineRule="auto"/>
      <w:ind w:firstLine="0" w:firstLineChars="0"/>
      <w:jc w:val="center"/>
    </w:pPr>
    <w:rPr>
      <w:kern w:val="0"/>
      <w:sz w:val="21"/>
      <w:szCs w:val="20"/>
    </w:rPr>
  </w:style>
  <w:style w:type="character" w:customStyle="1" w:styleId="32">
    <w:name w:val="批注文字 字符"/>
    <w:basedOn w:val="21"/>
    <w:link w:val="5"/>
    <w:qFormat/>
    <w:uiPriority w:val="0"/>
    <w:rPr>
      <w:kern w:val="2"/>
      <w:sz w:val="24"/>
      <w:szCs w:val="24"/>
    </w:rPr>
  </w:style>
  <w:style w:type="character" w:customStyle="1" w:styleId="33">
    <w:name w:val="批注主题 字符"/>
    <w:basedOn w:val="32"/>
    <w:link w:val="16"/>
    <w:qFormat/>
    <w:uiPriority w:val="0"/>
    <w:rPr>
      <w:b/>
      <w:bCs/>
      <w:kern w:val="2"/>
      <w:sz w:val="24"/>
      <w:szCs w:val="24"/>
    </w:rPr>
  </w:style>
  <w:style w:type="paragraph" w:customStyle="1" w:styleId="3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Default"/>
    <w:next w:val="1"/>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6">
    <w:name w:val="Table Text"/>
    <w:basedOn w:val="1"/>
    <w:semiHidden/>
    <w:qFormat/>
    <w:uiPriority w:val="0"/>
    <w:rPr>
      <w:rFonts w:ascii="宋体" w:hAnsi="宋体" w:eastAsia="宋体" w:cs="宋体"/>
      <w:sz w:val="20"/>
      <w:szCs w:val="20"/>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25550</Words>
  <Characters>27354</Characters>
  <Lines>302</Lines>
  <Paragraphs>85</Paragraphs>
  <TotalTime>0</TotalTime>
  <ScaleCrop>false</ScaleCrop>
  <LinksUpToDate>false</LinksUpToDate>
  <CharactersWithSpaces>27363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2023-04-24T08:30:00Z</dcterms:created>
  <dc:creator>Administrator</dc:creator>
  <cp:lastModifiedBy>lenovo</cp:lastModifiedBy>
  <cp:lastPrinted>2025-05-13T10:22:00Z</cp:lastPrinted>
  <dcterms:modified xsi:type="dcterms:W3CDTF">2025-08-08T08:53:25Z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C291583D7E0B4C1BB6331B3B3D8E6AE3_13</vt:lpwstr>
  </property>
  <property fmtid="{D5CDD505-2E9C-101B-9397-08002B2CF9AE}" pid="4" name="KSOTemplateDocerSaveRecord">
    <vt:lpwstr>eyJoZGlkIjoiYmQ0MzA5OWU5MmUyMGIxZTM0ODJjYzU1M2MzNTRkZDkiLCJ1c2VySWQiOiI0NDExNzc3NDgifQ==</vt:lpwstr>
  </property>
</Properties>
</file>