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highlight w:val="none"/>
        </w:rPr>
      </w:pPr>
      <w:bookmarkStart w:id="0" w:name="_Hlk57883707"/>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bookmarkEnd w:id="0"/>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0"/>
        <w:rPr>
          <w:rFonts w:hint="eastAsia" w:ascii="方正小标宋_GBK" w:eastAsia="方正小标宋_GBK"/>
          <w:bCs/>
          <w:sz w:val="72"/>
          <w:szCs w:val="72"/>
          <w:highlight w:val="none"/>
        </w:rPr>
      </w:pPr>
      <w:r>
        <w:rPr>
          <w:rFonts w:hint="eastAsia" w:ascii="方正小标宋_GBK" w:eastAsia="方正小标宋_GBK"/>
          <w:bCs/>
          <w:sz w:val="72"/>
          <w:szCs w:val="72"/>
          <w:highlight w:val="none"/>
        </w:rPr>
        <w:t>建设项目环境影响报告表</w:t>
      </w:r>
    </w:p>
    <w:p>
      <w:pPr>
        <w:adjustRightInd w:val="0"/>
        <w:snapToGrid w:val="0"/>
        <w:spacing w:before="192" w:beforeLines="80"/>
        <w:ind w:left="0" w:leftChars="0" w:firstLine="0" w:firstLineChars="0"/>
        <w:jc w:val="center"/>
        <w:rPr>
          <w:rFonts w:hint="eastAsia" w:ascii="楷体_GB2312" w:eastAsia="楷体_GB2312"/>
          <w:bCs/>
          <w:sz w:val="48"/>
          <w:szCs w:val="48"/>
          <w:highlight w:val="none"/>
        </w:rPr>
      </w:pPr>
      <w:r>
        <w:rPr>
          <w:rFonts w:hint="eastAsia" w:ascii="楷体_GB2312" w:eastAsia="楷体_GB2312"/>
          <w:bCs/>
          <w:sz w:val="48"/>
          <w:szCs w:val="48"/>
          <w:highlight w:val="none"/>
        </w:rPr>
        <w:t>（</w:t>
      </w:r>
      <w:r>
        <w:rPr>
          <w:rFonts w:hint="eastAsia" w:ascii="楷体_GB2312" w:eastAsia="楷体_GB2312"/>
          <w:bCs/>
          <w:sz w:val="48"/>
          <w:szCs w:val="48"/>
          <w:highlight w:val="none"/>
          <w:lang w:val="en-US" w:eastAsia="zh-CN"/>
        </w:rPr>
        <w:t>污染</w:t>
      </w:r>
      <w:r>
        <w:rPr>
          <w:rFonts w:hint="eastAsia" w:ascii="楷体_GB2312" w:eastAsia="楷体_GB2312"/>
          <w:bCs/>
          <w:sz w:val="48"/>
          <w:szCs w:val="48"/>
          <w:highlight w:val="none"/>
        </w:rPr>
        <w:t>影响类）</w:t>
      </w:r>
    </w:p>
    <w:p>
      <w:pPr>
        <w:jc w:val="center"/>
        <w:rPr>
          <w:rFonts w:eastAsia="仿宋"/>
          <w:sz w:val="52"/>
          <w:szCs w:val="52"/>
          <w:highlight w:val="none"/>
        </w:rPr>
      </w:pPr>
      <w:bookmarkStart w:id="1" w:name="_Hlk57883728"/>
    </w:p>
    <w:p>
      <w:pPr>
        <w:ind w:firstLine="1040"/>
        <w:rPr>
          <w:rFonts w:eastAsia="仿宋"/>
          <w:sz w:val="44"/>
          <w:szCs w:val="44"/>
          <w:highlight w:val="none"/>
        </w:rPr>
      </w:pPr>
    </w:p>
    <w:p>
      <w:pPr>
        <w:ind w:firstLine="1040"/>
        <w:rPr>
          <w:rFonts w:eastAsia="仿宋"/>
          <w:sz w:val="44"/>
          <w:szCs w:val="44"/>
          <w:highlight w:val="none"/>
        </w:rPr>
      </w:pPr>
    </w:p>
    <w:p>
      <w:pPr>
        <w:pStyle w:val="7"/>
        <w:rPr>
          <w:highlight w:val="none"/>
        </w:rPr>
      </w:pPr>
    </w:p>
    <w:p>
      <w:pPr>
        <w:pStyle w:val="7"/>
        <w:rPr>
          <w:highlight w:val="none"/>
        </w:rPr>
      </w:pPr>
    </w:p>
    <w:bookmarkEnd w:id="1"/>
    <w:p>
      <w:pPr>
        <w:keepNext w:val="0"/>
        <w:keepLines w:val="0"/>
        <w:pageBreakBefore w:val="0"/>
        <w:widowControl w:val="0"/>
        <w:kinsoku/>
        <w:wordWrap/>
        <w:overflowPunct/>
        <w:topLinePunct w:val="0"/>
        <w:autoSpaceDE/>
        <w:autoSpaceDN/>
        <w:bidi w:val="0"/>
        <w:adjustRightInd w:val="0"/>
        <w:snapToGrid w:val="0"/>
        <w:spacing w:line="360" w:lineRule="auto"/>
        <w:ind w:left="2307" w:leftChars="300" w:hanging="1677" w:hangingChars="466"/>
        <w:textAlignment w:val="auto"/>
        <w:rPr>
          <w:rFonts w:hint="default" w:ascii="Times New Roman" w:hAnsi="Times New Roman" w:eastAsia="宋体" w:cs="Times New Roman"/>
          <w:sz w:val="36"/>
          <w:szCs w:val="36"/>
          <w:highlight w:val="none"/>
          <w:u w:val="single"/>
          <w:lang w:val="en-US" w:eastAsia="zh-CN"/>
        </w:rPr>
      </w:pPr>
      <w:r>
        <w:rPr>
          <w:rFonts w:hint="default" w:ascii="Times New Roman" w:hAnsi="Times New Roman" w:eastAsia="宋体" w:cs="Times New Roman"/>
          <w:sz w:val="36"/>
          <w:szCs w:val="36"/>
          <w:highlight w:val="none"/>
        </w:rPr>
        <w:t>项目名称：</w:t>
      </w:r>
      <w:r>
        <w:rPr>
          <w:rFonts w:hint="eastAsia" w:ascii="Times New Roman" w:hAnsi="Times New Roman" w:eastAsia="宋体" w:cs="Times New Roman"/>
          <w:sz w:val="36"/>
          <w:szCs w:val="36"/>
          <w:highlight w:val="none"/>
          <w:u w:val="single"/>
          <w:lang w:val="en-US" w:eastAsia="zh-CN"/>
        </w:rPr>
        <w:t>博湖县鑫新建材有限公司装配式建筑生产项目</w:t>
      </w:r>
      <w:r>
        <w:rPr>
          <w:rFonts w:hint="eastAsia" w:eastAsia="宋体" w:cs="Times New Roman"/>
          <w:sz w:val="36"/>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644" w:leftChars="300" w:hanging="14" w:firstLineChars="0"/>
        <w:textAlignment w:val="auto"/>
        <w:rPr>
          <w:rFonts w:hint="default" w:ascii="Times New Roman" w:hAnsi="Times New Roman" w:eastAsia="宋体" w:cs="Times New Roman"/>
          <w:sz w:val="36"/>
          <w:szCs w:val="36"/>
          <w:highlight w:val="none"/>
          <w:u w:val="single"/>
          <w:lang w:val="en-US"/>
        </w:rPr>
      </w:pPr>
      <w:r>
        <w:rPr>
          <w:rFonts w:hint="default" w:ascii="Times New Roman" w:hAnsi="Times New Roman" w:eastAsia="宋体" w:cs="Times New Roman"/>
          <w:sz w:val="36"/>
          <w:szCs w:val="36"/>
          <w:highlight w:val="none"/>
        </w:rPr>
        <w:t>建设单位（盖章）：</w:t>
      </w:r>
      <w:r>
        <w:rPr>
          <w:rFonts w:hint="eastAsia" w:ascii="Times New Roman" w:hAnsi="Times New Roman" w:eastAsia="宋体" w:cs="Times New Roman"/>
          <w:sz w:val="36"/>
          <w:szCs w:val="36"/>
          <w:highlight w:val="none"/>
          <w:u w:val="single"/>
          <w:lang w:val="en-US" w:eastAsia="zh-CN"/>
        </w:rPr>
        <w:t xml:space="preserve">博湖县鑫新建材有限公司 </w:t>
      </w:r>
      <w:r>
        <w:rPr>
          <w:rFonts w:hint="eastAsia" w:ascii="Times New Roman" w:hAnsi="Times New Roman" w:eastAsia="宋体" w:cs="Times New Roman"/>
          <w:sz w:val="32"/>
          <w:szCs w:val="32"/>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638" w:leftChars="304" w:firstLine="0" w:firstLineChars="0"/>
        <w:textAlignment w:val="auto"/>
        <w:rPr>
          <w:rFonts w:hint="default" w:ascii="仿宋_GB2312" w:eastAsia="仿宋_GB2312"/>
          <w:sz w:val="36"/>
          <w:szCs w:val="36"/>
          <w:highlight w:val="none"/>
          <w:u w:val="single"/>
          <w:lang w:val="en-US"/>
        </w:rPr>
      </w:pPr>
      <w:r>
        <w:rPr>
          <w:rFonts w:hint="default" w:ascii="Times New Roman" w:hAnsi="Times New Roman" w:eastAsia="宋体" w:cs="Times New Roman"/>
          <w:sz w:val="36"/>
          <w:szCs w:val="36"/>
          <w:highlight w:val="none"/>
        </w:rPr>
        <w:t>编制日期：</w:t>
      </w:r>
      <w:r>
        <w:rPr>
          <w:rFonts w:hint="default" w:ascii="Times New Roman" w:hAnsi="Times New Roman" w:eastAsia="宋体" w:cs="Times New Roman"/>
          <w:sz w:val="36"/>
          <w:szCs w:val="36"/>
          <w:highlight w:val="none"/>
          <w:u w:val="single"/>
        </w:rPr>
        <w:t xml:space="preserve">   </w:t>
      </w:r>
      <w:r>
        <w:rPr>
          <w:rFonts w:hint="eastAsia" w:eastAsia="宋体" w:cs="Times New Roman"/>
          <w:sz w:val="36"/>
          <w:szCs w:val="36"/>
          <w:highlight w:val="none"/>
          <w:u w:val="single"/>
          <w:lang w:val="en-US" w:eastAsia="zh-CN"/>
        </w:rPr>
        <w:t xml:space="preserve">     </w:t>
      </w:r>
      <w:r>
        <w:rPr>
          <w:rFonts w:hint="default" w:ascii="Times New Roman" w:hAnsi="Times New Roman" w:eastAsia="宋体" w:cs="Times New Roman"/>
          <w:sz w:val="36"/>
          <w:szCs w:val="36"/>
          <w:highlight w:val="none"/>
          <w:u w:val="single"/>
          <w:lang w:eastAsia="zh-CN"/>
        </w:rPr>
        <w:t>二〇二</w:t>
      </w:r>
      <w:r>
        <w:rPr>
          <w:rFonts w:hint="eastAsia" w:eastAsia="宋体" w:cs="Times New Roman"/>
          <w:sz w:val="36"/>
          <w:szCs w:val="36"/>
          <w:highlight w:val="none"/>
          <w:u w:val="single"/>
          <w:lang w:val="en-US" w:eastAsia="zh-CN"/>
        </w:rPr>
        <w:t>五</w:t>
      </w:r>
      <w:r>
        <w:rPr>
          <w:rFonts w:hint="default" w:ascii="Times New Roman" w:hAnsi="Times New Roman" w:eastAsia="宋体" w:cs="Times New Roman"/>
          <w:sz w:val="36"/>
          <w:szCs w:val="36"/>
          <w:highlight w:val="none"/>
          <w:u w:val="single"/>
          <w:lang w:eastAsia="zh-CN"/>
        </w:rPr>
        <w:t>年</w:t>
      </w:r>
      <w:r>
        <w:rPr>
          <w:rFonts w:hint="eastAsia" w:ascii="Times New Roman" w:hAnsi="Times New Roman" w:eastAsia="宋体" w:cs="Times New Roman"/>
          <w:sz w:val="36"/>
          <w:szCs w:val="36"/>
          <w:highlight w:val="none"/>
          <w:u w:val="single"/>
          <w:lang w:val="en-US" w:eastAsia="zh-CN"/>
        </w:rPr>
        <w:t>九</w:t>
      </w:r>
      <w:r>
        <w:rPr>
          <w:rFonts w:hint="default" w:ascii="Times New Roman" w:hAnsi="Times New Roman" w:eastAsia="宋体" w:cs="Times New Roman"/>
          <w:sz w:val="36"/>
          <w:szCs w:val="36"/>
          <w:highlight w:val="none"/>
          <w:u w:val="single"/>
          <w:lang w:eastAsia="zh-CN"/>
        </w:rPr>
        <w:t>月</w:t>
      </w:r>
      <w:r>
        <w:rPr>
          <w:rFonts w:hint="default" w:ascii="Times New Roman" w:hAnsi="Times New Roman" w:eastAsia="宋体" w:cs="Times New Roman"/>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p>
    <w:p>
      <w:pPr>
        <w:adjustRightInd w:val="0"/>
        <w:snapToGrid w:val="0"/>
        <w:spacing w:line="288" w:lineRule="auto"/>
        <w:ind w:firstLine="1040"/>
        <w:rPr>
          <w:rFonts w:ascii="仿宋_GB2312" w:eastAsia="仿宋_GB2312"/>
          <w:sz w:val="36"/>
          <w:szCs w:val="36"/>
          <w:highlight w:val="none"/>
          <w:u w:val="single"/>
        </w:rPr>
      </w:pPr>
    </w:p>
    <w:p>
      <w:pPr>
        <w:adjustRightInd w:val="0"/>
        <w:snapToGrid w:val="0"/>
        <w:spacing w:line="288" w:lineRule="auto"/>
        <w:ind w:firstLine="1040"/>
        <w:rPr>
          <w:rFonts w:hint="eastAsia" w:ascii="仿宋_GB2312" w:eastAsia="仿宋_GB2312"/>
          <w:sz w:val="36"/>
          <w:szCs w:val="36"/>
          <w:highlight w:val="none"/>
          <w:lang w:eastAsia="zh-CN"/>
        </w:rPr>
      </w:pPr>
    </w:p>
    <w:p>
      <w:pPr>
        <w:adjustRightInd w:val="0"/>
        <w:snapToGrid w:val="0"/>
        <w:spacing w:line="288" w:lineRule="auto"/>
        <w:ind w:firstLine="1040"/>
        <w:rPr>
          <w:rFonts w:hint="eastAsia" w:ascii="仿宋_GB2312" w:eastAsia="仿宋_GB2312"/>
          <w:sz w:val="36"/>
          <w:szCs w:val="36"/>
          <w:highlight w:val="none"/>
          <w:lang w:eastAsia="zh-CN"/>
        </w:rPr>
      </w:pPr>
    </w:p>
    <w:p>
      <w:pPr>
        <w:adjustRightInd w:val="0"/>
        <w:snapToGrid w:val="0"/>
        <w:spacing w:line="288" w:lineRule="auto"/>
        <w:ind w:firstLine="1040"/>
        <w:rPr>
          <w:rFonts w:hint="eastAsia" w:ascii="仿宋_GB2312" w:eastAsia="仿宋_GB2312"/>
          <w:sz w:val="36"/>
          <w:szCs w:val="36"/>
          <w:highlight w:val="none"/>
          <w:lang w:eastAsia="zh-CN"/>
        </w:rPr>
      </w:pPr>
    </w:p>
    <w:p>
      <w:pPr>
        <w:keepNext w:val="0"/>
        <w:keepLines w:val="0"/>
        <w:widowControl/>
        <w:suppressLineNumbers w:val="0"/>
        <w:ind w:left="0" w:leftChars="0" w:firstLine="0" w:firstLineChars="0"/>
        <w:jc w:val="center"/>
        <w:rPr>
          <w:highlight w:val="none"/>
          <w:u w:val="none"/>
        </w:rPr>
      </w:pPr>
      <w:r>
        <w:rPr>
          <w:rFonts w:hint="eastAsia" w:ascii="楷体_GB2312" w:eastAsia="楷体_GB2312"/>
          <w:sz w:val="36"/>
          <w:szCs w:val="36"/>
          <w:highlight w:val="none"/>
        </w:rPr>
        <w:t>中华人民共和国生态环境部制</w:t>
      </w:r>
    </w:p>
    <w:p>
      <w:pPr>
        <w:adjustRightInd w:val="0"/>
        <w:snapToGrid w:val="0"/>
        <w:spacing w:line="288" w:lineRule="auto"/>
        <w:ind w:firstLine="1040"/>
        <w:rPr>
          <w:rFonts w:ascii="仿宋_GB2312" w:eastAsia="仿宋_GB2312"/>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titlePg/>
          <w:docGrid w:linePitch="312" w:charSpace="0"/>
        </w:sectPr>
      </w:pPr>
    </w:p>
    <w:p>
      <w:pPr>
        <w:pStyle w:val="18"/>
        <w:jc w:val="center"/>
        <w:outlineLvl w:val="0"/>
        <w:rPr>
          <w:rFonts w:hint="eastAsia" w:ascii="黑体" w:hAnsi="黑体" w:eastAsia="黑体"/>
          <w:snapToGrid w:val="0"/>
          <w:sz w:val="30"/>
          <w:szCs w:val="30"/>
          <w:highlight w:val="none"/>
        </w:rPr>
      </w:pPr>
      <w:r>
        <w:rPr>
          <w:rFonts w:hint="eastAsia" w:ascii="黑体" w:hAnsi="黑体" w:eastAsia="黑体"/>
          <w:snapToGrid w:val="0"/>
          <w:sz w:val="30"/>
          <w:szCs w:val="30"/>
          <w:highlight w:val="none"/>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2"/>
        <w:gridCol w:w="1023"/>
        <w:gridCol w:w="1688"/>
        <w:gridCol w:w="1841"/>
        <w:gridCol w:w="36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p>
        </w:tc>
        <w:tc>
          <w:tcPr>
            <w:tcW w:w="6660" w:type="dxa"/>
            <w:gridSpan w:val="3"/>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p>
        </w:tc>
        <w:tc>
          <w:tcPr>
            <w:tcW w:w="6660" w:type="dxa"/>
            <w:gridSpan w:val="3"/>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highlight w:val="none"/>
                <w:lang w:val="en-US" w:eastAsia="zh-CN"/>
              </w:rPr>
            </w:pPr>
          </w:p>
        </w:tc>
        <w:tc>
          <w:tcPr>
            <w:tcW w:w="1809" w:type="dxa"/>
            <w:noWrap w:val="0"/>
            <w:vAlign w:val="center"/>
          </w:tcPr>
          <w:p>
            <w:pPr>
              <w:adjustRightInd w:val="0"/>
              <w:snapToGrid w:val="0"/>
              <w:jc w:val="center"/>
              <w:rPr>
                <w:rFonts w:hint="eastAsia" w:ascii="Times New Roman" w:hAnsi="Times New Roman" w:eastAsia="宋体" w:cs="Times New Roman"/>
                <w:sz w:val="24"/>
                <w:szCs w:val="24"/>
                <w:highlight w:val="none"/>
                <w:lang w:val="en-US" w:eastAsia="zh-CN"/>
              </w:rPr>
            </w:pPr>
          </w:p>
        </w:tc>
        <w:tc>
          <w:tcPr>
            <w:tcW w:w="1966" w:type="dxa"/>
            <w:noWrap w:val="0"/>
            <w:vAlign w:val="center"/>
          </w:tcPr>
          <w:p>
            <w:pPr>
              <w:adjustRightInd w:val="0"/>
              <w:snapToGrid w:val="0"/>
              <w:jc w:val="center"/>
              <w:rPr>
                <w:rFonts w:hint="default" w:ascii="Times New Roman" w:hAnsi="Times New Roman" w:cs="Times New Roman"/>
                <w:sz w:val="24"/>
                <w:szCs w:val="24"/>
                <w:highlight w:val="none"/>
              </w:rPr>
            </w:pPr>
          </w:p>
        </w:tc>
        <w:tc>
          <w:tcPr>
            <w:tcW w:w="2885"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p>
        </w:tc>
        <w:tc>
          <w:tcPr>
            <w:tcW w:w="6660" w:type="dxa"/>
            <w:gridSpan w:val="3"/>
            <w:noWrap w:val="0"/>
            <w:vAlign w:val="center"/>
          </w:tcPr>
          <w:p>
            <w:pPr>
              <w:adjustRightInd w:val="0"/>
              <w:snapToGrid w:val="0"/>
              <w:jc w:val="center"/>
              <w:rPr>
                <w:rFonts w:hint="default" w:ascii="Times New Roman" w:hAnsi="Times New Roman" w:cs="Times New Roman"/>
                <w:sz w:val="24"/>
                <w:szCs w:val="24"/>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p>
        </w:tc>
        <w:tc>
          <w:tcPr>
            <w:tcW w:w="6660" w:type="dxa"/>
            <w:gridSpan w:val="3"/>
            <w:noWrap w:val="0"/>
            <w:vAlign w:val="center"/>
          </w:tcPr>
          <w:p>
            <w:pPr>
              <w:pStyle w:val="7"/>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国民经济</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行业类别</w:t>
            </w:r>
          </w:p>
        </w:tc>
        <w:tc>
          <w:tcPr>
            <w:tcW w:w="1809"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 xml:space="preserve">C3022 </w:t>
            </w:r>
          </w:p>
          <w:p>
            <w:pPr>
              <w:adjustRightInd w:val="0"/>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砼结构构件制造</w:t>
            </w:r>
          </w:p>
        </w:tc>
        <w:tc>
          <w:tcPr>
            <w:tcW w:w="1966" w:type="dxa"/>
            <w:noWrap w:val="0"/>
            <w:vAlign w:val="center"/>
          </w:tcPr>
          <w:p>
            <w:pPr>
              <w:adjustRightInd w:val="0"/>
              <w:snapToGrid w:val="0"/>
              <w:jc w:val="center"/>
              <w:rPr>
                <w:rFonts w:hint="default" w:ascii="Times New Roman" w:hAnsi="Times New Roman" w:cs="Times New Roman"/>
                <w:sz w:val="24"/>
                <w:szCs w:val="24"/>
                <w:highlight w:val="none"/>
              </w:rPr>
            </w:pPr>
            <w:bookmarkStart w:id="2" w:name="_Hlk49843745"/>
            <w:r>
              <w:rPr>
                <w:rFonts w:hint="default" w:ascii="Times New Roman" w:hAnsi="Times New Roman" w:cs="Times New Roman"/>
                <w:sz w:val="24"/>
                <w:szCs w:val="24"/>
                <w:highlight w:val="none"/>
              </w:rPr>
              <w:t>建设项目</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行业类别</w:t>
            </w:r>
            <w:bookmarkEnd w:id="2"/>
          </w:p>
        </w:tc>
        <w:tc>
          <w:tcPr>
            <w:tcW w:w="2885" w:type="dxa"/>
            <w:noWrap w:val="0"/>
            <w:vAlign w:val="center"/>
          </w:tcPr>
          <w:p>
            <w:pPr>
              <w:adjustRightInd w:val="0"/>
              <w:snapToGrid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 xml:space="preserve">二十七、非金属矿物制品业 </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石膏、水泥制品及类似制品制造302</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砼结构构件制造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建设性质</w:t>
            </w:r>
          </w:p>
        </w:tc>
        <w:tc>
          <w:tcPr>
            <w:tcW w:w="1809" w:type="dxa"/>
            <w:noWrap w:val="0"/>
            <w:vAlign w:val="center"/>
          </w:tcPr>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新建（迁建）</w:t>
            </w:r>
          </w:p>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□改建</w:t>
            </w:r>
          </w:p>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□扩建</w:t>
            </w:r>
          </w:p>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□技术改造</w:t>
            </w:r>
          </w:p>
        </w:tc>
        <w:tc>
          <w:tcPr>
            <w:tcW w:w="19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sz w:val="24"/>
                <w:highlight w:val="none"/>
              </w:rPr>
            </w:pPr>
            <w:r>
              <w:rPr>
                <w:rFonts w:hint="default" w:ascii="Times New Roman" w:hAnsi="Times New Roman" w:eastAsia="Times New Roman" w:cs="Times New Roman"/>
                <w:sz w:val="24"/>
                <w:highlight w:val="none"/>
              </w:rPr>
              <w:t>建设项目</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4"/>
                <w:szCs w:val="24"/>
                <w:highlight w:val="none"/>
              </w:rPr>
            </w:pPr>
            <w:r>
              <w:rPr>
                <w:rFonts w:hint="default" w:ascii="Times New Roman" w:hAnsi="Times New Roman" w:eastAsia="Times New Roman" w:cs="Times New Roman"/>
                <w:sz w:val="24"/>
                <w:highlight w:val="none"/>
              </w:rPr>
              <w:t>申报情形</w:t>
            </w:r>
          </w:p>
        </w:tc>
        <w:tc>
          <w:tcPr>
            <w:tcW w:w="2885"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Times New Roman" w:cs="Times New Roman"/>
                <w:sz w:val="24"/>
                <w:highlight w:val="none"/>
              </w:rPr>
            </w:pPr>
            <w:r>
              <w:rPr>
                <w:rFonts w:hint="default" w:ascii="Times New Roman" w:hAnsi="Times New Roman" w:eastAsia="Times New Roman" w:cs="Times New Roman"/>
                <w:sz w:val="24"/>
                <w:highlight w:val="none"/>
              </w:rPr>
              <w:sym w:font="Wingdings 2" w:char="0052"/>
            </w:r>
            <w:r>
              <w:rPr>
                <w:rFonts w:hint="default" w:ascii="Times New Roman" w:hAnsi="Times New Roman" w:eastAsia="Times New Roman" w:cs="Times New Roman"/>
                <w:sz w:val="24"/>
                <w:highlight w:val="none"/>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Times New Roman" w:cs="Times New Roman"/>
                <w:sz w:val="24"/>
                <w:highlight w:val="none"/>
              </w:rPr>
            </w:pPr>
            <w:r>
              <w:rPr>
                <w:rFonts w:hint="default" w:ascii="Times New Roman" w:hAnsi="Times New Roman" w:eastAsia="Times New Roman" w:cs="Times New Roman"/>
                <w:sz w:val="24"/>
                <w:highlight w:val="none"/>
              </w:rPr>
              <w:sym w:font="Wingdings 2" w:char="00A3"/>
            </w:r>
            <w:r>
              <w:rPr>
                <w:rFonts w:hint="default" w:ascii="Times New Roman" w:hAnsi="Times New Roman" w:eastAsia="Times New Roman" w:cs="Times New Roman"/>
                <w:sz w:val="24"/>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Times New Roman" w:cs="Times New Roman"/>
                <w:sz w:val="24"/>
                <w:highlight w:val="none"/>
              </w:rPr>
            </w:pPr>
            <w:r>
              <w:rPr>
                <w:rFonts w:hint="default" w:ascii="Times New Roman" w:hAnsi="Times New Roman" w:eastAsia="Times New Roman" w:cs="Times New Roman"/>
                <w:sz w:val="24"/>
                <w:highlight w:val="none"/>
              </w:rPr>
              <w:sym w:font="Wingdings 2" w:char="00A3"/>
            </w:r>
            <w:r>
              <w:rPr>
                <w:rFonts w:hint="default" w:ascii="Times New Roman" w:hAnsi="Times New Roman" w:eastAsia="Times New Roman" w:cs="Times New Roman"/>
                <w:sz w:val="24"/>
                <w:highlight w:val="none"/>
              </w:rPr>
              <w:t>超五年重新审核项目</w:t>
            </w:r>
          </w:p>
          <w:p>
            <w:pPr>
              <w:keepNext w:val="0"/>
              <w:keepLines w:val="0"/>
              <w:suppressLineNumbers w:val="0"/>
              <w:spacing w:before="0" w:beforeAutospacing="0" w:after="0" w:afterAutospacing="0"/>
              <w:ind w:left="0" w:leftChars="0" w:right="0" w:rightChars="0"/>
              <w:jc w:val="left"/>
              <w:rPr>
                <w:rFonts w:hint="default" w:ascii="Times New Roman" w:hAnsi="Times New Roman" w:cs="Times New Roman"/>
                <w:sz w:val="24"/>
                <w:szCs w:val="24"/>
                <w:highlight w:val="none"/>
              </w:rPr>
            </w:pPr>
            <w:r>
              <w:rPr>
                <w:rFonts w:hint="default" w:ascii="Times New Roman" w:hAnsi="Times New Roman" w:eastAsia="Times New Roman" w:cs="Times New Roman"/>
                <w:sz w:val="24"/>
                <w:highlight w:val="none"/>
              </w:rPr>
              <w:sym w:font="Wingdings 2" w:char="00A3"/>
            </w:r>
            <w:r>
              <w:rPr>
                <w:rFonts w:hint="default" w:ascii="Times New Roman" w:hAnsi="Times New Roman" w:eastAsia="Times New Roman" w:cs="Times New Roman"/>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项目审批（核准/</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备案）部门（选填）</w:t>
            </w:r>
          </w:p>
        </w:tc>
        <w:tc>
          <w:tcPr>
            <w:tcW w:w="1809"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博湖县</w:t>
            </w:r>
            <w:r>
              <w:rPr>
                <w:rFonts w:hint="default" w:ascii="Times New Roman" w:hAnsi="Times New Roman" w:eastAsia="宋体" w:cs="Times New Roman"/>
                <w:sz w:val="24"/>
                <w:szCs w:val="24"/>
                <w:highlight w:val="none"/>
                <w:lang w:val="en-US" w:eastAsia="zh-CN"/>
              </w:rPr>
              <w:t>发展和改革委员会</w:t>
            </w:r>
          </w:p>
        </w:tc>
        <w:tc>
          <w:tcPr>
            <w:tcW w:w="1966" w:type="dxa"/>
            <w:noWrap w:val="0"/>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w:t>
            </w:r>
            <w:bookmarkStart w:id="7" w:name="_GoBack"/>
            <w:bookmarkEnd w:id="7"/>
            <w:r>
              <w:rPr>
                <w:rFonts w:hint="default" w:ascii="Times New Roman" w:hAnsi="Times New Roman" w:cs="Times New Roman"/>
                <w:sz w:val="24"/>
                <w:szCs w:val="24"/>
                <w:highlight w:val="none"/>
              </w:rPr>
              <w:t>目审批（核准/</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备案）文号（选填）</w:t>
            </w:r>
          </w:p>
        </w:tc>
        <w:tc>
          <w:tcPr>
            <w:tcW w:w="2885" w:type="dxa"/>
            <w:noWrap w:val="0"/>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rPr>
              <w:t>2412101777652800000175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总投资（万元）</w:t>
            </w:r>
          </w:p>
        </w:tc>
        <w:tc>
          <w:tcPr>
            <w:tcW w:w="1809"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lang w:val="en-US" w:eastAsia="zh-CN"/>
              </w:rPr>
              <w:t>00</w:t>
            </w:r>
          </w:p>
        </w:tc>
        <w:tc>
          <w:tcPr>
            <w:tcW w:w="1966"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环保投资（万元）</w:t>
            </w:r>
          </w:p>
        </w:tc>
        <w:tc>
          <w:tcPr>
            <w:tcW w:w="2885"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0"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环保投资占比（%）</w:t>
            </w:r>
          </w:p>
        </w:tc>
        <w:tc>
          <w:tcPr>
            <w:tcW w:w="1809"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4.925</w:t>
            </w:r>
          </w:p>
        </w:tc>
        <w:tc>
          <w:tcPr>
            <w:tcW w:w="1966"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施工工期</w:t>
            </w:r>
          </w:p>
        </w:tc>
        <w:tc>
          <w:tcPr>
            <w:tcW w:w="2885"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lang w:val="en-US" w:eastAsia="zh-CN"/>
              </w:rPr>
              <w:t>个月</w:t>
            </w:r>
            <w:r>
              <w:rPr>
                <w:rFonts w:hint="eastAsia" w:cs="Times New Roman"/>
                <w:sz w:val="24"/>
                <w:szCs w:val="24"/>
                <w:highlight w:val="none"/>
                <w:lang w:val="en-US" w:eastAsia="zh-CN"/>
              </w:rPr>
              <w:t>（2026年3月1日至2026年6月30日）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0"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4"/>
                <w:szCs w:val="24"/>
                <w:highlight w:val="none"/>
              </w:rPr>
            </w:pPr>
            <w:r>
              <w:rPr>
                <w:rFonts w:hint="default" w:ascii="Times New Roman" w:hAnsi="Times New Roman" w:eastAsia="Times New Roman" w:cs="Times New Roman"/>
                <w:sz w:val="24"/>
                <w:highlight w:val="none"/>
              </w:rPr>
              <w:t>是否开工建设</w:t>
            </w:r>
          </w:p>
        </w:tc>
        <w:tc>
          <w:tcPr>
            <w:tcW w:w="1809"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Times New Roman" w:cs="Times New Roman"/>
                <w:sz w:val="24"/>
                <w:highlight w:val="none"/>
              </w:rPr>
            </w:pPr>
            <w:r>
              <w:rPr>
                <w:rFonts w:hint="default" w:ascii="Times New Roman" w:hAnsi="Times New Roman" w:eastAsia="Times New Roman" w:cs="Times New Roman"/>
                <w:sz w:val="24"/>
                <w:highlight w:val="none"/>
              </w:rPr>
              <w:sym w:font="Wingdings 2" w:char="0052"/>
            </w:r>
            <w:r>
              <w:rPr>
                <w:rFonts w:hint="default" w:ascii="Times New Roman" w:hAnsi="Times New Roman" w:eastAsia="Times New Roman" w:cs="Times New Roman"/>
                <w:sz w:val="24"/>
                <w:highlight w:val="none"/>
              </w:rPr>
              <w:t>否</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cs="Times New Roman"/>
                <w:sz w:val="24"/>
                <w:szCs w:val="24"/>
                <w:highlight w:val="none"/>
              </w:rPr>
            </w:pPr>
            <w:r>
              <w:rPr>
                <w:rFonts w:hint="default" w:ascii="Times New Roman" w:hAnsi="Times New Roman" w:eastAsia="Times New Roman" w:cs="Times New Roman"/>
                <w:sz w:val="24"/>
                <w:highlight w:val="none"/>
              </w:rPr>
              <w:sym w:font="Wingdings 2" w:char="00A3"/>
            </w:r>
            <w:r>
              <w:rPr>
                <w:rFonts w:hint="default" w:ascii="Times New Roman" w:hAnsi="Times New Roman" w:eastAsia="Times New Roman" w:cs="Times New Roman"/>
                <w:sz w:val="24"/>
                <w:highlight w:val="none"/>
              </w:rPr>
              <w:t>是</w:t>
            </w:r>
            <w:r>
              <w:rPr>
                <w:rFonts w:hint="default" w:ascii="Times New Roman" w:hAnsi="Times New Roman" w:eastAsia="宋体" w:cs="Times New Roman"/>
                <w:sz w:val="24"/>
                <w:highlight w:val="none"/>
              </w:rPr>
              <w:t>：</w:t>
            </w:r>
          </w:p>
        </w:tc>
        <w:tc>
          <w:tcPr>
            <w:tcW w:w="196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用地（用海）</w:t>
            </w:r>
          </w:p>
          <w:p>
            <w:pPr>
              <w:adjustRightInd w:val="0"/>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面积（</w:t>
            </w:r>
            <w:r>
              <w:rPr>
                <w:rStyle w:val="45"/>
                <w:rFonts w:hint="default" w:ascii="Times New Roman" w:hAnsi="Times New Roman" w:cs="Times New Roman"/>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val="en-US" w:eastAsia="zh-CN"/>
              </w:rPr>
              <w:t>）</w:t>
            </w:r>
          </w:p>
        </w:tc>
        <w:tc>
          <w:tcPr>
            <w:tcW w:w="2885"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3728.6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210" w:type="dxa"/>
            <w:gridSpan w:val="2"/>
            <w:noWrap w:val="0"/>
            <w:vAlign w:val="center"/>
          </w:tcPr>
          <w:p>
            <w:pPr>
              <w:autoSpaceDE w:val="0"/>
              <w:autoSpaceDN w:val="0"/>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专项评价设置情况</w:t>
            </w:r>
          </w:p>
        </w:tc>
        <w:tc>
          <w:tcPr>
            <w:tcW w:w="6660" w:type="dxa"/>
            <w:gridSpan w:val="3"/>
            <w:noWrap w:val="0"/>
            <w:vAlign w:val="center"/>
          </w:tcPr>
          <w:p>
            <w:pPr>
              <w:pStyle w:val="44"/>
              <w:bidi w:val="0"/>
              <w:ind w:left="0" w:leftChars="0" w:firstLine="480" w:firstLineChars="200"/>
              <w:jc w:val="both"/>
              <w:rPr>
                <w:rFonts w:hint="default" w:ascii="Times New Roman" w:hAnsi="Times New Roman" w:eastAsia="TimesNewRomanPSMT" w:cs="Times New Roman"/>
                <w:b w:val="0"/>
                <w:bCs w:val="0"/>
                <w:color w:val="000000"/>
                <w:kern w:val="0"/>
                <w:sz w:val="24"/>
                <w:szCs w:val="24"/>
                <w:highlight w:val="none"/>
                <w:lang w:val="en-US" w:eastAsia="zh-CN" w:bidi="ar"/>
              </w:rPr>
            </w:pPr>
            <w:r>
              <w:rPr>
                <w:rFonts w:hint="default" w:ascii="Times New Roman" w:hAnsi="Times New Roman" w:cs="Times New Roman"/>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210" w:type="dxa"/>
            <w:gridSpan w:val="2"/>
            <w:noWrap w:val="0"/>
            <w:vAlign w:val="center"/>
          </w:tcPr>
          <w:p>
            <w:pPr>
              <w:autoSpaceDE w:val="0"/>
              <w:autoSpaceDN w:val="0"/>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sz w:val="24"/>
                <w:szCs w:val="24"/>
                <w:highlight w:val="none"/>
              </w:rPr>
              <w:t>规划情况</w:t>
            </w:r>
          </w:p>
        </w:tc>
        <w:tc>
          <w:tcPr>
            <w:tcW w:w="6660" w:type="dxa"/>
            <w:gridSpan w:val="3"/>
            <w:noWrap w:val="0"/>
            <w:vAlign w:val="center"/>
          </w:tcPr>
          <w:p>
            <w:pPr>
              <w:pStyle w:val="44"/>
              <w:bidi w:val="0"/>
              <w:rPr>
                <w:rFonts w:hint="eastAsia" w:ascii="Times New Roman" w:hAnsi="Times New Roman" w:cs="Times New Roman"/>
                <w:highlight w:val="none"/>
                <w:lang w:val="en-US" w:eastAsia="zh-CN"/>
              </w:rPr>
            </w:pPr>
            <w:r>
              <w:rPr>
                <w:rFonts w:hint="default" w:ascii="Times New Roman" w:hAnsi="Times New Roman" w:cs="Times New Roman"/>
                <w:highlight w:val="none"/>
                <w:lang w:val="en-US" w:eastAsia="zh-CN"/>
              </w:rPr>
              <w:t>规划名称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博湖</w:t>
            </w:r>
            <w:r>
              <w:rPr>
                <w:rFonts w:hint="default" w:ascii="Times New Roman" w:hAnsi="Times New Roman" w:cs="Times New Roman"/>
                <w:highlight w:val="none"/>
                <w:lang w:val="en-US" w:eastAsia="zh-CN"/>
              </w:rPr>
              <w:t>县国土空间总体规划（2021—2035年）》</w:t>
            </w:r>
            <w:r>
              <w:rPr>
                <w:rFonts w:hint="eastAsia" w:ascii="Times New Roman" w:hAnsi="Times New Roman" w:cs="Times New Roman"/>
                <w:highlight w:val="none"/>
                <w:lang w:val="en-US" w:eastAsia="zh-CN"/>
              </w:rPr>
              <w:t>；</w:t>
            </w:r>
          </w:p>
          <w:p>
            <w:pPr>
              <w:pStyle w:val="44"/>
              <w:bidi w:val="0"/>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审</w:t>
            </w:r>
            <w:r>
              <w:rPr>
                <w:rFonts w:hint="eastAsia" w:ascii="Times New Roman" w:hAnsi="Times New Roman" w:eastAsia="宋体" w:cs="Times New Roman"/>
                <w:highlight w:val="none"/>
                <w:lang w:val="en-US" w:eastAsia="zh-CN"/>
              </w:rPr>
              <w:t>批机关：巴州人民政府；</w:t>
            </w:r>
          </w:p>
          <w:p>
            <w:pPr>
              <w:pStyle w:val="44"/>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审批文件名称</w:t>
            </w:r>
            <w:r>
              <w:rPr>
                <w:rFonts w:hint="eastAsia" w:ascii="Times New Roman" w:hAnsi="Times New Roman" w:eastAsia="宋体" w:cs="Times New Roman"/>
                <w:highlight w:val="none"/>
                <w:lang w:val="en-US" w:eastAsia="zh-CN"/>
              </w:rPr>
              <w:t>：关于《博湖县国土空间总体规划（2021—2035年）》的批复；</w:t>
            </w:r>
          </w:p>
          <w:p>
            <w:pPr>
              <w:pStyle w:val="44"/>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文号</w:t>
            </w:r>
            <w:r>
              <w:rPr>
                <w:rFonts w:hint="eastAsia" w:ascii="Times New Roman" w:hAnsi="Times New Roman" w:eastAsia="宋体" w:cs="Times New Roman"/>
                <w:highlight w:val="none"/>
                <w:lang w:val="en-US" w:eastAsia="zh-CN"/>
              </w:rPr>
              <w:t>：巴政函〔2024〕111号。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210" w:type="dxa"/>
            <w:gridSpan w:val="2"/>
            <w:noWrap w:val="0"/>
            <w:vAlign w:val="center"/>
          </w:tcPr>
          <w:p>
            <w:pPr>
              <w:autoSpaceDE w:val="0"/>
              <w:autoSpaceDN w:val="0"/>
              <w:adjustRightInd w:val="0"/>
              <w:snapToGrid w:val="0"/>
              <w:jc w:val="center"/>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rPr>
              <w:t>规划环境影响评价情况</w:t>
            </w:r>
          </w:p>
        </w:tc>
        <w:tc>
          <w:tcPr>
            <w:tcW w:w="6660" w:type="dxa"/>
            <w:gridSpan w:val="3"/>
            <w:noWrap w:val="0"/>
            <w:vAlign w:val="center"/>
          </w:tcPr>
          <w:p>
            <w:pPr>
              <w:pStyle w:val="44"/>
              <w:bidi w:val="0"/>
              <w:ind w:left="0" w:leftChars="0" w:firstLine="480" w:firstLineChars="20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99" w:type="dxa"/>
            <w:noWrap w:val="0"/>
            <w:vAlign w:val="center"/>
          </w:tcPr>
          <w:p>
            <w:pPr>
              <w:autoSpaceDE w:val="0"/>
              <w:autoSpaceDN w:val="0"/>
              <w:adjustRightInd w:val="0"/>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kern w:val="0"/>
                <w:sz w:val="24"/>
                <w:szCs w:val="24"/>
                <w:highlight w:val="none"/>
              </w:rPr>
              <w:t>规划及规划环境影响评价符合性分析</w:t>
            </w:r>
          </w:p>
        </w:tc>
        <w:tc>
          <w:tcPr>
            <w:tcW w:w="7971" w:type="dxa"/>
            <w:gridSpan w:val="4"/>
            <w:noWrap w:val="0"/>
            <w:vAlign w:val="center"/>
          </w:tcPr>
          <w:p>
            <w:pPr>
              <w:pStyle w:val="4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与《</w:t>
            </w:r>
            <w:r>
              <w:rPr>
                <w:rFonts w:hint="eastAsia" w:ascii="Times New Roman" w:hAnsi="Times New Roman" w:cs="Times New Roman"/>
                <w:highlight w:val="none"/>
                <w:lang w:val="en-US" w:eastAsia="zh-CN"/>
              </w:rPr>
              <w:t>博湖</w:t>
            </w:r>
            <w:r>
              <w:rPr>
                <w:rFonts w:hint="default" w:ascii="Times New Roman" w:hAnsi="Times New Roman" w:cs="Times New Roman"/>
                <w:highlight w:val="none"/>
                <w:lang w:val="en-US" w:eastAsia="zh-CN"/>
              </w:rPr>
              <w:t>县国土空间总体规划（2021—2035年）》符合性分析</w:t>
            </w:r>
          </w:p>
          <w:p>
            <w:pPr>
              <w:pStyle w:val="44"/>
              <w:bidi w:val="0"/>
              <w:spacing w:line="360" w:lineRule="auto"/>
              <w:rPr>
                <w:rFonts w:ascii="宋体" w:hAnsi="宋体" w:eastAsia="宋体" w:cs="宋体"/>
                <w:sz w:val="24"/>
                <w:szCs w:val="24"/>
              </w:rPr>
            </w:pPr>
            <w:r>
              <w:rPr>
                <w:rFonts w:hint="default" w:ascii="Times New Roman" w:hAnsi="Times New Roman" w:cs="Times New Roman"/>
                <w:highlight w:val="none"/>
                <w:lang w:val="en-US" w:eastAsia="zh-CN"/>
              </w:rPr>
              <w:t>根据《</w:t>
            </w:r>
            <w:r>
              <w:rPr>
                <w:rFonts w:hint="eastAsia" w:ascii="Times New Roman" w:hAnsi="Times New Roman" w:cs="Times New Roman"/>
                <w:highlight w:val="none"/>
                <w:lang w:val="en-US" w:eastAsia="zh-CN"/>
              </w:rPr>
              <w:t>博湖</w:t>
            </w:r>
            <w:r>
              <w:rPr>
                <w:rFonts w:hint="default" w:ascii="Times New Roman" w:hAnsi="Times New Roman" w:cs="Times New Roman"/>
                <w:highlight w:val="none"/>
                <w:lang w:val="en-US" w:eastAsia="zh-CN"/>
              </w:rPr>
              <w:t>县国土空间总体规划（2021</w:t>
            </w:r>
            <w:r>
              <w:rPr>
                <w:rFonts w:hint="eastAsia" w:cs="Times New Roman"/>
                <w:highlight w:val="none"/>
                <w:lang w:val="en-US" w:eastAsia="zh-CN"/>
              </w:rPr>
              <w:t>—</w:t>
            </w:r>
            <w:r>
              <w:rPr>
                <w:rFonts w:hint="default" w:ascii="Times New Roman" w:hAnsi="Times New Roman" w:cs="Times New Roman"/>
                <w:highlight w:val="none"/>
                <w:lang w:val="en-US" w:eastAsia="zh-CN"/>
              </w:rPr>
              <w:t>2035年）》</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规划采取构建底线严守的保护与开发格局，将旅游业打造为支柱产业，践行绿色发展，推动产业全面升级，</w:t>
            </w:r>
            <w:r>
              <w:rPr>
                <w:rFonts w:hint="eastAsia" w:cs="Times New Roman"/>
                <w:highlight w:val="none"/>
                <w:lang w:val="en-US" w:eastAsia="zh-CN"/>
              </w:rPr>
              <w:t>以打</w:t>
            </w:r>
            <w:r>
              <w:rPr>
                <w:rFonts w:hint="default" w:ascii="Times New Roman" w:hAnsi="Times New Roman" w:cs="Times New Roman"/>
                <w:highlight w:val="none"/>
                <w:lang w:val="en-US" w:eastAsia="zh-CN"/>
              </w:rPr>
              <w:t>造高品质城乡环境</w:t>
            </w:r>
            <w:r>
              <w:rPr>
                <w:rFonts w:hint="eastAsia" w:ascii="Times New Roman" w:hAnsi="Times New Roman" w:cs="Times New Roman"/>
                <w:highlight w:val="none"/>
                <w:lang w:val="en-US" w:eastAsia="zh-CN"/>
              </w:rPr>
              <w:t>为</w:t>
            </w:r>
            <w:r>
              <w:rPr>
                <w:rFonts w:ascii="宋体" w:hAnsi="宋体" w:eastAsia="宋体" w:cs="宋体"/>
                <w:sz w:val="24"/>
                <w:szCs w:val="24"/>
              </w:rPr>
              <w:t>发展目标</w:t>
            </w:r>
            <w:r>
              <w:rPr>
                <w:rFonts w:hint="default" w:ascii="Times New Roman" w:hAnsi="Times New Roman" w:cs="Times New Roman"/>
                <w:highlight w:val="none"/>
                <w:lang w:val="en-US" w:eastAsia="zh-CN"/>
              </w:rPr>
              <w:t>。构筑“一心、四区、多点”的开发保护总体格局</w:t>
            </w:r>
            <w:r>
              <w:rPr>
                <w:rFonts w:hint="eastAsia" w:ascii="Times New Roman" w:hAnsi="Times New Roman" w:cs="Times New Roman"/>
                <w:highlight w:val="none"/>
                <w:lang w:val="en-US" w:eastAsia="zh-CN"/>
              </w:rPr>
              <w:t>。</w:t>
            </w:r>
            <w:r>
              <w:rPr>
                <w:rFonts w:hint="eastAsia" w:cs="Times New Roman"/>
                <w:highlight w:val="none"/>
                <w:lang w:val="en-US" w:eastAsia="zh-CN"/>
              </w:rPr>
              <w:t>一</w:t>
            </w:r>
            <w:r>
              <w:rPr>
                <w:rFonts w:hint="eastAsia" w:ascii="Times New Roman" w:hAnsi="Times New Roman" w:cs="Times New Roman"/>
                <w:highlight w:val="none"/>
                <w:lang w:val="en-US" w:eastAsia="zh-CN"/>
              </w:rPr>
              <w:t>心是以博湖县为中心，重点发展旅游服务、生活服务、生产服务等综合服务功能。</w:t>
            </w:r>
            <w:r>
              <w:rPr>
                <w:rFonts w:ascii="宋体" w:hAnsi="宋体" w:eastAsia="宋体" w:cs="宋体"/>
                <w:sz w:val="24"/>
                <w:szCs w:val="24"/>
              </w:rPr>
              <w:t>四区</w:t>
            </w:r>
            <w:r>
              <w:rPr>
                <w:rFonts w:hint="eastAsia" w:ascii="宋体" w:hAnsi="宋体" w:eastAsia="宋体" w:cs="宋体"/>
                <w:sz w:val="24"/>
                <w:szCs w:val="24"/>
                <w:lang w:val="en-US" w:eastAsia="zh-CN"/>
              </w:rPr>
              <w:t>分别为</w:t>
            </w:r>
            <w:r>
              <w:rPr>
                <w:rFonts w:ascii="宋体" w:hAnsi="宋体" w:eastAsia="宋体" w:cs="宋体"/>
                <w:sz w:val="24"/>
                <w:szCs w:val="24"/>
              </w:rPr>
              <w:t>湖泊和湿地区</w:t>
            </w:r>
            <w:r>
              <w:rPr>
                <w:rFonts w:hint="eastAsia" w:ascii="宋体" w:hAnsi="宋体" w:eastAsia="宋体" w:cs="宋体"/>
                <w:sz w:val="24"/>
                <w:szCs w:val="24"/>
                <w:lang w:eastAsia="zh-CN"/>
              </w:rPr>
              <w:t>、</w:t>
            </w:r>
            <w:r>
              <w:rPr>
                <w:rFonts w:ascii="宋体" w:hAnsi="宋体" w:eastAsia="宋体" w:cs="宋体"/>
                <w:sz w:val="24"/>
                <w:szCs w:val="24"/>
              </w:rPr>
              <w:t>南部山区</w:t>
            </w:r>
            <w:r>
              <w:rPr>
                <w:rFonts w:hint="eastAsia" w:ascii="宋体" w:hAnsi="宋体" w:eastAsia="宋体" w:cs="宋体"/>
                <w:sz w:val="24"/>
                <w:szCs w:val="24"/>
                <w:lang w:eastAsia="zh-CN"/>
              </w:rPr>
              <w:t>、</w:t>
            </w:r>
            <w:r>
              <w:rPr>
                <w:rFonts w:ascii="宋体" w:hAnsi="宋体" w:eastAsia="宋体" w:cs="宋体"/>
                <w:sz w:val="24"/>
                <w:szCs w:val="24"/>
              </w:rPr>
              <w:t>沙漠戈壁区</w:t>
            </w:r>
            <w:r>
              <w:rPr>
                <w:rFonts w:hint="eastAsia" w:ascii="宋体" w:hAnsi="宋体" w:eastAsia="宋体" w:cs="宋体"/>
                <w:sz w:val="24"/>
                <w:szCs w:val="24"/>
                <w:lang w:eastAsia="zh-CN"/>
              </w:rPr>
              <w:t>、</w:t>
            </w:r>
            <w:r>
              <w:rPr>
                <w:rFonts w:ascii="宋体" w:hAnsi="宋体" w:eastAsia="宋体" w:cs="宋体"/>
                <w:sz w:val="24"/>
                <w:szCs w:val="24"/>
              </w:rPr>
              <w:t>绿洲区</w:t>
            </w:r>
            <w:r>
              <w:rPr>
                <w:rFonts w:hint="eastAsia" w:ascii="宋体" w:hAnsi="宋体" w:eastAsia="宋体" w:cs="宋体"/>
                <w:sz w:val="24"/>
                <w:szCs w:val="24"/>
                <w:lang w:eastAsia="zh-CN"/>
              </w:rPr>
              <w:t>。</w:t>
            </w:r>
            <w:r>
              <w:rPr>
                <w:rFonts w:ascii="宋体" w:hAnsi="宋体" w:eastAsia="宋体" w:cs="宋体"/>
                <w:sz w:val="24"/>
                <w:szCs w:val="24"/>
              </w:rPr>
              <w:t>多点</w:t>
            </w:r>
            <w:r>
              <w:rPr>
                <w:rFonts w:hint="eastAsia" w:ascii="宋体" w:hAnsi="宋体" w:eastAsia="宋体" w:cs="宋体"/>
                <w:sz w:val="24"/>
                <w:szCs w:val="24"/>
                <w:lang w:val="en-US" w:eastAsia="zh-CN"/>
              </w:rPr>
              <w:t>是</w:t>
            </w:r>
            <w:r>
              <w:rPr>
                <w:rFonts w:ascii="宋体" w:hAnsi="宋体" w:eastAsia="宋体" w:cs="宋体"/>
                <w:sz w:val="24"/>
                <w:szCs w:val="24"/>
              </w:rPr>
              <w:t>县域主要发展点</w:t>
            </w:r>
            <w:r>
              <w:rPr>
                <w:rFonts w:hint="eastAsia" w:ascii="宋体" w:hAnsi="宋体" w:eastAsia="宋体" w:cs="宋体"/>
                <w:sz w:val="24"/>
                <w:szCs w:val="24"/>
                <w:lang w:eastAsia="zh-CN"/>
              </w:rPr>
              <w:t>，</w:t>
            </w:r>
            <w:r>
              <w:rPr>
                <w:rFonts w:ascii="宋体" w:hAnsi="宋体" w:eastAsia="宋体" w:cs="宋体"/>
                <w:sz w:val="24"/>
                <w:szCs w:val="24"/>
              </w:rPr>
              <w:t>包括中心城区外围的6个乡镇、1处工业园区和若干处重要景点和村庄。</w:t>
            </w:r>
          </w:p>
          <w:p>
            <w:pPr>
              <w:pStyle w:val="44"/>
              <w:bidi w:val="0"/>
              <w:spacing w:line="360" w:lineRule="auto"/>
              <w:rPr>
                <w:rFonts w:ascii="宋体" w:hAnsi="宋体" w:eastAsia="宋体" w:cs="宋体"/>
                <w:sz w:val="24"/>
                <w:szCs w:val="24"/>
              </w:rPr>
            </w:pPr>
            <w:r>
              <w:rPr>
                <w:rFonts w:ascii="宋体" w:hAnsi="宋体" w:eastAsia="宋体" w:cs="宋体"/>
                <w:sz w:val="24"/>
                <w:szCs w:val="24"/>
              </w:rPr>
              <w:t>优化国土空间开发保护格局。落实主体功能区战略，统筹农业、生态和城镇空间。优先保障农业空间，坚持耕地保护优先，落实耕地补充和战略储备，引导村庄分类发展，合理保障农业用地和</w:t>
            </w:r>
            <w:r>
              <w:rPr>
                <w:rFonts w:hint="eastAsia" w:ascii="宋体" w:hAnsi="宋体" w:cs="宋体"/>
                <w:sz w:val="24"/>
                <w:szCs w:val="24"/>
                <w:lang w:eastAsia="zh-CN"/>
              </w:rPr>
              <w:t>一二三产业融合</w:t>
            </w:r>
            <w:r>
              <w:rPr>
                <w:rFonts w:ascii="宋体" w:hAnsi="宋体" w:eastAsia="宋体" w:cs="宋体"/>
                <w:sz w:val="24"/>
                <w:szCs w:val="24"/>
              </w:rPr>
              <w:t>发展空间。严格保护以博斯腾湖为核心的生态空间，加强水体、湿地、林地、沙漠、山体的保护与修复，扎实推进山水林田湖草沙一体化保护和系统治理。合理保障城镇空间，推动城乡融合发展，构建以博湖县中心城区为引领的等级合理、协调有序的城镇体系，合理供给工业、旅游等产业发展空间。</w:t>
            </w:r>
          </w:p>
          <w:p>
            <w:pPr>
              <w:pStyle w:val="4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本项目选址位于</w:t>
            </w:r>
            <w:r>
              <w:rPr>
                <w:rFonts w:hint="eastAsia" w:ascii="Times New Roman" w:hAnsi="Times New Roman" w:cs="Times New Roman"/>
                <w:highlight w:val="none"/>
                <w:lang w:val="en-US" w:eastAsia="zh-CN"/>
              </w:rPr>
              <w:t>博湖</w:t>
            </w:r>
            <w:r>
              <w:rPr>
                <w:rFonts w:hint="default" w:ascii="Times New Roman" w:hAnsi="Times New Roman" w:cs="Times New Roman"/>
                <w:highlight w:val="none"/>
                <w:lang w:val="en-US" w:eastAsia="zh-CN"/>
              </w:rPr>
              <w:t>县</w:t>
            </w:r>
            <w:r>
              <w:rPr>
                <w:rFonts w:hint="eastAsia" w:ascii="Times New Roman" w:hAnsi="Times New Roman" w:eastAsia="宋体" w:cs="Times New Roman"/>
                <w:color w:val="000000"/>
                <w:kern w:val="0"/>
                <w:sz w:val="24"/>
                <w:szCs w:val="24"/>
                <w:highlight w:val="none"/>
                <w:lang w:val="en-US" w:eastAsia="zh-CN" w:bidi="ar"/>
              </w:rPr>
              <w:t>本布图镇</w:t>
            </w:r>
            <w:r>
              <w:rPr>
                <w:rFonts w:hint="default" w:ascii="Times New Roman" w:hAnsi="Times New Roman" w:cs="Times New Roman"/>
                <w:highlight w:val="none"/>
                <w:lang w:val="en-US" w:eastAsia="zh-CN"/>
              </w:rPr>
              <w:t>，用地类型为工业用地，依据</w:t>
            </w:r>
            <w:r>
              <w:rPr>
                <w:rFonts w:hint="eastAsia" w:ascii="Times New Roman" w:hAnsi="Times New Roman" w:cs="Times New Roman"/>
                <w:highlight w:val="none"/>
                <w:lang w:val="en-US" w:eastAsia="zh-CN"/>
              </w:rPr>
              <w:t>博湖</w:t>
            </w:r>
            <w:r>
              <w:rPr>
                <w:rFonts w:hint="default" w:ascii="Times New Roman" w:hAnsi="Times New Roman" w:cs="Times New Roman"/>
                <w:highlight w:val="none"/>
                <w:lang w:val="en-US" w:eastAsia="zh-CN"/>
              </w:rPr>
              <w:t>县自然资源局202</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24</w:t>
            </w:r>
            <w:r>
              <w:rPr>
                <w:rFonts w:hint="default" w:ascii="Times New Roman" w:hAnsi="Times New Roman" w:cs="Times New Roman"/>
                <w:highlight w:val="none"/>
                <w:lang w:val="en-US" w:eastAsia="zh-CN"/>
              </w:rPr>
              <w:t>日出具的《</w:t>
            </w:r>
            <w:r>
              <w:rPr>
                <w:rFonts w:hint="eastAsia" w:ascii="Times New Roman" w:hAnsi="Times New Roman" w:cs="Times New Roman"/>
                <w:highlight w:val="none"/>
                <w:lang w:val="en-US" w:eastAsia="zh-CN"/>
              </w:rPr>
              <w:t>建设用地规划许可证</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明确本项目建设</w:t>
            </w:r>
            <w:r>
              <w:rPr>
                <w:rFonts w:hint="eastAsia" w:ascii="Times New Roman" w:hAnsi="Times New Roman" w:cs="Times New Roman"/>
                <w:highlight w:val="none"/>
                <w:lang w:val="en-US" w:eastAsia="zh-CN"/>
              </w:rPr>
              <w:t>用地符合国土空间规划和用途管制要求</w:t>
            </w:r>
            <w:r>
              <w:rPr>
                <w:rFonts w:hint="default" w:ascii="Times New Roman" w:hAnsi="Times New Roman" w:cs="Times New Roman"/>
                <w:highlight w:val="none"/>
                <w:lang w:val="en-US" w:eastAsia="zh-CN"/>
              </w:rPr>
              <w:t>（见附件</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w:t>
            </w:r>
          </w:p>
          <w:p>
            <w:pPr>
              <w:pStyle w:val="44"/>
              <w:bidi w:val="0"/>
              <w:spacing w:line="360" w:lineRule="auto"/>
              <w:ind w:left="0" w:leftChars="0" w:firstLine="0" w:firstLineChars="0"/>
              <w:rPr>
                <w:rFonts w:hint="default" w:ascii="Times New Roman" w:hAnsi="Times New Roman" w:cs="Times New Roman"/>
                <w:highlight w:val="none"/>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2321560</wp:posOffset>
                      </wp:positionH>
                      <wp:positionV relativeFrom="paragraph">
                        <wp:posOffset>626745</wp:posOffset>
                      </wp:positionV>
                      <wp:extent cx="962025" cy="278765"/>
                      <wp:effectExtent l="660400" t="4445" r="15875" b="326390"/>
                      <wp:wrapNone/>
                      <wp:docPr id="1" name="自选图形 4"/>
                      <wp:cNvGraphicFramePr/>
                      <a:graphic xmlns:a="http://schemas.openxmlformats.org/drawingml/2006/main">
                        <a:graphicData uri="http://schemas.microsoft.com/office/word/2010/wordprocessingShape">
                          <wps:wsp>
                            <wps:cNvSpPr/>
                            <wps:spPr>
                              <a:xfrm>
                                <a:off x="0" y="0"/>
                                <a:ext cx="962025" cy="278765"/>
                              </a:xfrm>
                              <a:prstGeom prst="wedgeRectCallout">
                                <a:avLst>
                                  <a:gd name="adj1" fmla="val -114750"/>
                                  <a:gd name="adj2" fmla="val 156148"/>
                                </a:avLst>
                              </a:prstGeom>
                              <a:solidFill>
                                <a:srgbClr val="FFFF00"/>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项目所在地</w:t>
                                  </w:r>
                                </w:p>
                              </w:txbxContent>
                            </wps:txbx>
                            <wps:bodyPr vert="horz" wrap="square" anchor="t" anchorCtr="0" upright="1"/>
                          </wps:wsp>
                        </a:graphicData>
                      </a:graphic>
                    </wp:anchor>
                  </w:drawing>
                </mc:Choice>
                <mc:Fallback>
                  <w:pict>
                    <v:shape id="自选图形 4" o:spid="_x0000_s1026" o:spt="61" type="#_x0000_t61" style="position:absolute;left:0pt;margin-left:182.8pt;margin-top:49.35pt;height:21.95pt;width:75.75pt;z-index:251659264;mso-width-relative:page;mso-height-relative:page;" fillcolor="#FFFF00" filled="t" stroked="t" coordsize="21600,21600" o:gfxdata="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w0kz2gAAAAoBAAAPAAAAAAAAAAEAIAAAACIAAABkcnMvZG93bnJldi54bWxQSwECFAAUAAAACACH&#10;TuJAOZ7DvlsCAADBBAAADgAAAAAAAAABACAAAAApAQAAZHJzL2Uyb0RvYy54bWxQSwUGAAAAAAYA&#10;BgBZAQAA9gUAAAAA&#10;" adj="-13986,44528">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项目所在地</w:t>
                            </w:r>
                          </w:p>
                        </w:txbxContent>
                      </v:textbox>
                    </v:shape>
                  </w:pict>
                </mc:Fallback>
              </mc:AlternateContent>
            </w:r>
            <w:r>
              <w:drawing>
                <wp:inline distT="0" distB="0" distL="114300" distR="114300">
                  <wp:extent cx="4923790" cy="2820670"/>
                  <wp:effectExtent l="0" t="0" r="10160" b="1778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12"/>
                          <a:stretch>
                            <a:fillRect/>
                          </a:stretch>
                        </pic:blipFill>
                        <pic:spPr>
                          <a:xfrm>
                            <a:off x="0" y="0"/>
                            <a:ext cx="4923790" cy="2820670"/>
                          </a:xfrm>
                          <a:prstGeom prst="rect">
                            <a:avLst/>
                          </a:prstGeom>
                          <a:noFill/>
                          <a:ln>
                            <a:noFill/>
                          </a:ln>
                        </pic:spPr>
                      </pic:pic>
                    </a:graphicData>
                  </a:graphic>
                </wp:inline>
              </w:drawing>
            </w:r>
          </w:p>
          <w:p>
            <w:pPr>
              <w:pStyle w:val="44"/>
              <w:bidi w:val="0"/>
              <w:spacing w:line="360" w:lineRule="auto"/>
              <w:ind w:left="0" w:leftChars="0" w:firstLine="0" w:firstLineChars="0"/>
              <w:jc w:val="center"/>
              <w:rPr>
                <w:rFonts w:hint="default" w:ascii="Times New Roman" w:hAnsi="Times New Roman" w:cs="Times New Roman"/>
                <w:highlight w:val="none"/>
                <w:lang w:val="en-US" w:eastAsia="zh-CN"/>
              </w:rPr>
            </w:pPr>
            <w:r>
              <w:rPr>
                <w:rFonts w:hint="eastAsia" w:ascii="Times New Roman" w:hAnsi="Times New Roman" w:cs="Times New Roman"/>
                <w:b/>
                <w:bCs/>
                <w:sz w:val="21"/>
                <w:szCs w:val="21"/>
                <w:highlight w:val="none"/>
                <w:lang w:val="en-US" w:eastAsia="zh-CN"/>
              </w:rPr>
              <w:t>图1  项目选址与国土空间规划位置关系图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8" w:hRule="atLeast"/>
          <w:jc w:val="center"/>
        </w:trPr>
        <w:tc>
          <w:tcPr>
            <w:tcW w:w="899" w:type="dxa"/>
            <w:noWrap w:val="0"/>
            <w:vAlign w:val="center"/>
          </w:tcPr>
          <w:p>
            <w:pPr>
              <w:autoSpaceDE w:val="0"/>
              <w:autoSpaceDN w:val="0"/>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其他符合性分析</w:t>
            </w:r>
          </w:p>
        </w:tc>
        <w:tc>
          <w:tcPr>
            <w:tcW w:w="7971" w:type="dxa"/>
            <w:gridSpan w:val="4"/>
            <w:noWrap w:val="0"/>
            <w:vAlign w:val="center"/>
          </w:tcPr>
          <w:p>
            <w:pPr>
              <w:pStyle w:val="44"/>
              <w:bidi w:val="0"/>
              <w:rPr>
                <w:rFonts w:hint="default" w:ascii="Times New Roman" w:hAnsi="Times New Roman" w:cs="Times New Roman"/>
                <w:b/>
                <w:bCs/>
                <w:highlight w:val="none"/>
              </w:rPr>
            </w:pPr>
            <w:r>
              <w:rPr>
                <w:rFonts w:hint="default" w:ascii="Times New Roman" w:hAnsi="Times New Roman" w:cs="Times New Roman"/>
                <w:b/>
                <w:bCs/>
                <w:highlight w:val="none"/>
              </w:rPr>
              <w:t>1</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政策</w:t>
            </w:r>
            <w:r>
              <w:rPr>
                <w:rFonts w:hint="default" w:ascii="Times New Roman" w:hAnsi="Times New Roman" w:cs="Times New Roman"/>
                <w:b/>
                <w:bCs/>
                <w:highlight w:val="none"/>
                <w:lang w:val="en-US" w:eastAsia="zh-CN"/>
              </w:rPr>
              <w:t>符合</w:t>
            </w:r>
            <w:r>
              <w:rPr>
                <w:rFonts w:hint="default" w:ascii="Times New Roman" w:hAnsi="Times New Roman" w:cs="Times New Roman"/>
                <w:b/>
                <w:bCs/>
                <w:highlight w:val="none"/>
              </w:rPr>
              <w:t>性分析</w:t>
            </w:r>
          </w:p>
          <w:p>
            <w:pPr>
              <w:pStyle w:val="44"/>
              <w:bidi w:val="0"/>
              <w:rPr>
                <w:rFonts w:hint="default" w:ascii="Times New Roman" w:hAnsi="Times New Roman" w:cs="Times New Roman"/>
                <w:highlight w:val="none"/>
              </w:rPr>
            </w:pPr>
            <w:r>
              <w:rPr>
                <w:rFonts w:hint="default" w:ascii="Times New Roman" w:hAnsi="Times New Roman" w:cs="Times New Roman"/>
                <w:highlight w:val="none"/>
              </w:rPr>
              <w:t>（1）与《产业结构调整指导目录（20</w:t>
            </w:r>
            <w:r>
              <w:rPr>
                <w:rFonts w:hint="default" w:ascii="Times New Roman" w:hAnsi="Times New Roman" w:cs="Times New Roman"/>
                <w:highlight w:val="none"/>
                <w:lang w:val="en-US" w:eastAsia="zh-CN"/>
              </w:rPr>
              <w:t>24</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本</w:t>
            </w:r>
            <w:r>
              <w:rPr>
                <w:rFonts w:hint="default" w:ascii="Times New Roman" w:hAnsi="Times New Roman" w:cs="Times New Roman"/>
                <w:highlight w:val="none"/>
              </w:rPr>
              <w:t>）》符合性分析</w:t>
            </w:r>
          </w:p>
          <w:p>
            <w:pPr>
              <w:pStyle w:val="44"/>
              <w:bidi w:val="0"/>
              <w:rPr>
                <w:rFonts w:hint="default" w:ascii="Times New Roman" w:hAnsi="Times New Roman" w:cs="Times New Roman"/>
                <w:highlight w:val="none"/>
              </w:rPr>
            </w:pPr>
            <w:r>
              <w:rPr>
                <w:rFonts w:hint="default" w:ascii="Times New Roman" w:hAnsi="Times New Roman" w:cs="Times New Roman"/>
                <w:highlight w:val="none"/>
              </w:rPr>
              <w:t>本项目属于</w:t>
            </w:r>
            <w:r>
              <w:rPr>
                <w:rFonts w:hint="default" w:ascii="Times New Roman" w:hAnsi="Times New Roman" w:cs="Times New Roman"/>
                <w:highlight w:val="none"/>
                <w:lang w:val="en-US" w:eastAsia="zh-CN"/>
              </w:rPr>
              <w:t>水泥制品</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砼结构构件制造</w:t>
            </w:r>
            <w:r>
              <w:rPr>
                <w:rFonts w:hint="default" w:ascii="Times New Roman" w:hAnsi="Times New Roman" w:cs="Times New Roman"/>
                <w:highlight w:val="none"/>
              </w:rPr>
              <w:t>项目，</w:t>
            </w:r>
            <w:r>
              <w:rPr>
                <w:rFonts w:hint="default" w:ascii="Times New Roman" w:hAnsi="Times New Roman" w:cs="Times New Roman"/>
                <w:highlight w:val="none"/>
                <w:lang w:val="en-US" w:eastAsia="zh-CN"/>
              </w:rPr>
              <w:t>根据</w:t>
            </w:r>
            <w:r>
              <w:rPr>
                <w:rFonts w:hint="default" w:ascii="Times New Roman" w:hAnsi="Times New Roman" w:cs="Times New Roman"/>
                <w:highlight w:val="none"/>
              </w:rPr>
              <w:t>《产业结构调整指导目录（20</w:t>
            </w:r>
            <w:r>
              <w:rPr>
                <w:rFonts w:hint="default" w:ascii="Times New Roman" w:hAnsi="Times New Roman" w:cs="Times New Roman"/>
                <w:highlight w:val="none"/>
                <w:lang w:val="en-US" w:eastAsia="zh-CN"/>
              </w:rPr>
              <w:t>24</w:t>
            </w:r>
            <w:r>
              <w:rPr>
                <w:rFonts w:hint="default" w:ascii="Times New Roman" w:hAnsi="Times New Roman" w:cs="Times New Roman"/>
                <w:highlight w:val="none"/>
              </w:rPr>
              <w:t>年本）》</w:t>
            </w:r>
            <w:r>
              <w:rPr>
                <w:rFonts w:hint="default" w:ascii="Times New Roman" w:hAnsi="Times New Roman" w:cs="Times New Roman"/>
                <w:highlight w:val="none"/>
                <w:lang w:val="en-US" w:eastAsia="zh-CN"/>
              </w:rPr>
              <w:t>，本项目不属于鼓励类、限制类和淘汰类，属于允许类。</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2024年</w:t>
            </w:r>
            <w:r>
              <w:rPr>
                <w:rFonts w:hint="eastAsia" w:ascii="Times New Roman" w:hAnsi="Times New Roman" w:cs="Times New Roman"/>
                <w:highlight w:val="none"/>
                <w:lang w:val="en-US" w:eastAsia="zh-CN"/>
              </w:rPr>
              <w:t>12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博湖县</w:t>
            </w:r>
            <w:r>
              <w:rPr>
                <w:rFonts w:hint="default" w:ascii="Times New Roman" w:hAnsi="Times New Roman" w:cs="Times New Roman"/>
                <w:highlight w:val="none"/>
                <w:lang w:val="en-US" w:eastAsia="zh-CN"/>
              </w:rPr>
              <w:t>发展和改革委员会出具了项目的备案证（备案证号：2412101777652800000175）。</w:t>
            </w:r>
          </w:p>
          <w:p>
            <w:pPr>
              <w:pStyle w:val="4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综上，本</w:t>
            </w:r>
            <w:r>
              <w:rPr>
                <w:rFonts w:hint="default" w:ascii="Times New Roman" w:hAnsi="Times New Roman" w:cs="Times New Roman"/>
                <w:highlight w:val="none"/>
              </w:rPr>
              <w:t>项目建设</w:t>
            </w:r>
            <w:r>
              <w:rPr>
                <w:rFonts w:hint="default" w:ascii="Times New Roman" w:hAnsi="Times New Roman" w:cs="Times New Roman"/>
                <w:highlight w:val="none"/>
                <w:lang w:val="en-US" w:eastAsia="zh-CN"/>
              </w:rPr>
              <w:t>符合当前国家和地方的产业政策</w:t>
            </w:r>
            <w:r>
              <w:rPr>
                <w:rFonts w:hint="default" w:ascii="Times New Roman" w:hAnsi="Times New Roman" w:cs="Times New Roman"/>
                <w:highlight w:val="none"/>
              </w:rPr>
              <w:t>要求</w:t>
            </w:r>
            <w:r>
              <w:rPr>
                <w:rFonts w:hint="default" w:ascii="Times New Roman" w:hAnsi="Times New Roman" w:cs="Times New Roman"/>
                <w:highlight w:val="none"/>
                <w:lang w:val="en-US" w:eastAsia="zh-CN"/>
              </w:rPr>
              <w:t>。</w:t>
            </w:r>
          </w:p>
          <w:p>
            <w:pPr>
              <w:autoSpaceDE w:val="0"/>
              <w:autoSpaceDN w:val="0"/>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w:t>
            </w:r>
            <w:r>
              <w:rPr>
                <w:rFonts w:hint="eastAsia" w:ascii="Times New Roman" w:hAnsi="Times New Roman" w:cs="Times New Roman"/>
                <w:sz w:val="24"/>
                <w:highlight w:val="none"/>
                <w:lang w:val="en-US" w:eastAsia="zh-CN"/>
              </w:rPr>
              <w:t>2</w:t>
            </w:r>
            <w:r>
              <w:rPr>
                <w:rFonts w:hint="default" w:ascii="Times New Roman" w:hAnsi="Times New Roman" w:cs="Times New Roman"/>
                <w:sz w:val="24"/>
                <w:highlight w:val="none"/>
              </w:rPr>
              <w:t>）与《市场准入负面清单（20</w:t>
            </w:r>
            <w:r>
              <w:rPr>
                <w:rFonts w:hint="default" w:ascii="Times New Roman" w:hAnsi="Times New Roman" w:cs="Times New Roman"/>
                <w:sz w:val="24"/>
                <w:highlight w:val="none"/>
                <w:lang w:val="en-US" w:eastAsia="zh-CN"/>
              </w:rPr>
              <w:t>2</w:t>
            </w:r>
            <w:r>
              <w:rPr>
                <w:rFonts w:hint="eastAsia" w:cs="Times New Roman"/>
                <w:sz w:val="24"/>
                <w:highlight w:val="none"/>
                <w:lang w:val="en-US" w:eastAsia="zh-CN"/>
              </w:rPr>
              <w:t>5</w:t>
            </w:r>
            <w:r>
              <w:rPr>
                <w:rFonts w:hint="default" w:ascii="Times New Roman" w:hAnsi="Times New Roman" w:cs="Times New Roman"/>
                <w:sz w:val="24"/>
                <w:highlight w:val="none"/>
              </w:rPr>
              <w:t>年版）》符合性分析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en-US" w:eastAsia="zh-CN"/>
              </w:rPr>
              <w:t>根据《市场准入负面清单（202</w:t>
            </w:r>
            <w:r>
              <w:rPr>
                <w:rFonts w:hint="eastAsia" w:cs="Times New Roman"/>
                <w:sz w:val="24"/>
                <w:highlight w:val="none"/>
                <w:lang w:val="en-US" w:eastAsia="zh-CN"/>
              </w:rPr>
              <w:t>5</w:t>
            </w:r>
            <w:r>
              <w:rPr>
                <w:rFonts w:hint="default" w:ascii="Times New Roman" w:hAnsi="Times New Roman" w:eastAsia="宋体" w:cs="Times New Roman"/>
                <w:sz w:val="24"/>
                <w:highlight w:val="none"/>
                <w:lang w:val="en-US" w:eastAsia="zh-CN"/>
              </w:rPr>
              <w:t>年版）》</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发改体改规〔202</w:t>
            </w:r>
            <w:r>
              <w:rPr>
                <w:rFonts w:hint="eastAsia" w:cs="Times New Roman"/>
                <w:sz w:val="24"/>
                <w:highlight w:val="none"/>
                <w:lang w:val="en-US" w:eastAsia="zh-CN"/>
              </w:rPr>
              <w:t>5</w:t>
            </w:r>
            <w:r>
              <w:rPr>
                <w:rFonts w:hint="default" w:ascii="Times New Roman" w:hAnsi="Times New Roman" w:eastAsia="宋体" w:cs="Times New Roman"/>
                <w:sz w:val="24"/>
                <w:highlight w:val="none"/>
                <w:lang w:val="en-US" w:eastAsia="zh-CN"/>
              </w:rPr>
              <w:t>〕</w:t>
            </w:r>
            <w:r>
              <w:rPr>
                <w:rFonts w:hint="eastAsia" w:cs="Times New Roman"/>
                <w:sz w:val="24"/>
                <w:highlight w:val="none"/>
                <w:lang w:val="en-US" w:eastAsia="zh-CN"/>
              </w:rPr>
              <w:t>466</w:t>
            </w:r>
            <w:r>
              <w:rPr>
                <w:rFonts w:hint="default" w:ascii="Times New Roman" w:hAnsi="Times New Roman" w:eastAsia="宋体" w:cs="Times New Roman"/>
                <w:sz w:val="24"/>
                <w:highlight w:val="none"/>
                <w:lang w:val="en-US" w:eastAsia="zh-CN"/>
              </w:rPr>
              <w:t>号</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rPr>
              <w:t>本项目不涉及</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禁止准入类</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清单内容</w:t>
            </w:r>
            <w:r>
              <w:rPr>
                <w:rFonts w:hint="default" w:ascii="Times New Roman" w:hAnsi="Times New Roman" w:eastAsia="宋体" w:cs="Times New Roman"/>
                <w:sz w:val="24"/>
                <w:highlight w:val="none"/>
              </w:rPr>
              <w:t>，不涉及</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市场</w:t>
            </w:r>
            <w:r>
              <w:rPr>
                <w:rFonts w:hint="default" w:ascii="Times New Roman" w:hAnsi="Times New Roman" w:eastAsia="宋体" w:cs="Times New Roman"/>
                <w:sz w:val="24"/>
                <w:highlight w:val="none"/>
              </w:rPr>
              <w:t>准入</w:t>
            </w:r>
            <w:r>
              <w:rPr>
                <w:rFonts w:hint="default" w:ascii="Times New Roman" w:hAnsi="Times New Roman" w:eastAsia="宋体" w:cs="Times New Roman"/>
                <w:sz w:val="24"/>
                <w:highlight w:val="none"/>
                <w:lang w:val="en-US" w:eastAsia="zh-CN"/>
              </w:rPr>
              <w:t>相关的禁止性规定</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，符合该文件要求。</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kern w:val="2"/>
                <w:sz w:val="24"/>
                <w:szCs w:val="24"/>
                <w:highlight w:val="none"/>
                <w:lang w:val="en-US" w:eastAsia="zh-CN" w:bidi="ar-SA"/>
              </w:rPr>
              <w:t>同时，本项目所用设备也不在工业和信息化部工业〔2010〕122号《部分行业淘汰落后生产工艺装备和产品指导目录（2010年本）》及《“高污染、高环境风险”产品名录》。</w:t>
            </w:r>
            <w:r>
              <w:rPr>
                <w:rFonts w:hint="default" w:ascii="Times New Roman" w:hAnsi="Times New Roman" w:cs="Times New Roman"/>
                <w:sz w:val="24"/>
                <w:highlight w:val="none"/>
              </w:rPr>
              <w:t>本项目建设符合国家相关产业政策的要求。</w:t>
            </w:r>
          </w:p>
          <w:p>
            <w:pPr>
              <w:pStyle w:val="44"/>
              <w:bidi w:val="0"/>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2.与环境管理相关政策符合性</w:t>
            </w:r>
            <w:r>
              <w:rPr>
                <w:rFonts w:hint="default" w:ascii="Times New Roman" w:hAnsi="Times New Roman" w:eastAsia="宋体" w:cs="Times New Roman"/>
                <w:b/>
                <w:bCs/>
                <w:highlight w:val="none"/>
                <w:lang w:val="en-US" w:eastAsia="zh-CN"/>
              </w:rPr>
              <w:t>分析</w:t>
            </w:r>
          </w:p>
          <w:p>
            <w:pPr>
              <w:pStyle w:val="28"/>
              <w:bidi w:val="0"/>
              <w:jc w:val="center"/>
              <w:rPr>
                <w:rFonts w:hint="default" w:ascii="黑体" w:hAnsi="宋体" w:eastAsia="黑体" w:cs="黑体"/>
                <w:color w:val="000000"/>
                <w:kern w:val="0"/>
                <w:sz w:val="24"/>
                <w:szCs w:val="24"/>
                <w:highlight w:val="none"/>
                <w:lang w:val="en-US" w:eastAsia="zh-CN" w:bidi="ar"/>
              </w:rPr>
            </w:pPr>
            <w:r>
              <w:rPr>
                <w:rFonts w:hint="default" w:ascii="黑体" w:hAnsi="宋体" w:eastAsia="黑体" w:cs="黑体"/>
                <w:color w:val="000000"/>
                <w:kern w:val="0"/>
                <w:sz w:val="24"/>
                <w:szCs w:val="24"/>
                <w:highlight w:val="none"/>
                <w:lang w:val="en-US" w:eastAsia="zh-CN" w:bidi="ar"/>
              </w:rPr>
              <w:t>表1-</w:t>
            </w:r>
            <w:r>
              <w:rPr>
                <w:rFonts w:hint="eastAsia" w:ascii="黑体" w:hAnsi="宋体" w:eastAsia="黑体" w:cs="黑体"/>
                <w:color w:val="000000"/>
                <w:kern w:val="0"/>
                <w:sz w:val="24"/>
                <w:szCs w:val="24"/>
                <w:highlight w:val="none"/>
                <w:lang w:val="en-US" w:eastAsia="zh-CN" w:bidi="ar"/>
              </w:rPr>
              <w:t>1</w:t>
            </w:r>
            <w:r>
              <w:rPr>
                <w:rFonts w:hint="default" w:ascii="黑体" w:hAnsi="宋体" w:eastAsia="黑体" w:cs="黑体"/>
                <w:color w:val="000000"/>
                <w:kern w:val="0"/>
                <w:sz w:val="24"/>
                <w:szCs w:val="24"/>
                <w:highlight w:val="none"/>
                <w:lang w:val="en-US" w:eastAsia="zh-CN" w:bidi="ar"/>
              </w:rPr>
              <w:t xml:space="preserve">  环境管理政策相符性分析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3217"/>
              <w:gridCol w:w="1880"/>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文件</w:t>
                  </w:r>
                </w:p>
              </w:tc>
              <w:tc>
                <w:tcPr>
                  <w:tcW w:w="202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环境管理政策要求</w:t>
                  </w:r>
                </w:p>
              </w:tc>
              <w:tc>
                <w:tcPr>
                  <w:tcW w:w="1182"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本项目情况</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《工业料堆场扬尘整治规范》（DB65/T4061-2017）</w:t>
                  </w:r>
                </w:p>
              </w:tc>
              <w:tc>
                <w:tcPr>
                  <w:tcW w:w="202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 xml:space="preserve">5.6 </w:t>
                  </w:r>
                  <w:r>
                    <w:rPr>
                      <w:rFonts w:hint="default" w:ascii="Times New Roman" w:hAnsi="Times New Roman" w:cs="Times New Roman"/>
                      <w:sz w:val="21"/>
                      <w:szCs w:val="21"/>
                      <w:highlight w:val="none"/>
                    </w:rPr>
                    <w:t>工业料堆场的污染防治应从源头控制，减少堆存量，通过优化生产原料配置、厂区布置，提高管理水平、改善污染防治技术工艺、加强综合利用等措施减少环境污染。</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5.8 对工业料堆场内装卸、运输等作业过程中，易产生扬尘污染的物料必须采取封闭、遮盖、洒水降尘措施，密闭输送物料必须在装料、卸料处配备吸尘、喷淋防尘措施。</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5.12 在工业料堆场出口处设置车辆清洗的专用场地，配备运输车辆冲洗保洁设施，冲洗沉积物必须及时进行清理和清运，冲洗污水必须经回收系统收集、处理，处理符合GB8978的规定后排放。</w:t>
                  </w:r>
                </w:p>
              </w:tc>
              <w:tc>
                <w:tcPr>
                  <w:tcW w:w="1182"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①</w:t>
                  </w:r>
                  <w:r>
                    <w:rPr>
                      <w:rFonts w:hint="default" w:ascii="Times New Roman" w:hAnsi="Times New Roman" w:cs="Times New Roman"/>
                      <w:sz w:val="21"/>
                      <w:szCs w:val="21"/>
                      <w:highlight w:val="none"/>
                      <w:lang w:val="en-US" w:eastAsia="zh-CN"/>
                    </w:rPr>
                    <w:t>本项目位于“</w:t>
                  </w:r>
                  <w:r>
                    <w:rPr>
                      <w:rFonts w:hint="eastAsia" w:cs="Times New Roman"/>
                      <w:sz w:val="21"/>
                      <w:szCs w:val="21"/>
                      <w:highlight w:val="none"/>
                      <w:lang w:val="en-US" w:eastAsia="zh-CN"/>
                    </w:rPr>
                    <w:t>一般</w:t>
                  </w:r>
                  <w:r>
                    <w:rPr>
                      <w:rFonts w:hint="default" w:ascii="Times New Roman" w:hAnsi="Times New Roman" w:cs="Times New Roman"/>
                      <w:sz w:val="21"/>
                      <w:szCs w:val="21"/>
                      <w:highlight w:val="none"/>
                      <w:lang w:val="en-US" w:eastAsia="zh-CN"/>
                    </w:rPr>
                    <w:t>控制区”，沙子原料堆场属于</w:t>
                  </w:r>
                  <w:r>
                    <w:rPr>
                      <w:rFonts w:hint="eastAsia" w:cs="Times New Roman"/>
                      <w:sz w:val="21"/>
                      <w:szCs w:val="21"/>
                      <w:highlight w:val="none"/>
                      <w:lang w:val="en-US" w:eastAsia="zh-CN"/>
                    </w:rPr>
                    <w:t>Ⅱ类</w:t>
                  </w:r>
                  <w:r>
                    <w:rPr>
                      <w:rFonts w:hint="default" w:ascii="Times New Roman" w:hAnsi="Times New Roman" w:cs="Times New Roman"/>
                      <w:sz w:val="21"/>
                      <w:szCs w:val="21"/>
                      <w:highlight w:val="none"/>
                      <w:lang w:val="en-US" w:eastAsia="zh-CN"/>
                    </w:rPr>
                    <w:t>料堆场，</w:t>
                  </w:r>
                  <w:r>
                    <w:rPr>
                      <w:rFonts w:hint="eastAsia" w:ascii="Times New Roman" w:hAnsi="Times New Roman" w:cs="Times New Roman"/>
                      <w:sz w:val="21"/>
                      <w:szCs w:val="21"/>
                      <w:highlight w:val="none"/>
                      <w:lang w:val="en-US" w:eastAsia="zh-CN"/>
                    </w:rPr>
                    <w:t>暂存于</w:t>
                  </w:r>
                  <w:r>
                    <w:rPr>
                      <w:rFonts w:hint="default" w:ascii="Times New Roman" w:hAnsi="Times New Roman" w:cs="Times New Roman"/>
                      <w:sz w:val="21"/>
                      <w:szCs w:val="21"/>
                      <w:highlight w:val="none"/>
                      <w:lang w:val="en-US" w:eastAsia="zh-CN"/>
                    </w:rPr>
                    <w:t>全封闭库</w:t>
                  </w:r>
                  <w:r>
                    <w:rPr>
                      <w:rFonts w:hint="eastAsia" w:ascii="Times New Roman" w:hAnsi="Times New Roman" w:cs="Times New Roman"/>
                      <w:sz w:val="21"/>
                      <w:szCs w:val="21"/>
                      <w:highlight w:val="none"/>
                      <w:lang w:val="en-US" w:eastAsia="zh-CN"/>
                    </w:rPr>
                    <w:t>房内；</w:t>
                  </w:r>
                  <w:r>
                    <w:rPr>
                      <w:spacing w:val="2"/>
                      <w:sz w:val="21"/>
                      <w:szCs w:val="21"/>
                    </w:rPr>
                    <w:t>石子</w:t>
                  </w:r>
                  <w:r>
                    <w:rPr>
                      <w:rFonts w:hint="default" w:ascii="Times New Roman" w:hAnsi="Times New Roman" w:cs="Times New Roman"/>
                      <w:sz w:val="21"/>
                      <w:szCs w:val="21"/>
                      <w:highlight w:val="none"/>
                      <w:lang w:val="en-US" w:eastAsia="zh-CN"/>
                    </w:rPr>
                    <w:t>原料堆场属于类料堆场，</w:t>
                  </w:r>
                  <w:r>
                    <w:rPr>
                      <w:rFonts w:hint="eastAsia" w:ascii="Times New Roman" w:hAnsi="Times New Roman" w:cs="Times New Roman"/>
                      <w:sz w:val="21"/>
                      <w:szCs w:val="21"/>
                      <w:highlight w:val="none"/>
                      <w:lang w:val="en-US" w:eastAsia="zh-CN"/>
                    </w:rPr>
                    <w:t>暂存于露天堆场、苫盖密目防尘布并雾炮降尘</w:t>
                  </w:r>
                  <w:r>
                    <w:rPr>
                      <w:rFonts w:hint="default" w:ascii="Times New Roman" w:hAnsi="Times New Roman" w:cs="Times New Roman"/>
                      <w:sz w:val="21"/>
                      <w:szCs w:val="21"/>
                      <w:highlight w:val="none"/>
                      <w:lang w:val="en-US" w:eastAsia="zh-CN"/>
                    </w:rPr>
                    <w:t>。水泥采用筒仓存放，仓顶呼吸孔自带脉冲式除尘器。本项目堆场扬尘整治措施满足规范要求。</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②</w:t>
                  </w:r>
                  <w:r>
                    <w:rPr>
                      <w:rFonts w:hint="default" w:ascii="Times New Roman" w:hAnsi="Times New Roman" w:cs="Times New Roman"/>
                      <w:sz w:val="21"/>
                      <w:szCs w:val="21"/>
                      <w:highlight w:val="none"/>
                      <w:lang w:val="en-US" w:eastAsia="zh-CN"/>
                    </w:rPr>
                    <w:t>本环评设计在水泥、沙子装卸过程在密闭原料库房内雾炮降尘，石子堆场装卸过程控制装卸高度设置落差降尘罩。</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③</w:t>
                  </w:r>
                  <w:r>
                    <w:rPr>
                      <w:rFonts w:hint="default" w:ascii="Times New Roman" w:hAnsi="Times New Roman" w:cs="Times New Roman"/>
                      <w:sz w:val="21"/>
                      <w:szCs w:val="21"/>
                      <w:highlight w:val="none"/>
                      <w:lang w:val="en-US" w:eastAsia="zh-CN"/>
                    </w:rPr>
                    <w:t>养护废水</w:t>
                  </w:r>
                  <w:r>
                    <w:rPr>
                      <w:rFonts w:hint="eastAsia" w:cs="Times New Roman"/>
                      <w:sz w:val="21"/>
                      <w:szCs w:val="21"/>
                      <w:highlight w:val="none"/>
                      <w:lang w:val="en-US" w:eastAsia="zh-CN"/>
                    </w:rPr>
                    <w:t>、运输车辆清洗废水</w:t>
                  </w:r>
                  <w:r>
                    <w:rPr>
                      <w:rFonts w:hint="default" w:ascii="Times New Roman" w:hAnsi="Times New Roman" w:cs="Times New Roman"/>
                      <w:sz w:val="21"/>
                      <w:szCs w:val="21"/>
                      <w:highlight w:val="none"/>
                      <w:lang w:val="en-US" w:eastAsia="zh-CN"/>
                    </w:rPr>
                    <w:t>设置防渗沉淀池满足GB8978的一般规定处理回用。</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《挥发性有机物无组织排放控制标准》（GB37822-2019</w:t>
                  </w:r>
                  <w:r>
                    <w:rPr>
                      <w:rFonts w:hint="eastAsia" w:cs="Times New Roman"/>
                      <w:sz w:val="21"/>
                      <w:szCs w:val="21"/>
                      <w:highlight w:val="none"/>
                      <w:lang w:val="en-US" w:eastAsia="zh-CN"/>
                    </w:rPr>
                    <w:t>）</w:t>
                  </w:r>
                </w:p>
              </w:tc>
              <w:tc>
                <w:tcPr>
                  <w:tcW w:w="202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VOCs 物料应储存于密闭的容器、包装袋、储罐、储库、料仓中。</w:t>
                  </w:r>
                </w:p>
              </w:tc>
              <w:tc>
                <w:tcPr>
                  <w:tcW w:w="1182"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本项目不使用</w:t>
                  </w:r>
                  <w:r>
                    <w:rPr>
                      <w:rFonts w:hint="eastAsia" w:cs="Times New Roman"/>
                      <w:sz w:val="21"/>
                      <w:szCs w:val="21"/>
                      <w:highlight w:val="none"/>
                      <w:lang w:val="en-US" w:eastAsia="zh-CN"/>
                    </w:rPr>
                    <w:t>含有</w:t>
                  </w:r>
                  <w:r>
                    <w:rPr>
                      <w:rFonts w:hint="default" w:ascii="Times New Roman" w:hAnsi="Times New Roman" w:cs="Times New Roman"/>
                      <w:sz w:val="21"/>
                      <w:szCs w:val="21"/>
                      <w:highlight w:val="none"/>
                      <w:lang w:val="en-US" w:eastAsia="zh-CN"/>
                    </w:rPr>
                    <w:t>VOCs</w:t>
                  </w:r>
                  <w:r>
                    <w:rPr>
                      <w:rFonts w:hint="eastAsia" w:cs="Times New Roman"/>
                      <w:sz w:val="21"/>
                      <w:szCs w:val="21"/>
                      <w:highlight w:val="none"/>
                      <w:lang w:val="en-US" w:eastAsia="zh-CN"/>
                    </w:rPr>
                    <w:t>的</w:t>
                  </w:r>
                  <w:r>
                    <w:rPr>
                      <w:rFonts w:hint="default" w:ascii="Times New Roman" w:hAnsi="Times New Roman" w:cs="Times New Roman"/>
                      <w:sz w:val="21"/>
                      <w:szCs w:val="21"/>
                      <w:highlight w:val="none"/>
                      <w:lang w:val="en-US" w:eastAsia="zh-CN"/>
                    </w:rPr>
                    <w:t>物料，生产用脱模剂</w:t>
                  </w:r>
                  <w:r>
                    <w:rPr>
                      <w:rFonts w:hint="eastAsia" w:cs="Times New Roman"/>
                      <w:sz w:val="21"/>
                      <w:szCs w:val="21"/>
                      <w:highlight w:val="none"/>
                      <w:lang w:val="en-US" w:eastAsia="zh-CN"/>
                    </w:rPr>
                    <w:t>采用水性脱模剂，</w:t>
                  </w:r>
                  <w:r>
                    <w:rPr>
                      <w:rFonts w:hint="default" w:ascii="Times New Roman" w:hAnsi="Times New Roman" w:cs="Times New Roman"/>
                      <w:sz w:val="21"/>
                      <w:szCs w:val="21"/>
                      <w:highlight w:val="none"/>
                      <w:lang w:val="en-US" w:eastAsia="zh-CN"/>
                    </w:rPr>
                    <w:t>维护保养用</w:t>
                  </w:r>
                  <w:r>
                    <w:rPr>
                      <w:rFonts w:hint="eastAsia" w:cs="Times New Roman"/>
                      <w:sz w:val="21"/>
                      <w:szCs w:val="21"/>
                      <w:highlight w:val="none"/>
                      <w:lang w:val="en-US" w:eastAsia="zh-CN"/>
                    </w:rPr>
                    <w:t>液压</w:t>
                  </w:r>
                  <w:r>
                    <w:rPr>
                      <w:rFonts w:hint="default" w:ascii="Times New Roman" w:hAnsi="Times New Roman" w:cs="Times New Roman"/>
                      <w:sz w:val="21"/>
                      <w:szCs w:val="21"/>
                      <w:highlight w:val="none"/>
                      <w:lang w:val="en-US" w:eastAsia="zh-CN"/>
                    </w:rPr>
                    <w:t>油等储存密闭油桶内，维护保养产生的废</w:t>
                  </w:r>
                  <w:r>
                    <w:rPr>
                      <w:rFonts w:hint="eastAsia" w:cs="Times New Roman"/>
                      <w:sz w:val="21"/>
                      <w:szCs w:val="21"/>
                      <w:highlight w:val="none"/>
                      <w:lang w:val="en-US" w:eastAsia="zh-CN"/>
                    </w:rPr>
                    <w:t>液压</w:t>
                  </w:r>
                  <w:r>
                    <w:rPr>
                      <w:rFonts w:hint="default" w:ascii="Times New Roman" w:hAnsi="Times New Roman" w:cs="Times New Roman"/>
                      <w:sz w:val="21"/>
                      <w:szCs w:val="21"/>
                      <w:highlight w:val="none"/>
                      <w:lang w:val="en-US" w:eastAsia="zh-CN"/>
                    </w:rPr>
                    <w:t>油铁桶密闭收集暂存至危废</w:t>
                  </w:r>
                  <w:r>
                    <w:rPr>
                      <w:rFonts w:hint="eastAsia" w:cs="Times New Roman"/>
                      <w:sz w:val="21"/>
                      <w:szCs w:val="21"/>
                      <w:highlight w:val="none"/>
                      <w:lang w:val="en-US" w:eastAsia="zh-CN"/>
                    </w:rPr>
                    <w:t>贮存点委托规范处置</w:t>
                  </w:r>
                  <w:r>
                    <w:rPr>
                      <w:rFonts w:hint="default" w:ascii="Times New Roman" w:hAnsi="Times New Roman" w:cs="Times New Roman"/>
                      <w:sz w:val="21"/>
                      <w:szCs w:val="21"/>
                      <w:highlight w:val="none"/>
                      <w:lang w:val="en-US" w:eastAsia="zh-CN"/>
                    </w:rPr>
                    <w:t>。</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国务院关于深入打好污染防治攻坚战的意见</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（2021年11月2日）</w:t>
                  </w:r>
                </w:p>
              </w:tc>
              <w:tc>
                <w:tcPr>
                  <w:tcW w:w="202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182"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w:t>
                  </w:r>
                  <w:r>
                    <w:rPr>
                      <w:rFonts w:hint="eastAsia" w:cs="Times New Roman"/>
                      <w:sz w:val="21"/>
                      <w:szCs w:val="21"/>
                      <w:highlight w:val="none"/>
                      <w:lang w:val="en-US" w:eastAsia="zh-CN"/>
                    </w:rPr>
                    <w:t>建设</w:t>
                  </w:r>
                  <w:r>
                    <w:rPr>
                      <w:rFonts w:hint="default" w:ascii="Times New Roman" w:hAnsi="Times New Roman" w:cs="Times New Roman"/>
                      <w:sz w:val="21"/>
                      <w:szCs w:val="21"/>
                      <w:highlight w:val="none"/>
                      <w:lang w:val="en-US" w:eastAsia="zh-CN"/>
                    </w:rPr>
                    <w:t>行业类别属于砼结构构件生产制造，不属于高能耗、高排放项目。</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《空气质量持续改善行动计划》（国发〔2023〕24号）</w:t>
                  </w:r>
                </w:p>
              </w:tc>
              <w:tc>
                <w:tcPr>
                  <w:tcW w:w="2023" w:type="pct"/>
                  <w:noWrap w:val="0"/>
                  <w:vAlign w:val="top"/>
                </w:tcPr>
                <w:p>
                  <w:pPr>
                    <w:keepNext w:val="0"/>
                    <w:keepLines w:val="0"/>
                    <w:pageBreakBefore w:val="0"/>
                    <w:widowControl w:val="0"/>
                    <w:kinsoku/>
                    <w:wordWrap/>
                    <w:overflowPunct/>
                    <w:topLinePunct w:val="0"/>
                    <w:autoSpaceDE/>
                    <w:autoSpaceDN/>
                    <w:bidi w:val="0"/>
                    <w:spacing w:line="320" w:lineRule="exact"/>
                    <w:ind w:left="0"/>
                    <w:textAlignment w:val="auto"/>
                    <w:rPr>
                      <w:rFonts w:ascii="宋体" w:hAnsi="宋体" w:eastAsia="宋体" w:cs="宋体"/>
                      <w:sz w:val="21"/>
                      <w:szCs w:val="21"/>
                    </w:rPr>
                  </w:pPr>
                  <w:r>
                    <w:rPr>
                      <w:rFonts w:ascii="宋体" w:hAnsi="宋体" w:eastAsia="宋体" w:cs="宋体"/>
                      <w:spacing w:val="6"/>
                      <w:sz w:val="21"/>
                      <w:szCs w:val="21"/>
                    </w:rPr>
                    <w:t>（十二）实施工业炉窑清洁能源替代。有序推进以电代</w:t>
                  </w:r>
                  <w:r>
                    <w:rPr>
                      <w:rFonts w:ascii="宋体" w:hAnsi="宋体" w:eastAsia="宋体" w:cs="宋体"/>
                      <w:spacing w:val="9"/>
                      <w:sz w:val="21"/>
                      <w:szCs w:val="21"/>
                    </w:rPr>
                    <w:t>煤，积极稳妥推进以气代</w:t>
                  </w:r>
                  <w:r>
                    <w:rPr>
                      <w:rFonts w:ascii="宋体" w:hAnsi="宋体" w:eastAsia="宋体" w:cs="宋体"/>
                      <w:spacing w:val="-2"/>
                      <w:sz w:val="21"/>
                      <w:szCs w:val="21"/>
                    </w:rPr>
                    <w:t>煤</w:t>
                  </w:r>
                  <w:r>
                    <w:rPr>
                      <w:rFonts w:ascii="宋体" w:hAnsi="宋体" w:eastAsia="宋体" w:cs="宋体"/>
                      <w:spacing w:val="-75"/>
                      <w:sz w:val="21"/>
                      <w:szCs w:val="21"/>
                    </w:rPr>
                    <w:t xml:space="preserve"> </w:t>
                  </w:r>
                  <w:r>
                    <w:rPr>
                      <w:rFonts w:ascii="宋体" w:hAnsi="宋体" w:eastAsia="宋体" w:cs="宋体"/>
                      <w:spacing w:val="-2"/>
                      <w:sz w:val="21"/>
                      <w:szCs w:val="21"/>
                    </w:rPr>
                    <w:t>……</w:t>
                  </w:r>
                </w:p>
                <w:p>
                  <w:pPr>
                    <w:keepNext w:val="0"/>
                    <w:keepLines w:val="0"/>
                    <w:pageBreakBefore w:val="0"/>
                    <w:widowControl w:val="0"/>
                    <w:kinsoku/>
                    <w:wordWrap/>
                    <w:overflowPunct/>
                    <w:topLinePunct w:val="0"/>
                    <w:autoSpaceDE/>
                    <w:autoSpaceDN/>
                    <w:bidi w:val="0"/>
                    <w:spacing w:line="320" w:lineRule="exact"/>
                    <w:ind w:left="0" w:leftChars="0"/>
                    <w:textAlignment w:val="auto"/>
                    <w:rPr>
                      <w:rFonts w:hint="default" w:ascii="Times New Roman" w:hAnsi="Times New Roman" w:cs="Times New Roman"/>
                      <w:kern w:val="2"/>
                      <w:sz w:val="21"/>
                      <w:szCs w:val="21"/>
                      <w:highlight w:val="none"/>
                      <w:lang w:val="en-US" w:eastAsia="zh-CN" w:bidi="ar-SA"/>
                    </w:rPr>
                  </w:pPr>
                  <w:r>
                    <w:rPr>
                      <w:rFonts w:ascii="宋体" w:hAnsi="宋体" w:eastAsia="宋体" w:cs="宋体"/>
                      <w:spacing w:val="6"/>
                      <w:sz w:val="21"/>
                      <w:szCs w:val="21"/>
                    </w:rPr>
                    <w:t>（十三）持续推进北方地区</w:t>
                  </w:r>
                  <w:r>
                    <w:rPr>
                      <w:rFonts w:ascii="宋体" w:hAnsi="宋体" w:eastAsia="宋体" w:cs="宋体"/>
                      <w:spacing w:val="7"/>
                      <w:sz w:val="21"/>
                      <w:szCs w:val="21"/>
                    </w:rPr>
                    <w:t>清洁取暖。因地制宜成片推</w:t>
                  </w:r>
                  <w:r>
                    <w:rPr>
                      <w:rFonts w:ascii="宋体" w:hAnsi="宋体" w:eastAsia="宋体" w:cs="宋体"/>
                      <w:spacing w:val="9"/>
                      <w:sz w:val="21"/>
                      <w:szCs w:val="21"/>
                    </w:rPr>
                    <w:t>进北方地区清洁取暖，确</w:t>
                  </w:r>
                  <w:r>
                    <w:rPr>
                      <w:rFonts w:ascii="宋体" w:hAnsi="宋体" w:eastAsia="宋体" w:cs="宋体"/>
                      <w:spacing w:val="-2"/>
                      <w:sz w:val="21"/>
                      <w:szCs w:val="21"/>
                    </w:rPr>
                    <w:t>保</w:t>
                  </w:r>
                  <w:r>
                    <w:rPr>
                      <w:rFonts w:ascii="宋体" w:hAnsi="宋体" w:eastAsia="宋体" w:cs="宋体"/>
                      <w:spacing w:val="-75"/>
                      <w:sz w:val="21"/>
                      <w:szCs w:val="21"/>
                    </w:rPr>
                    <w:t xml:space="preserve"> </w:t>
                  </w:r>
                  <w:r>
                    <w:rPr>
                      <w:rFonts w:ascii="宋体" w:hAnsi="宋体" w:eastAsia="宋体" w:cs="宋体"/>
                      <w:spacing w:val="-2"/>
                      <w:sz w:val="21"/>
                      <w:szCs w:val="21"/>
                    </w:rPr>
                    <w:t>……</w:t>
                  </w:r>
                </w:p>
              </w:tc>
              <w:tc>
                <w:tcPr>
                  <w:tcW w:w="1182" w:type="pct"/>
                  <w:noWrap w:val="0"/>
                  <w:vAlign w:val="top"/>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本项目不涉及工业炉窑，冬季不生产，值守人员生活取暖采用电能供暖。</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shd w:val="clear" w:color="auto" w:fill="auto"/>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《新疆维吾尔自治区大气污染防治条例》</w:t>
                  </w:r>
                </w:p>
              </w:tc>
              <w:tc>
                <w:tcPr>
                  <w:tcW w:w="2023" w:type="pct"/>
                  <w:noWrap w:val="0"/>
                  <w:vAlign w:val="top"/>
                </w:tcPr>
                <w:p>
                  <w:pPr>
                    <w:keepNext w:val="0"/>
                    <w:keepLines w:val="0"/>
                    <w:pageBreakBefore w:val="0"/>
                    <w:widowControl w:val="0"/>
                    <w:kinsoku/>
                    <w:wordWrap/>
                    <w:overflowPunct/>
                    <w:topLinePunct w:val="0"/>
                    <w:autoSpaceDE/>
                    <w:autoSpaceDN/>
                    <w:bidi w:val="0"/>
                    <w:spacing w:line="320" w:lineRule="exact"/>
                    <w:ind w:left="0" w:leftChars="0"/>
                    <w:textAlignment w:val="auto"/>
                    <w:rPr>
                      <w:rFonts w:hint="eastAsia" w:ascii="宋体" w:hAnsi="宋体" w:eastAsia="宋体" w:cs="宋体"/>
                      <w:spacing w:val="6"/>
                      <w:sz w:val="21"/>
                      <w:szCs w:val="21"/>
                    </w:rPr>
                  </w:pPr>
                  <w:r>
                    <w:rPr>
                      <w:rFonts w:hint="eastAsia" w:ascii="宋体" w:hAnsi="宋体" w:eastAsia="宋体" w:cs="宋体"/>
                      <w:spacing w:val="6"/>
                      <w:sz w:val="21"/>
                      <w:szCs w:val="21"/>
                    </w:rPr>
                    <w:t>禁止在自治区行政区域内引进能（水）耗不符合相关国家标准中准入值要求且污染物排放和环境风险防控不符合国家（地方）标准及有关产业准入条件的高污染（排放）、高能（水）耗、高环境风险的工业项目。</w:t>
                  </w:r>
                </w:p>
                <w:p>
                  <w:pPr>
                    <w:keepNext w:val="0"/>
                    <w:keepLines w:val="0"/>
                    <w:pageBreakBefore w:val="0"/>
                    <w:widowControl w:val="0"/>
                    <w:kinsoku/>
                    <w:wordWrap/>
                    <w:overflowPunct/>
                    <w:topLinePunct w:val="0"/>
                    <w:autoSpaceDE/>
                    <w:autoSpaceDN/>
                    <w:bidi w:val="0"/>
                    <w:spacing w:line="320" w:lineRule="exact"/>
                    <w:ind w:left="0" w:leftChars="0"/>
                    <w:textAlignment w:val="auto"/>
                    <w:rPr>
                      <w:rFonts w:hint="eastAsia" w:ascii="宋体" w:hAnsi="宋体" w:eastAsia="宋体" w:cs="宋体"/>
                      <w:spacing w:val="6"/>
                      <w:sz w:val="21"/>
                      <w:szCs w:val="21"/>
                    </w:rPr>
                  </w:pPr>
                  <w:r>
                    <w:rPr>
                      <w:rFonts w:hint="eastAsia" w:ascii="宋体" w:hAnsi="宋体" w:eastAsia="宋体" w:cs="宋体"/>
                      <w:spacing w:val="6"/>
                      <w:sz w:val="21"/>
                      <w:szCs w:val="21"/>
                    </w:rPr>
                    <w:t>禁止新建、改建、扩建列入淘汰类目录的高污染工业项目。禁止使用列入淘汰类目录的工艺、设备、产品。</w:t>
                  </w:r>
                </w:p>
              </w:tc>
              <w:tc>
                <w:tcPr>
                  <w:tcW w:w="1182" w:type="pct"/>
                  <w:noWrap w:val="0"/>
                  <w:vAlign w:val="top"/>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本项目属于</w:t>
                  </w:r>
                  <w:r>
                    <w:rPr>
                      <w:rFonts w:hint="eastAsia" w:cs="Times New Roman"/>
                      <w:sz w:val="21"/>
                      <w:szCs w:val="21"/>
                      <w:highlight w:val="none"/>
                      <w:lang w:val="en-US" w:eastAsia="zh-CN"/>
                    </w:rPr>
                    <w:t>产业政策允许</w:t>
                  </w:r>
                  <w:r>
                    <w:rPr>
                      <w:rFonts w:hint="eastAsia" w:ascii="Times New Roman" w:hAnsi="Times New Roman" w:eastAsia="宋体" w:cs="Times New Roman"/>
                      <w:sz w:val="21"/>
                      <w:szCs w:val="21"/>
                      <w:highlight w:val="none"/>
                      <w:lang w:val="en-US" w:eastAsia="zh-CN"/>
                    </w:rPr>
                    <w:t>类，</w:t>
                  </w:r>
                  <w:r>
                    <w:rPr>
                      <w:rFonts w:hint="default" w:ascii="Times New Roman" w:hAnsi="Times New Roman" w:cs="Times New Roman"/>
                      <w:sz w:val="21"/>
                      <w:szCs w:val="21"/>
                      <w:highlight w:val="none"/>
                      <w:lang w:val="en-US" w:eastAsia="zh-CN"/>
                    </w:rPr>
                    <w:t>不属于高能耗、高排放项目</w:t>
                  </w:r>
                  <w:r>
                    <w:rPr>
                      <w:rFonts w:hint="eastAsia" w:ascii="Times New Roman" w:hAnsi="Times New Roman" w:eastAsia="宋体" w:cs="Times New Roman"/>
                      <w:sz w:val="21"/>
                      <w:szCs w:val="21"/>
                      <w:highlight w:val="none"/>
                      <w:lang w:val="en-US" w:eastAsia="zh-CN"/>
                    </w:rPr>
                    <w:t>；不属于严重污染大气的工艺、设备、产品；不属于列入淘汰类目录的工艺、设备、产品</w:t>
                  </w:r>
                  <w:r>
                    <w:rPr>
                      <w:rFonts w:hint="eastAsia" w:cs="Times New Roman"/>
                      <w:sz w:val="21"/>
                      <w:szCs w:val="21"/>
                      <w:highlight w:val="none"/>
                      <w:lang w:val="en-US" w:eastAsia="zh-CN"/>
                    </w:rPr>
                    <w:t>。</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shd w:val="clear" w:color="auto" w:fill="auto"/>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巴音郭楞蒙古自治州大气污染防治办法</w:t>
                  </w:r>
                  <w:r>
                    <w:rPr>
                      <w:rFonts w:hint="default" w:ascii="Times New Roman" w:hAnsi="Times New Roman" w:cs="Times New Roman"/>
                      <w:sz w:val="21"/>
                      <w:szCs w:val="21"/>
                      <w:highlight w:val="none"/>
                      <w:lang w:val="en-US" w:eastAsia="zh-CN"/>
                    </w:rPr>
                    <w:t>》</w:t>
                  </w:r>
                </w:p>
              </w:tc>
              <w:tc>
                <w:tcPr>
                  <w:tcW w:w="2023" w:type="pct"/>
                  <w:noWrap w:val="0"/>
                  <w:vAlign w:val="top"/>
                </w:tcPr>
                <w:p>
                  <w:pPr>
                    <w:keepNext w:val="0"/>
                    <w:keepLines w:val="0"/>
                    <w:pageBreakBefore w:val="0"/>
                    <w:widowControl w:val="0"/>
                    <w:kinsoku/>
                    <w:wordWrap/>
                    <w:overflowPunct/>
                    <w:topLinePunct w:val="0"/>
                    <w:autoSpaceDE/>
                    <w:autoSpaceDN/>
                    <w:bidi w:val="0"/>
                    <w:spacing w:line="320" w:lineRule="exact"/>
                    <w:ind w:left="0" w:leftChars="0"/>
                    <w:textAlignment w:val="auto"/>
                    <w:rPr>
                      <w:rFonts w:ascii="宋体" w:hAnsi="宋体" w:eastAsia="宋体" w:cs="宋体"/>
                      <w:spacing w:val="6"/>
                      <w:sz w:val="21"/>
                      <w:szCs w:val="21"/>
                    </w:rPr>
                  </w:pPr>
                  <w:r>
                    <w:rPr>
                      <w:rFonts w:ascii="宋体" w:hAnsi="宋体" w:eastAsia="宋体" w:cs="宋体"/>
                      <w:spacing w:val="6"/>
                      <w:sz w:val="21"/>
                      <w:szCs w:val="21"/>
                    </w:rPr>
                    <w:t>禁止在自治州行政区域内引进能（水）耗不符合相关国家标准中准入值要求，且污染物排放和环境风险防控不符合国家（地方）标准及有关产业准入条件的高污染（排放）、高能（水）耗、高环境风险的工业项目。</w:t>
                  </w:r>
                </w:p>
                <w:p>
                  <w:pPr>
                    <w:keepNext w:val="0"/>
                    <w:keepLines w:val="0"/>
                    <w:pageBreakBefore w:val="0"/>
                    <w:widowControl w:val="0"/>
                    <w:kinsoku/>
                    <w:wordWrap/>
                    <w:overflowPunct/>
                    <w:topLinePunct w:val="0"/>
                    <w:autoSpaceDE/>
                    <w:autoSpaceDN/>
                    <w:bidi w:val="0"/>
                    <w:spacing w:line="320" w:lineRule="exact"/>
                    <w:ind w:left="0" w:leftChars="0"/>
                    <w:textAlignment w:val="auto"/>
                    <w:rPr>
                      <w:rFonts w:ascii="宋体" w:hAnsi="宋体" w:eastAsia="宋体" w:cs="宋体"/>
                      <w:spacing w:val="6"/>
                      <w:sz w:val="21"/>
                      <w:szCs w:val="21"/>
                    </w:rPr>
                  </w:pPr>
                  <w:r>
                    <w:rPr>
                      <w:rFonts w:ascii="宋体" w:hAnsi="宋体" w:eastAsia="宋体" w:cs="宋体"/>
                      <w:spacing w:val="6"/>
                      <w:sz w:val="21"/>
                      <w:szCs w:val="21"/>
                    </w:rPr>
                    <w:t>禁止新建、改建、扩建严重污染大气环境的项目。</w:t>
                  </w:r>
                </w:p>
                <w:p>
                  <w:pPr>
                    <w:keepNext w:val="0"/>
                    <w:keepLines w:val="0"/>
                    <w:pageBreakBefore w:val="0"/>
                    <w:widowControl w:val="0"/>
                    <w:kinsoku/>
                    <w:wordWrap/>
                    <w:overflowPunct/>
                    <w:topLinePunct w:val="0"/>
                    <w:autoSpaceDE/>
                    <w:autoSpaceDN/>
                    <w:bidi w:val="0"/>
                    <w:spacing w:line="320" w:lineRule="exact"/>
                    <w:ind w:left="0" w:leftChars="0"/>
                    <w:textAlignment w:val="auto"/>
                    <w:rPr>
                      <w:rFonts w:ascii="宋体" w:hAnsi="宋体" w:eastAsia="宋体" w:cs="宋体"/>
                      <w:spacing w:val="6"/>
                      <w:sz w:val="21"/>
                      <w:szCs w:val="21"/>
                    </w:rPr>
                  </w:pPr>
                  <w:r>
                    <w:rPr>
                      <w:rFonts w:hint="default" w:ascii="宋体" w:hAnsi="宋体" w:eastAsia="宋体" w:cs="宋体"/>
                      <w:spacing w:val="6"/>
                      <w:sz w:val="21"/>
                      <w:szCs w:val="21"/>
                    </w:rPr>
                    <w:t>堆放易产生扬尘污染物料的堆场，以及预拌混凝土和预拌砂浆等生产企业应当符合下列要求：</w:t>
                  </w:r>
                </w:p>
                <w:p>
                  <w:pPr>
                    <w:keepNext w:val="0"/>
                    <w:keepLines w:val="0"/>
                    <w:pageBreakBefore w:val="0"/>
                    <w:widowControl w:val="0"/>
                    <w:kinsoku/>
                    <w:wordWrap/>
                    <w:overflowPunct/>
                    <w:topLinePunct w:val="0"/>
                    <w:autoSpaceDE/>
                    <w:autoSpaceDN/>
                    <w:bidi w:val="0"/>
                    <w:spacing w:line="320" w:lineRule="exact"/>
                    <w:ind w:left="0" w:leftChars="0"/>
                    <w:textAlignment w:val="auto"/>
                    <w:rPr>
                      <w:rFonts w:ascii="宋体" w:hAnsi="宋体" w:eastAsia="宋体" w:cs="宋体"/>
                      <w:spacing w:val="6"/>
                      <w:sz w:val="21"/>
                      <w:szCs w:val="21"/>
                    </w:rPr>
                  </w:pPr>
                  <w:r>
                    <w:rPr>
                      <w:rFonts w:hint="default" w:ascii="宋体" w:hAnsi="宋体" w:eastAsia="宋体" w:cs="宋体"/>
                      <w:spacing w:val="6"/>
                      <w:sz w:val="21"/>
                      <w:szCs w:val="21"/>
                    </w:rPr>
                    <w:t>（一）采用围挡或者其他封闭仓储设施，配备喷淋或者其他抑尘设备；（二）生产用原料需要频繁装卸作业的，在密闭车间进行，堆场露天装卸作业的，采取洒水等抑尘措施；（三）采用密闭输送设备作业的，在装料、卸料处配备吸尘、喷淋等防尘设施，并保持防尘设施的正常使用。</w:t>
                  </w:r>
                </w:p>
              </w:tc>
              <w:tc>
                <w:tcPr>
                  <w:tcW w:w="1182" w:type="pct"/>
                  <w:noWrap w:val="0"/>
                  <w:vAlign w:val="top"/>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w:t>
                  </w:r>
                  <w:r>
                    <w:rPr>
                      <w:rFonts w:hint="eastAsia" w:cs="Times New Roman"/>
                      <w:sz w:val="21"/>
                      <w:szCs w:val="21"/>
                      <w:highlight w:val="none"/>
                      <w:lang w:val="en-US" w:eastAsia="zh-CN"/>
                    </w:rPr>
                    <w:t>建设</w:t>
                  </w:r>
                  <w:r>
                    <w:rPr>
                      <w:rFonts w:hint="default" w:ascii="Times New Roman" w:hAnsi="Times New Roman" w:cs="Times New Roman"/>
                      <w:sz w:val="21"/>
                      <w:szCs w:val="21"/>
                      <w:highlight w:val="none"/>
                      <w:lang w:val="en-US" w:eastAsia="zh-CN"/>
                    </w:rPr>
                    <w:t>行业类别属于砼结构构件生产制造，不属于</w:t>
                  </w:r>
                  <w:r>
                    <w:rPr>
                      <w:rFonts w:ascii="宋体" w:hAnsi="宋体" w:eastAsia="宋体" w:cs="宋体"/>
                      <w:spacing w:val="6"/>
                      <w:sz w:val="21"/>
                      <w:szCs w:val="21"/>
                    </w:rPr>
                    <w:t>高污染（排放）、高能（水）耗、高环境风险的工业项目</w:t>
                  </w:r>
                  <w:r>
                    <w:rPr>
                      <w:rFonts w:hint="eastAsia" w:cs="Times New Roman"/>
                      <w:sz w:val="21"/>
                      <w:szCs w:val="21"/>
                      <w:highlight w:val="none"/>
                      <w:lang w:val="en-US" w:eastAsia="zh-CN"/>
                    </w:rPr>
                    <w:t>。</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项目物料运输、</w:t>
                  </w:r>
                  <w:r>
                    <w:rPr>
                      <w:rFonts w:hint="eastAsia" w:cs="Times New Roman"/>
                      <w:sz w:val="21"/>
                      <w:szCs w:val="21"/>
                      <w:highlight w:val="none"/>
                      <w:lang w:val="en-US" w:eastAsia="zh-CN"/>
                    </w:rPr>
                    <w:t>储存</w:t>
                  </w:r>
                  <w:r>
                    <w:rPr>
                      <w:rFonts w:hint="eastAsia" w:ascii="Times New Roman" w:hAnsi="Times New Roman" w:eastAsia="宋体" w:cs="Times New Roman"/>
                      <w:sz w:val="21"/>
                      <w:szCs w:val="21"/>
                      <w:highlight w:val="none"/>
                      <w:lang w:val="en-US" w:eastAsia="zh-CN"/>
                    </w:rPr>
                    <w:t>过程采取了扬尘防治措施</w:t>
                  </w:r>
                  <w:r>
                    <w:rPr>
                      <w:rFonts w:hint="eastAsia" w:cs="Times New Roman"/>
                      <w:sz w:val="21"/>
                      <w:szCs w:val="21"/>
                      <w:highlight w:val="none"/>
                      <w:lang w:val="en-US" w:eastAsia="zh-CN"/>
                    </w:rPr>
                    <w:t>，石子堆放于露天堆场、篷布遮盖，</w:t>
                  </w:r>
                  <w:r>
                    <w:rPr>
                      <w:rFonts w:hint="default" w:ascii="Times New Roman" w:hAnsi="Times New Roman" w:cs="Times New Roman"/>
                      <w:sz w:val="21"/>
                      <w:szCs w:val="21"/>
                      <w:highlight w:val="none"/>
                      <w:lang w:val="en-US" w:eastAsia="zh-CN"/>
                    </w:rPr>
                    <w:t>沙子原料暂存</w:t>
                  </w:r>
                  <w:r>
                    <w:rPr>
                      <w:rFonts w:hint="eastAsia" w:cs="Times New Roman"/>
                      <w:sz w:val="21"/>
                      <w:szCs w:val="21"/>
                      <w:highlight w:val="none"/>
                      <w:lang w:val="en-US" w:eastAsia="zh-CN"/>
                    </w:rPr>
                    <w:t>于</w:t>
                  </w:r>
                  <w:r>
                    <w:rPr>
                      <w:rFonts w:hint="default" w:ascii="Times New Roman" w:hAnsi="Times New Roman" w:cs="Times New Roman"/>
                      <w:sz w:val="21"/>
                      <w:szCs w:val="21"/>
                      <w:highlight w:val="none"/>
                      <w:lang w:val="en-US" w:eastAsia="zh-CN"/>
                    </w:rPr>
                    <w:t>封闭库房内，水泥采用筒仓存放</w:t>
                  </w:r>
                  <w:r>
                    <w:rPr>
                      <w:rFonts w:hint="eastAsia" w:cs="Times New Roman"/>
                      <w:sz w:val="21"/>
                      <w:szCs w:val="21"/>
                      <w:highlight w:val="none"/>
                      <w:lang w:val="en-US" w:eastAsia="zh-CN"/>
                    </w:rPr>
                    <w:t>、通过筒仓自带脉冲式除尘器除尘</w:t>
                  </w:r>
                  <w:r>
                    <w:rPr>
                      <w:rFonts w:hint="eastAsia" w:ascii="Times New Roman" w:hAnsi="Times New Roman" w:eastAsia="宋体" w:cs="Times New Roman"/>
                      <w:sz w:val="21"/>
                      <w:szCs w:val="21"/>
                      <w:highlight w:val="none"/>
                      <w:lang w:val="en-US" w:eastAsia="zh-CN"/>
                    </w:rPr>
                    <w:t>。</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《自治州大气污染防治三年攻坚行动方案》（2023</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2025年）</w:t>
                  </w:r>
                </w:p>
              </w:tc>
              <w:tc>
                <w:tcPr>
                  <w:tcW w:w="202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严格项目准入：库尔勒大气污染联防联控区严禁新增钢铁、水泥熟料、平板玻璃、炼油产能。其他地区钢铁、水泥熟料、平板玻璃、炼油、电解铝等新建、扩建项目严格实施产能等量置换要求。</w:t>
                  </w:r>
                </w:p>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扬尘综合整治：各县市加强砂石料场扬尘污染监管，落实破碎、投料、传输、筛分、出料、堆场（物料粒度≤0.5mm）全环节密闭；落实厂区内外扰动区域硬化，进出车辆苫盖冲洗，生产期间定期清尘和洒水降尘，进场道路定期洒水抑尘。库尔勒市、尉犁县周边砂石料场进场道路硬化。2023年底前，库尔勒市、尉犁县、库尔勒经济技术开发区全面完成砂石料场生产区和堆场封闭式改造。库尔勒市、尉犁县联合整治东山矿区扬尘污染源。</w:t>
                  </w:r>
                </w:p>
              </w:tc>
              <w:tc>
                <w:tcPr>
                  <w:tcW w:w="1182"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本项目生产过程在全密闭</w:t>
                  </w:r>
                  <w:r>
                    <w:rPr>
                      <w:rFonts w:hint="eastAsia" w:cs="Times New Roman"/>
                      <w:sz w:val="21"/>
                      <w:szCs w:val="21"/>
                      <w:highlight w:val="none"/>
                      <w:lang w:val="en-US" w:eastAsia="zh-CN"/>
                    </w:rPr>
                    <w:t>生产</w:t>
                  </w:r>
                  <w:r>
                    <w:rPr>
                      <w:rFonts w:hint="default" w:ascii="Times New Roman" w:hAnsi="Times New Roman" w:cs="Times New Roman"/>
                      <w:sz w:val="21"/>
                      <w:szCs w:val="21"/>
                      <w:highlight w:val="none"/>
                      <w:lang w:val="en-US" w:eastAsia="zh-CN"/>
                    </w:rPr>
                    <w:t>车间</w:t>
                  </w:r>
                  <w:r>
                    <w:rPr>
                      <w:rFonts w:hint="eastAsia" w:cs="Times New Roman"/>
                      <w:sz w:val="21"/>
                      <w:szCs w:val="21"/>
                      <w:highlight w:val="none"/>
                      <w:lang w:val="en-US" w:eastAsia="zh-CN"/>
                    </w:rPr>
                    <w:t>内</w:t>
                  </w: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石子堆放于露天堆场、篷布遮盖，</w:t>
                  </w:r>
                  <w:r>
                    <w:rPr>
                      <w:rFonts w:hint="default" w:ascii="Times New Roman" w:hAnsi="Times New Roman" w:cs="Times New Roman"/>
                      <w:sz w:val="21"/>
                      <w:szCs w:val="21"/>
                      <w:highlight w:val="none"/>
                      <w:lang w:val="en-US" w:eastAsia="zh-CN"/>
                    </w:rPr>
                    <w:t>沙子原料暂存</w:t>
                  </w:r>
                  <w:r>
                    <w:rPr>
                      <w:rFonts w:hint="eastAsia" w:cs="Times New Roman"/>
                      <w:sz w:val="21"/>
                      <w:szCs w:val="21"/>
                      <w:highlight w:val="none"/>
                      <w:lang w:val="en-US" w:eastAsia="zh-CN"/>
                    </w:rPr>
                    <w:t>于</w:t>
                  </w:r>
                  <w:r>
                    <w:rPr>
                      <w:rFonts w:hint="default" w:ascii="Times New Roman" w:hAnsi="Times New Roman" w:cs="Times New Roman"/>
                      <w:sz w:val="21"/>
                      <w:szCs w:val="21"/>
                      <w:highlight w:val="none"/>
                      <w:lang w:val="en-US" w:eastAsia="zh-CN"/>
                    </w:rPr>
                    <w:t>封闭库房内，水泥采用筒仓存放</w:t>
                  </w:r>
                  <w:r>
                    <w:rPr>
                      <w:rFonts w:hint="eastAsia" w:cs="Times New Roman"/>
                      <w:sz w:val="21"/>
                      <w:szCs w:val="21"/>
                      <w:highlight w:val="none"/>
                      <w:lang w:val="en-US" w:eastAsia="zh-CN"/>
                    </w:rPr>
                    <w:t>、通过筒仓自带脉冲式除尘器除尘</w:t>
                  </w:r>
                  <w:r>
                    <w:rPr>
                      <w:rFonts w:hint="default" w:ascii="Times New Roman" w:hAnsi="Times New Roman" w:cs="Times New Roman"/>
                      <w:sz w:val="21"/>
                      <w:szCs w:val="21"/>
                      <w:highlight w:val="none"/>
                      <w:lang w:val="en-US" w:eastAsia="zh-CN"/>
                    </w:rPr>
                    <w:t>；砂石料采用密封运输，砂石料</w:t>
                  </w:r>
                  <w:r>
                    <w:rPr>
                      <w:rFonts w:hint="eastAsia" w:ascii="Times New Roman" w:hAnsi="Times New Roman" w:cs="Times New Roman"/>
                      <w:sz w:val="21"/>
                      <w:szCs w:val="21"/>
                      <w:highlight w:val="none"/>
                      <w:lang w:val="en-US" w:eastAsia="zh-CN"/>
                    </w:rPr>
                    <w:t>搅拌采用</w:t>
                  </w:r>
                  <w:r>
                    <w:rPr>
                      <w:rFonts w:hint="default" w:ascii="Times New Roman" w:hAnsi="Times New Roman" w:cs="Times New Roman"/>
                      <w:sz w:val="21"/>
                      <w:szCs w:val="21"/>
                      <w:highlight w:val="none"/>
                      <w:lang w:val="en-US" w:eastAsia="zh-CN"/>
                    </w:rPr>
                    <w:t>封闭</w:t>
                  </w:r>
                  <w:r>
                    <w:rPr>
                      <w:rFonts w:hint="eastAsia" w:ascii="Times New Roman" w:hAnsi="Times New Roman" w:cs="Times New Roman"/>
                      <w:sz w:val="21"/>
                      <w:szCs w:val="21"/>
                      <w:highlight w:val="none"/>
                      <w:lang w:val="en-US" w:eastAsia="zh-CN"/>
                    </w:rPr>
                    <w:t>设备加工、</w:t>
                  </w:r>
                  <w:r>
                    <w:rPr>
                      <w:rFonts w:hint="eastAsia" w:cs="Times New Roman"/>
                      <w:sz w:val="21"/>
                      <w:szCs w:val="21"/>
                      <w:highlight w:val="none"/>
                      <w:lang w:val="en-US" w:eastAsia="zh-CN"/>
                    </w:rPr>
                    <w:t>物料输送及</w:t>
                  </w:r>
                  <w:r>
                    <w:rPr>
                      <w:rFonts w:hint="eastAsia" w:ascii="Times New Roman" w:hAnsi="Times New Roman" w:cs="Times New Roman"/>
                      <w:sz w:val="21"/>
                      <w:szCs w:val="21"/>
                      <w:highlight w:val="none"/>
                      <w:lang w:val="en-US" w:eastAsia="zh-CN"/>
                    </w:rPr>
                    <w:t>搅拌</w:t>
                  </w:r>
                  <w:r>
                    <w:rPr>
                      <w:rFonts w:hint="default" w:ascii="Times New Roman" w:hAnsi="Times New Roman" w:cs="Times New Roman"/>
                      <w:sz w:val="21"/>
                      <w:szCs w:val="21"/>
                      <w:highlight w:val="none"/>
                      <w:lang w:val="en-US" w:eastAsia="zh-CN"/>
                    </w:rPr>
                    <w:t>工序安装集气装置相连布袋除尘器有组织排放。项目区内分区硬化，进出车辆冲洗后上路。本项目主体工程均为全封闭建筑物。</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《自治州工业炉窑大气污染综合治理实施方案》</w:t>
                  </w:r>
                </w:p>
              </w:tc>
              <w:tc>
                <w:tcPr>
                  <w:tcW w:w="2023" w:type="pct"/>
                  <w:noWrap w:val="0"/>
                  <w:vAlign w:val="top"/>
                </w:tcPr>
                <w:p>
                  <w:pPr>
                    <w:keepNext w:val="0"/>
                    <w:keepLines w:val="0"/>
                    <w:pageBreakBefore w:val="0"/>
                    <w:widowControl w:val="0"/>
                    <w:kinsoku/>
                    <w:wordWrap/>
                    <w:overflowPunct/>
                    <w:topLinePunct w:val="0"/>
                    <w:autoSpaceDE/>
                    <w:autoSpaceDN/>
                    <w:bidi w:val="0"/>
                    <w:spacing w:line="320" w:lineRule="exact"/>
                    <w:ind w:left="0"/>
                    <w:textAlignment w:val="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严格建设项目准入。新建涉工业炉窑的建设项目，原则上要入园区，配套建设高效环保治理设施。重点区域严格控制涉工业炉窑建设项目，严禁新增钢铁、焦化、电解铝、水泥和平板玻璃等产能；严格执行钢铁、水泥、平板玻璃等行业产能置换实施办法；原则上禁止新建燃料类煤气发生炉。</w:t>
                  </w:r>
                </w:p>
                <w:p>
                  <w:pPr>
                    <w:keepNext w:val="0"/>
                    <w:keepLines w:val="0"/>
                    <w:pageBreakBefore w:val="0"/>
                    <w:widowControl w:val="0"/>
                    <w:kinsoku/>
                    <w:wordWrap/>
                    <w:overflowPunct/>
                    <w:topLinePunct w:val="0"/>
                    <w:autoSpaceDE/>
                    <w:autoSpaceDN/>
                    <w:bidi w:val="0"/>
                    <w:spacing w:line="320" w:lineRule="exact"/>
                    <w:ind w:left="0"/>
                    <w:textAlignment w:val="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推进工业炉窑全面达标排放。已有行业排放标准的工业炉窑，严格执行行业排放标准相关规定，配套建设高效脱硫脱硝除尘设施，确保稳定达标排放。重点区域钢铁、水泥、焦化、石化、化工、有色等重点行业，二氧化硫、氮氧化物、颗粒物、挥发性有机物（VOCs）排放全面执行大气污染物特别排放限值。</w:t>
                  </w:r>
                </w:p>
              </w:tc>
              <w:tc>
                <w:tcPr>
                  <w:tcW w:w="1182" w:type="pct"/>
                  <w:noWrap w:val="0"/>
                  <w:vAlign w:val="top"/>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jc w:val="both"/>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本项目不涉及新建工业炉窑，生产工艺中也不使用工业炉窑，冬季不生产，值守人员生活取暖采用电能供暖。</w:t>
                  </w:r>
                </w:p>
              </w:tc>
              <w:tc>
                <w:tcPr>
                  <w:tcW w:w="350"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符合</w:t>
                  </w:r>
                </w:p>
              </w:tc>
            </w:tr>
          </w:tbl>
          <w:p>
            <w:pPr>
              <w:pStyle w:val="44"/>
              <w:bidi w:val="0"/>
              <w:rPr>
                <w:rFonts w:hint="default"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w:t>
            </w:r>
            <w:r>
              <w:rPr>
                <w:rFonts w:hint="eastAsia" w:ascii="Times New Roman" w:hAnsi="Times New Roman" w:cs="Times New Roman"/>
                <w:b/>
                <w:bCs/>
                <w:highlight w:val="none"/>
                <w:lang w:val="en-US" w:eastAsia="zh-CN"/>
              </w:rPr>
              <w:t>环境保护相关</w:t>
            </w:r>
            <w:r>
              <w:rPr>
                <w:rFonts w:hint="default" w:ascii="Times New Roman" w:hAnsi="Times New Roman" w:cs="Times New Roman"/>
                <w:b/>
                <w:bCs/>
                <w:highlight w:val="none"/>
                <w:lang w:val="en-US" w:eastAsia="zh-CN"/>
              </w:rPr>
              <w:t>规划符合性分析</w:t>
            </w:r>
          </w:p>
          <w:p>
            <w:pPr>
              <w:pStyle w:val="5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（1）与《新疆生态环境保护“十四五”规划》的符合性分析</w:t>
            </w:r>
          </w:p>
          <w:p>
            <w:pPr>
              <w:pStyle w:val="13"/>
              <w:keepNext w:val="0"/>
              <w:keepLines w:val="0"/>
              <w:pageBreakBefore w:val="0"/>
              <w:widowControl w:val="0"/>
              <w:kinsoku/>
              <w:wordWrap/>
              <w:overflowPunct/>
              <w:topLinePunct w:val="0"/>
              <w:bidi w:val="0"/>
              <w:spacing w:line="360" w:lineRule="auto"/>
              <w:ind w:left="0" w:leftChars="0"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val="0"/>
                <w:bCs w:val="0"/>
                <w:color w:val="auto"/>
                <w:spacing w:val="0"/>
                <w:kern w:val="0"/>
                <w:sz w:val="24"/>
                <w:szCs w:val="24"/>
                <w:lang w:val="en-US" w:eastAsia="zh-CN" w:bidi="ar-SA"/>
              </w:rPr>
              <w:t>根据《新疆生态环境保护“十四五”规划》第五章 加强协同控制，改善大气环境，第三节 持续推进涉气污染源治理：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w:t>
            </w:r>
            <w:r>
              <w:rPr>
                <w:rFonts w:hint="eastAsia" w:ascii="宋体" w:hAnsi="宋体" w:eastAsia="宋体" w:cs="宋体"/>
                <w:color w:val="auto"/>
                <w:kern w:val="0"/>
                <w:sz w:val="24"/>
                <w:szCs w:val="24"/>
                <w:highlight w:val="none"/>
                <w:lang w:val="en-US" w:eastAsia="zh-CN" w:bidi="ar-SA"/>
              </w:rPr>
              <w:t>全生产无法取消的，安装在线监控系统。</w:t>
            </w:r>
          </w:p>
          <w:p>
            <w:pPr>
              <w:pStyle w:val="56"/>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生产过程在全密闭生产车间内，石子堆放于露天堆场、篷布遮盖，沙子原料暂存于封闭库房内，水泥采用筒仓存放、通过筒仓自带脉冲式除尘器除尘；砂石料采用密封运输，砂石料搅拌采用封闭设备加工、物料输送及搅拌工序安装集气装置相连布袋除尘器有组织排放。项目区内分区硬化，进出车辆冲洗后上路。本项目主体工程均为全封闭建筑物。因此，本项目符合《新疆生态环境保护“十四五”规划》的相关要求。</w:t>
            </w:r>
          </w:p>
          <w:p>
            <w:pPr>
              <w:pStyle w:val="5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highlight w:val="none"/>
                <w:lang w:val="en-US" w:eastAsia="zh-CN"/>
              </w:rPr>
              <w:t>（2）与《巴音郭楞蒙古自治州生态环境“十四五”规划》符合性分析</w:t>
            </w:r>
          </w:p>
          <w:p>
            <w:pPr>
              <w:pStyle w:val="56"/>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eastAsia" w:eastAsia="宋体" w:cs="宋体"/>
                <w:color w:val="auto"/>
                <w:sz w:val="24"/>
                <w:lang w:val="en-US" w:eastAsia="zh-CN" w:bidi="zh-CN"/>
              </w:rPr>
            </w:pPr>
            <w:r>
              <w:rPr>
                <w:rFonts w:hint="default" w:ascii="宋体" w:hAnsi="宋体" w:eastAsia="宋体" w:cs="宋体"/>
                <w:color w:val="auto"/>
                <w:sz w:val="24"/>
                <w:lang w:val="en-US" w:eastAsia="zh-CN" w:bidi="zh-CN"/>
              </w:rPr>
              <w:t>《巴音郭楞蒙古自治州生态环境“十四五”规划》</w:t>
            </w:r>
            <w:r>
              <w:rPr>
                <w:rFonts w:hint="eastAsia" w:ascii="宋体" w:hAnsi="宋体" w:eastAsia="宋体" w:cs="宋体"/>
                <w:color w:val="auto"/>
                <w:sz w:val="24"/>
                <w:lang w:val="en-US" w:eastAsia="zh-CN" w:bidi="zh-CN"/>
              </w:rPr>
              <w:t>提出</w:t>
            </w:r>
            <w:r>
              <w:rPr>
                <w:rFonts w:hint="eastAsia" w:eastAsia="宋体" w:cs="宋体"/>
                <w:color w:val="auto"/>
                <w:sz w:val="24"/>
                <w:lang w:val="en-US" w:eastAsia="zh-CN" w:bidi="zh-CN"/>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自然资源利用上线，实施兵地统一的生态环境准入清单管控。促进再生水利用。制定促进再生水利用的政策，以城市及产业集聚区为重点，持续推进污水收集处理，实施再生水利用工程，完善再生水利用设施，工业生产、城市绿化、道路清扫、车辆冲洗、建筑施工以及生态景观等用水，优先使用再生水。</w:t>
            </w:r>
          </w:p>
          <w:p>
            <w:pPr>
              <w:pStyle w:val="56"/>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ascii="宋体" w:hAnsi="宋体" w:eastAsia="宋体" w:cs="宋体"/>
                <w:color w:val="auto"/>
                <w:sz w:val="24"/>
                <w:lang w:val="en-US" w:eastAsia="zh-CN" w:bidi="zh-CN"/>
              </w:rPr>
            </w:pPr>
            <w:r>
              <w:rPr>
                <w:rFonts w:hint="eastAsia" w:eastAsia="宋体" w:cs="宋体"/>
                <w:color w:val="auto"/>
                <w:sz w:val="24"/>
                <w:lang w:val="en-US" w:eastAsia="zh-CN" w:bidi="zh-CN"/>
              </w:rPr>
              <w:t>本项目为砼结构预制件生产，不涉及选矿，不属于“两高”项目，本项目符合《巴音郭楞蒙古自治州“三线一单”生态环境分区管控方案》，本项目洗车废水、可循环使用，不外排，废水利用率为100%。</w:t>
            </w:r>
            <w:r>
              <w:rPr>
                <w:rFonts w:hint="default" w:ascii="宋体" w:hAnsi="宋体" w:eastAsia="宋体" w:cs="宋体"/>
                <w:color w:val="auto"/>
                <w:sz w:val="24"/>
                <w:lang w:val="en-US" w:eastAsia="zh-CN" w:bidi="zh-CN"/>
              </w:rPr>
              <w:t>因此，本项目符合《巴音郭楞蒙古自治州生态环境“十四五”规划》的相关要求。</w:t>
            </w:r>
          </w:p>
          <w:p>
            <w:pPr>
              <w:pStyle w:val="56"/>
              <w:keepNext w:val="0"/>
              <w:keepLines w:val="0"/>
              <w:pageBreakBefore w:val="0"/>
              <w:widowControl w:val="0"/>
              <w:numPr>
                <w:ilvl w:val="0"/>
                <w:numId w:val="0"/>
              </w:numPr>
              <w:kinsoku/>
              <w:wordWrap/>
              <w:overflowPunct/>
              <w:topLinePunct w:val="0"/>
              <w:bidi w:val="0"/>
              <w:spacing w:line="360" w:lineRule="auto"/>
              <w:ind w:firstLine="482" w:firstLineChars="200"/>
              <w:jc w:val="left"/>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4.与《新疆维吾尔自治区七大片区“三线一单”生态环境分区管控要求》（2021年版）符合性分析</w:t>
            </w:r>
          </w:p>
          <w:p>
            <w:pPr>
              <w:pStyle w:val="56"/>
              <w:keepNext w:val="0"/>
              <w:keepLines w:val="0"/>
              <w:pageBreakBefore w:val="0"/>
              <w:widowControl w:val="0"/>
              <w:numPr>
                <w:ilvl w:val="0"/>
                <w:numId w:val="0"/>
              </w:numPr>
              <w:kinsoku/>
              <w:wordWrap/>
              <w:overflowPunct/>
              <w:topLinePunct w:val="0"/>
              <w:bidi w:val="0"/>
              <w:spacing w:line="360" w:lineRule="auto"/>
              <w:ind w:firstLine="476" w:firstLineChars="200"/>
              <w:jc w:val="left"/>
              <w:textAlignment w:val="auto"/>
              <w:rPr>
                <w:rFonts w:hint="default" w:ascii="宋体" w:hAnsi="宋体" w:eastAsia="宋体" w:cs="宋体"/>
                <w:color w:val="auto"/>
                <w:sz w:val="24"/>
                <w:lang w:val="en-US" w:eastAsia="zh-CN" w:bidi="zh-CN"/>
              </w:rPr>
            </w:pPr>
            <w:r>
              <w:rPr>
                <w:rFonts w:ascii="新宋体" w:hAnsi="新宋体" w:eastAsia="新宋体" w:cs="新宋体"/>
                <w:spacing w:val="-1"/>
                <w:sz w:val="24"/>
                <w:szCs w:val="24"/>
              </w:rPr>
              <w:t>本项目与自治区七大片区天山南坡管控要求的符合性分</w:t>
            </w:r>
            <w:r>
              <w:rPr>
                <w:rFonts w:ascii="新宋体" w:hAnsi="新宋体" w:eastAsia="新宋体" w:cs="新宋体"/>
                <w:spacing w:val="-3"/>
                <w:sz w:val="24"/>
                <w:szCs w:val="24"/>
              </w:rPr>
              <w:t>析如下：</w:t>
            </w:r>
          </w:p>
          <w:p>
            <w:pPr>
              <w:pStyle w:val="28"/>
              <w:bidi w:val="0"/>
              <w:jc w:val="center"/>
              <w:rPr>
                <w:rFonts w:hint="default" w:ascii="宋体" w:hAnsi="宋体" w:eastAsia="宋体" w:cs="宋体"/>
                <w:b w:val="0"/>
                <w:bCs w:val="0"/>
                <w:color w:val="auto"/>
                <w:sz w:val="24"/>
                <w:lang w:val="en-US" w:eastAsia="zh-CN" w:bidi="zh-CN"/>
              </w:rPr>
            </w:pPr>
            <w:r>
              <w:rPr>
                <w:rFonts w:hint="default" w:ascii="黑体" w:hAnsi="宋体" w:eastAsia="黑体" w:cs="黑体"/>
                <w:color w:val="000000"/>
                <w:kern w:val="0"/>
                <w:sz w:val="24"/>
                <w:szCs w:val="24"/>
                <w:highlight w:val="none"/>
                <w:lang w:val="en-US" w:eastAsia="zh-CN" w:bidi="ar"/>
              </w:rPr>
              <w:t>表1-</w:t>
            </w:r>
            <w:r>
              <w:rPr>
                <w:rFonts w:hint="eastAsia" w:ascii="黑体" w:hAnsi="宋体" w:eastAsia="黑体" w:cs="黑体"/>
                <w:color w:val="000000"/>
                <w:kern w:val="0"/>
                <w:sz w:val="24"/>
                <w:szCs w:val="24"/>
                <w:highlight w:val="none"/>
                <w:lang w:val="en-US" w:eastAsia="zh-CN" w:bidi="ar"/>
              </w:rPr>
              <w:t xml:space="preserve">2 </w:t>
            </w:r>
            <w:r>
              <w:rPr>
                <w:rFonts w:hint="default" w:ascii="黑体" w:hAnsi="宋体" w:eastAsia="黑体" w:cs="黑体"/>
                <w:color w:val="000000"/>
                <w:kern w:val="0"/>
                <w:sz w:val="24"/>
                <w:szCs w:val="24"/>
                <w:highlight w:val="none"/>
                <w:lang w:val="en-US" w:eastAsia="zh-CN" w:bidi="ar"/>
              </w:rPr>
              <w:t xml:space="preserve"> 与《自治区生态环境分区管控方案和七大片区管控要求》的符合性分析</w:t>
            </w:r>
          </w:p>
          <w:tbl>
            <w:tblPr>
              <w:tblStyle w:val="48"/>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636"/>
              <w:gridCol w:w="3773"/>
              <w:gridCol w:w="2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restart"/>
                  <w:tcBorders>
                    <w:top w:val="single" w:color="000000" w:sz="10" w:space="0"/>
                    <w:left w:val="single" w:color="000000" w:sz="4" w:space="0"/>
                    <w:bottom w:val="nil"/>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sz w:val="21"/>
                      <w:szCs w:val="21"/>
                    </w:rPr>
                  </w:pPr>
                  <w:r>
                    <w:rPr>
                      <w:spacing w:val="9"/>
                      <w:sz w:val="21"/>
                      <w:szCs w:val="21"/>
                    </w:rPr>
                    <w:t>生态环境分区管控</w:t>
                  </w:r>
                </w:p>
              </w:tc>
              <w:tc>
                <w:tcPr>
                  <w:tcW w:w="398"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2"/>
                      <w:sz w:val="21"/>
                      <w:szCs w:val="21"/>
                    </w:rPr>
                    <w:t>管控</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类别</w:t>
                  </w:r>
                </w:p>
              </w:tc>
              <w:tc>
                <w:tcPr>
                  <w:tcW w:w="2360"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管控要求</w:t>
                  </w:r>
                </w:p>
              </w:tc>
              <w:tc>
                <w:tcPr>
                  <w:tcW w:w="1821" w:type="pct"/>
                  <w:tcBorders>
                    <w:top w:val="single" w:color="000000" w:sz="10"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continue"/>
                  <w:tcBorders>
                    <w:top w:val="nil"/>
                    <w:left w:val="single" w:color="000000" w:sz="4" w:space="0"/>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restart"/>
                  <w:tcBorders>
                    <w:bottom w:val="nil"/>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1"/>
                      <w:sz w:val="21"/>
                      <w:szCs w:val="21"/>
                    </w:rPr>
                    <w:t>空间</w:t>
                  </w:r>
                  <w:r>
                    <w:rPr>
                      <w:spacing w:val="4"/>
                      <w:sz w:val="21"/>
                      <w:szCs w:val="21"/>
                    </w:rPr>
                    <w:t>布局</w:t>
                  </w:r>
                  <w:r>
                    <w:rPr>
                      <w:spacing w:val="2"/>
                      <w:sz w:val="21"/>
                      <w:szCs w:val="21"/>
                    </w:rPr>
                    <w:t>约束</w:t>
                  </w: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严格执行国家、</w:t>
                  </w:r>
                  <w:r>
                    <w:rPr>
                      <w:spacing w:val="-52"/>
                      <w:sz w:val="21"/>
                      <w:szCs w:val="21"/>
                    </w:rPr>
                    <w:t xml:space="preserve"> </w:t>
                  </w:r>
                  <w:r>
                    <w:rPr>
                      <w:spacing w:val="5"/>
                      <w:sz w:val="21"/>
                      <w:szCs w:val="21"/>
                    </w:rPr>
                    <w:t>自治区产业</w:t>
                  </w:r>
                  <w:r>
                    <w:rPr>
                      <w:spacing w:val="9"/>
                      <w:sz w:val="21"/>
                      <w:szCs w:val="21"/>
                    </w:rPr>
                    <w:t>政策和环境准入要求，严禁</w:t>
                  </w:r>
                  <w:r>
                    <w:rPr>
                      <w:rFonts w:ascii="Times New Roman" w:hAnsi="Times New Roman" w:eastAsia="Times New Roman" w:cs="Times New Roman"/>
                      <w:spacing w:val="12"/>
                      <w:sz w:val="21"/>
                      <w:szCs w:val="21"/>
                    </w:rPr>
                    <w:t>“</w:t>
                  </w:r>
                  <w:r>
                    <w:rPr>
                      <w:spacing w:val="12"/>
                      <w:sz w:val="21"/>
                      <w:szCs w:val="21"/>
                    </w:rPr>
                    <w:t>三高</w:t>
                  </w:r>
                  <w:r>
                    <w:rPr>
                      <w:rFonts w:ascii="Times New Roman" w:hAnsi="Times New Roman" w:eastAsia="Times New Roman" w:cs="Times New Roman"/>
                      <w:spacing w:val="12"/>
                      <w:sz w:val="21"/>
                      <w:szCs w:val="21"/>
                    </w:rPr>
                    <w:t>”</w:t>
                  </w:r>
                  <w:r>
                    <w:rPr>
                      <w:spacing w:val="12"/>
                      <w:sz w:val="21"/>
                      <w:szCs w:val="21"/>
                    </w:rPr>
                    <w:t>项目进新疆，坚决遏</w:t>
                  </w:r>
                  <w:r>
                    <w:rPr>
                      <w:spacing w:val="7"/>
                      <w:sz w:val="21"/>
                      <w:szCs w:val="21"/>
                    </w:rPr>
                    <w:t>制</w:t>
                  </w:r>
                  <w:r>
                    <w:rPr>
                      <w:rFonts w:ascii="Times New Roman" w:hAnsi="Times New Roman" w:eastAsia="Times New Roman" w:cs="Times New Roman"/>
                      <w:spacing w:val="7"/>
                      <w:sz w:val="21"/>
                      <w:szCs w:val="21"/>
                    </w:rPr>
                    <w:t>“</w:t>
                  </w:r>
                  <w:r>
                    <w:rPr>
                      <w:spacing w:val="7"/>
                      <w:sz w:val="21"/>
                      <w:szCs w:val="21"/>
                    </w:rPr>
                    <w:t>两高</w:t>
                  </w:r>
                  <w:r>
                    <w:rPr>
                      <w:rFonts w:ascii="Times New Roman" w:hAnsi="Times New Roman" w:eastAsia="Times New Roman" w:cs="Times New Roman"/>
                      <w:spacing w:val="7"/>
                      <w:sz w:val="21"/>
                      <w:szCs w:val="21"/>
                    </w:rPr>
                    <w:t>”</w:t>
                  </w:r>
                  <w:r>
                    <w:rPr>
                      <w:spacing w:val="7"/>
                      <w:sz w:val="21"/>
                      <w:szCs w:val="21"/>
                    </w:rPr>
                    <w:t>项目盲目发展。</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符合，本项目为砼结构</w:t>
                  </w:r>
                  <w:r>
                    <w:rPr>
                      <w:spacing w:val="12"/>
                      <w:sz w:val="21"/>
                      <w:szCs w:val="21"/>
                    </w:rPr>
                    <w:t>构件制造，不属于</w:t>
                  </w:r>
                  <w:r>
                    <w:rPr>
                      <w:rFonts w:ascii="Times New Roman" w:hAnsi="Times New Roman" w:eastAsia="Times New Roman" w:cs="Times New Roman"/>
                      <w:spacing w:val="12"/>
                      <w:sz w:val="21"/>
                      <w:szCs w:val="21"/>
                    </w:rPr>
                    <w:t>“</w:t>
                  </w:r>
                  <w:r>
                    <w:rPr>
                      <w:spacing w:val="12"/>
                      <w:sz w:val="21"/>
                      <w:szCs w:val="21"/>
                    </w:rPr>
                    <w:t>三</w:t>
                  </w:r>
                  <w:r>
                    <w:rPr>
                      <w:spacing w:val="10"/>
                      <w:sz w:val="21"/>
                      <w:szCs w:val="21"/>
                    </w:rPr>
                    <w:t>高（高污染、高能耗、</w:t>
                  </w:r>
                  <w:r>
                    <w:rPr>
                      <w:spacing w:val="3"/>
                      <w:sz w:val="21"/>
                      <w:szCs w:val="21"/>
                    </w:rPr>
                    <w:t>高环境风险）</w:t>
                  </w:r>
                  <w:r>
                    <w:rPr>
                      <w:rFonts w:ascii="Times New Roman" w:hAnsi="Times New Roman" w:eastAsia="Times New Roman" w:cs="Times New Roman"/>
                      <w:spacing w:val="3"/>
                      <w:sz w:val="21"/>
                      <w:szCs w:val="21"/>
                    </w:rPr>
                    <w:t>”</w:t>
                  </w:r>
                  <w:r>
                    <w:rPr>
                      <w:spacing w:val="3"/>
                      <w:sz w:val="21"/>
                      <w:szCs w:val="21"/>
                    </w:rPr>
                    <w:t>及</w:t>
                  </w:r>
                  <w:r>
                    <w:rPr>
                      <w:rFonts w:ascii="Times New Roman" w:hAnsi="Times New Roman" w:eastAsia="Times New Roman" w:cs="Times New Roman"/>
                      <w:spacing w:val="3"/>
                      <w:sz w:val="21"/>
                      <w:szCs w:val="21"/>
                    </w:rPr>
                    <w:t>“</w:t>
                  </w:r>
                  <w:r>
                    <w:rPr>
                      <w:spacing w:val="3"/>
                      <w:sz w:val="21"/>
                      <w:szCs w:val="21"/>
                    </w:rPr>
                    <w:t>两高</w:t>
                  </w:r>
                  <w:r>
                    <w:rPr>
                      <w:rFonts w:ascii="Times New Roman" w:hAnsi="Times New Roman" w:eastAsia="Times New Roman" w:cs="Times New Roman"/>
                      <w:spacing w:val="3"/>
                      <w:sz w:val="21"/>
                      <w:szCs w:val="21"/>
                    </w:rPr>
                    <w:t>”</w:t>
                  </w:r>
                  <w:r>
                    <w:rPr>
                      <w:spacing w:val="2"/>
                      <w:sz w:val="21"/>
                      <w:szCs w:val="21"/>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0" w:type="pct"/>
                  <w:vMerge w:val="continue"/>
                  <w:tcBorders>
                    <w:top w:val="nil"/>
                    <w:left w:val="single" w:color="000000" w:sz="4" w:space="0"/>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不得在水源涵养区、饮用水</w:t>
                  </w:r>
                  <w:r>
                    <w:rPr>
                      <w:spacing w:val="1"/>
                      <w:sz w:val="21"/>
                      <w:szCs w:val="21"/>
                    </w:rPr>
                    <w:t>水源保护区内和河流、湖泊、</w:t>
                  </w:r>
                  <w:r>
                    <w:rPr>
                      <w:spacing w:val="8"/>
                      <w:sz w:val="21"/>
                      <w:szCs w:val="21"/>
                    </w:rPr>
                    <w:t>水库周围建设重化工、涉重</w:t>
                  </w:r>
                  <w:r>
                    <w:rPr>
                      <w:spacing w:val="7"/>
                      <w:sz w:val="21"/>
                      <w:szCs w:val="21"/>
                    </w:rPr>
                    <w:t>金属等工业污染项目。</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符合，本项目不属于重化工、涉重金属等工业</w:t>
                  </w:r>
                  <w:r>
                    <w:rPr>
                      <w:spacing w:val="5"/>
                      <w:sz w:val="21"/>
                      <w:szCs w:val="21"/>
                    </w:rPr>
                    <w:t>污染项目。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continue"/>
                  <w:tcBorders>
                    <w:top w:val="nil"/>
                    <w:left w:val="single" w:color="000000" w:sz="4" w:space="0"/>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推动项目集聚发展，新建、改建、扩建工业项目原则上应布置由县级及以上人民政府批准建立、环境保护基础设施完善的产业园区、工业聚集区或规划区，并且符合</w:t>
                  </w:r>
                  <w:r>
                    <w:rPr>
                      <w:spacing w:val="8"/>
                      <w:sz w:val="21"/>
                      <w:szCs w:val="21"/>
                    </w:rPr>
                    <w:t>相关规划和规划环评要求。</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符合，项目用地性质为工业用地，符合《</w:t>
                  </w:r>
                  <w:r>
                    <w:rPr>
                      <w:rFonts w:hint="eastAsia" w:ascii="Times New Roman" w:hAnsi="Times New Roman" w:cs="Times New Roman"/>
                      <w:sz w:val="21"/>
                      <w:szCs w:val="21"/>
                      <w:highlight w:val="none"/>
                      <w:lang w:val="en-US" w:eastAsia="zh-CN"/>
                    </w:rPr>
                    <w:t>博湖</w:t>
                  </w:r>
                  <w:r>
                    <w:rPr>
                      <w:rFonts w:hint="default" w:ascii="Times New Roman" w:hAnsi="Times New Roman" w:cs="Times New Roman"/>
                      <w:sz w:val="21"/>
                      <w:szCs w:val="21"/>
                      <w:highlight w:val="none"/>
                      <w:lang w:val="en-US" w:eastAsia="zh-CN"/>
                    </w:rPr>
                    <w:t>县国土空间总体规划（2021</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2035年）</w:t>
                  </w:r>
                  <w:r>
                    <w:rPr>
                      <w:sz w:val="21"/>
                      <w:szCs w:val="21"/>
                    </w:rPr>
                    <w:t>》要</w:t>
                  </w:r>
                  <w:r>
                    <w:rPr>
                      <w:spacing w:val="-1"/>
                      <w:sz w:val="21"/>
                      <w:szCs w:val="21"/>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0" w:type="pct"/>
                  <w:vMerge w:val="continue"/>
                  <w:tcBorders>
                    <w:top w:val="nil"/>
                    <w:left w:val="single" w:color="000000" w:sz="4" w:space="0"/>
                    <w:bottom w:val="single" w:color="000000" w:sz="4" w:space="0"/>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restar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污染</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物排</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放管</w:t>
                  </w:r>
                </w:p>
              </w:tc>
              <w:tc>
                <w:tcPr>
                  <w:tcW w:w="2360" w:type="pct"/>
                  <w:tcBorders>
                    <w:bottom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深化行业污染源头治理，深入开展火电行业减排，全力推进钢铁行业超低排放改</w:t>
                  </w:r>
                  <w:r>
                    <w:rPr>
                      <w:spacing w:val="3"/>
                      <w:sz w:val="21"/>
                      <w:szCs w:val="21"/>
                    </w:rPr>
                    <w:t>造，有序推进石化行业</w:t>
                  </w:r>
                  <w:r>
                    <w:rPr>
                      <w:rFonts w:ascii="Times New Roman" w:hAnsi="Times New Roman" w:eastAsia="Times New Roman" w:cs="Times New Roman"/>
                      <w:spacing w:val="3"/>
                      <w:sz w:val="21"/>
                      <w:szCs w:val="21"/>
                    </w:rPr>
                    <w:t>“</w:t>
                  </w:r>
                  <w:r>
                    <w:rPr>
                      <w:spacing w:val="3"/>
                      <w:sz w:val="21"/>
                      <w:szCs w:val="21"/>
                    </w:rPr>
                    <w:t>泄漏检测与修复</w:t>
                  </w:r>
                  <w:r>
                    <w:rPr>
                      <w:rFonts w:ascii="Times New Roman" w:hAnsi="Times New Roman" w:eastAsia="Times New Roman" w:cs="Times New Roman"/>
                      <w:spacing w:val="3"/>
                      <w:sz w:val="21"/>
                      <w:szCs w:val="21"/>
                    </w:rPr>
                    <w:t>”</w:t>
                  </w:r>
                  <w:r>
                    <w:rPr>
                      <w:spacing w:val="3"/>
                      <w:sz w:val="21"/>
                      <w:szCs w:val="21"/>
                    </w:rPr>
                    <w:t>技术改造。强化</w:t>
                  </w:r>
                  <w:r>
                    <w:rPr>
                      <w:spacing w:val="8"/>
                      <w:sz w:val="21"/>
                      <w:szCs w:val="21"/>
                    </w:rPr>
                    <w:t>煤化工、石化、有机化工、</w:t>
                  </w:r>
                  <w:r>
                    <w:rPr>
                      <w:spacing w:val="9"/>
                      <w:sz w:val="21"/>
                      <w:szCs w:val="21"/>
                    </w:rPr>
                    <w:t>表面涂装、包装印刷等重点</w:t>
                  </w:r>
                  <w:r>
                    <w:rPr>
                      <w:spacing w:val="8"/>
                      <w:sz w:val="21"/>
                      <w:szCs w:val="21"/>
                    </w:rPr>
                    <w:t>行业挥发性有机物控制。深</w:t>
                  </w:r>
                  <w:r>
                    <w:rPr>
                      <w:spacing w:val="9"/>
                      <w:sz w:val="21"/>
                      <w:szCs w:val="21"/>
                    </w:rPr>
                    <w:t>入开展燃煤锅炉污染综合整</w:t>
                  </w:r>
                  <w:r>
                    <w:rPr>
                      <w:spacing w:val="1"/>
                      <w:sz w:val="21"/>
                      <w:szCs w:val="21"/>
                    </w:rPr>
                    <w:t>治，深化工业炉窑综合治理。</w:t>
                  </w:r>
                  <w:r>
                    <w:rPr>
                      <w:spacing w:val="8"/>
                      <w:sz w:val="21"/>
                      <w:szCs w:val="21"/>
                    </w:rPr>
                    <w:t>加强</w:t>
                  </w:r>
                  <w:r>
                    <w:rPr>
                      <w:rFonts w:ascii="Times New Roman" w:hAnsi="Times New Roman" w:eastAsia="Times New Roman" w:cs="Times New Roman"/>
                      <w:spacing w:val="8"/>
                      <w:sz w:val="21"/>
                      <w:szCs w:val="21"/>
                    </w:rPr>
                    <w:t>“</w:t>
                  </w:r>
                  <w:r>
                    <w:rPr>
                      <w:spacing w:val="8"/>
                      <w:sz w:val="21"/>
                      <w:szCs w:val="21"/>
                    </w:rPr>
                    <w:t>散乱污</w:t>
                  </w:r>
                  <w:r>
                    <w:rPr>
                      <w:rFonts w:ascii="Times New Roman" w:hAnsi="Times New Roman" w:eastAsia="Times New Roman" w:cs="Times New Roman"/>
                      <w:spacing w:val="8"/>
                      <w:sz w:val="21"/>
                      <w:szCs w:val="21"/>
                    </w:rPr>
                    <w:t>”</w:t>
                  </w:r>
                  <w:r>
                    <w:rPr>
                      <w:spacing w:val="8"/>
                      <w:sz w:val="21"/>
                      <w:szCs w:val="21"/>
                    </w:rPr>
                    <w:t>企业综合整</w:t>
                  </w:r>
                  <w:r>
                    <w:rPr>
                      <w:spacing w:val="1"/>
                      <w:sz w:val="21"/>
                      <w:szCs w:val="21"/>
                    </w:rPr>
                    <w:t>治。优化区域交通运输结构，</w:t>
                  </w:r>
                  <w:r>
                    <w:rPr>
                      <w:spacing w:val="9"/>
                      <w:sz w:val="21"/>
                      <w:szCs w:val="21"/>
                    </w:rPr>
                    <w:t>加快货物运输绿色转型，做</w:t>
                  </w:r>
                  <w:r>
                    <w:rPr>
                      <w:spacing w:val="7"/>
                      <w:sz w:val="21"/>
                      <w:szCs w:val="21"/>
                    </w:rPr>
                    <w:t>好车油联合管控。</w:t>
                  </w:r>
                </w:p>
              </w:tc>
              <w:tc>
                <w:tcPr>
                  <w:tcW w:w="1821" w:type="pct"/>
                  <w:tcBorders>
                    <w:bottom w:val="single" w:color="000000" w:sz="4"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符合，本项目原料及成</w:t>
                  </w:r>
                  <w:r>
                    <w:rPr>
                      <w:spacing w:val="4"/>
                      <w:sz w:val="21"/>
                      <w:szCs w:val="21"/>
                    </w:rPr>
                    <w:t>品依托社会运输车辆，</w:t>
                  </w:r>
                  <w:r>
                    <w:rPr>
                      <w:spacing w:val="17"/>
                      <w:sz w:val="21"/>
                      <w:szCs w:val="21"/>
                    </w:rPr>
                    <w:t>不涉及所列燃煤锅炉</w:t>
                  </w:r>
                  <w:r>
                    <w:rPr>
                      <w:spacing w:val="5"/>
                      <w:sz w:val="21"/>
                      <w:szCs w:val="21"/>
                    </w:rPr>
                    <w:t>及炉窑。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0" w:type="pct"/>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以改善流域水环境质量为核心，强化源头控制，</w:t>
                  </w:r>
                  <w:r>
                    <w:rPr>
                      <w:rFonts w:ascii="Times New Roman" w:hAnsi="Times New Roman" w:eastAsia="Times New Roman" w:cs="Times New Roman"/>
                      <w:spacing w:val="7"/>
                      <w:sz w:val="21"/>
                      <w:szCs w:val="21"/>
                    </w:rPr>
                    <w:t>“</w:t>
                  </w:r>
                  <w:r>
                    <w:rPr>
                      <w:spacing w:val="7"/>
                      <w:sz w:val="21"/>
                      <w:szCs w:val="21"/>
                    </w:rPr>
                    <w:t>一河</w:t>
                  </w:r>
                  <w:r>
                    <w:rPr>
                      <w:spacing w:val="2"/>
                      <w:sz w:val="21"/>
                      <w:szCs w:val="21"/>
                    </w:rPr>
                    <w:t>（湖）一策</w:t>
                  </w:r>
                  <w:r>
                    <w:rPr>
                      <w:rFonts w:ascii="Times New Roman" w:hAnsi="Times New Roman" w:eastAsia="Times New Roman" w:cs="Times New Roman"/>
                      <w:spacing w:val="2"/>
                      <w:sz w:val="21"/>
                      <w:szCs w:val="21"/>
                    </w:rPr>
                    <w:t>”</w:t>
                  </w:r>
                  <w:r>
                    <w:rPr>
                      <w:spacing w:val="2"/>
                      <w:sz w:val="21"/>
                      <w:szCs w:val="21"/>
                    </w:rPr>
                    <w:t>精准施治，减少</w:t>
                  </w:r>
                  <w:r>
                    <w:rPr>
                      <w:spacing w:val="8"/>
                      <w:sz w:val="21"/>
                      <w:szCs w:val="21"/>
                    </w:rPr>
                    <w:t>水污染物排放，持续改善水</w:t>
                  </w:r>
                  <w:r>
                    <w:rPr>
                      <w:spacing w:val="9"/>
                      <w:sz w:val="21"/>
                      <w:szCs w:val="21"/>
                    </w:rPr>
                    <w:t>环境质量。强化园区（工业</w:t>
                  </w:r>
                  <w:r>
                    <w:rPr>
                      <w:spacing w:val="3"/>
                      <w:sz w:val="21"/>
                      <w:szCs w:val="21"/>
                    </w:rPr>
                    <w:t>集聚区）水污染防治，不断</w:t>
                  </w:r>
                  <w:r>
                    <w:rPr>
                      <w:spacing w:val="8"/>
                      <w:sz w:val="21"/>
                      <w:szCs w:val="21"/>
                    </w:rPr>
                    <w:t>提高工业用水重复利用率。</w:t>
                  </w:r>
                  <w:r>
                    <w:rPr>
                      <w:spacing w:val="9"/>
                      <w:sz w:val="21"/>
                      <w:szCs w:val="21"/>
                    </w:rPr>
                    <w:t>加快实施城镇污水处理设施提质增效，补齐生活污水收集和处理设施短板，提高再</w:t>
                  </w:r>
                  <w:r>
                    <w:rPr>
                      <w:spacing w:val="8"/>
                      <w:sz w:val="21"/>
                      <w:szCs w:val="21"/>
                    </w:rPr>
                    <w:t>生水回用比例。持续推进农</w:t>
                  </w:r>
                  <w:r>
                    <w:rPr>
                      <w:spacing w:val="7"/>
                      <w:sz w:val="21"/>
                      <w:szCs w:val="21"/>
                    </w:rPr>
                    <w:t>业农村污染防治。</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符合，项目不涉及饮用</w:t>
                  </w:r>
                  <w:r>
                    <w:rPr>
                      <w:spacing w:val="7"/>
                      <w:sz w:val="21"/>
                      <w:szCs w:val="21"/>
                    </w:rPr>
                    <w:t>水源等环境敏感区域，</w:t>
                  </w:r>
                  <w:r>
                    <w:rPr>
                      <w:rFonts w:hint="default"/>
                      <w:spacing w:val="7"/>
                      <w:sz w:val="21"/>
                      <w:szCs w:val="21"/>
                      <w:lang w:val="en-US" w:eastAsia="zh-CN"/>
                    </w:rPr>
                    <w:t>清洗车辆轮胎</w:t>
                  </w:r>
                  <w:r>
                    <w:rPr>
                      <w:spacing w:val="6"/>
                      <w:sz w:val="21"/>
                      <w:szCs w:val="21"/>
                    </w:rPr>
                    <w:t>废水经</w:t>
                  </w:r>
                  <w:r>
                    <w:rPr>
                      <w:spacing w:val="7"/>
                      <w:sz w:val="21"/>
                      <w:szCs w:val="21"/>
                    </w:rPr>
                    <w:t>防渗沉淀池沉淀后回用，无生产废水外排，</w:t>
                  </w:r>
                  <w:r>
                    <w:rPr>
                      <w:spacing w:val="8"/>
                      <w:sz w:val="21"/>
                      <w:szCs w:val="21"/>
                    </w:rPr>
                    <w:t>配料用水随产品带出；生活污水</w:t>
                  </w:r>
                  <w:r>
                    <w:rPr>
                      <w:rFonts w:hint="eastAsia"/>
                      <w:spacing w:val="8"/>
                      <w:sz w:val="21"/>
                      <w:szCs w:val="21"/>
                      <w:lang w:val="en-US" w:eastAsia="zh-CN"/>
                    </w:rPr>
                    <w:t>防渗化粪池预处理后定期清运至博湖县城镇污水处理厂进一步处理</w:t>
                  </w:r>
                  <w:r>
                    <w:rPr>
                      <w:spacing w:val="7"/>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提升土壤环境监管能力，加</w:t>
                  </w:r>
                  <w:r>
                    <w:rPr>
                      <w:spacing w:val="7"/>
                      <w:sz w:val="21"/>
                      <w:szCs w:val="21"/>
                    </w:rPr>
                    <w:t>强污染地块安全利用监管。</w:t>
                  </w:r>
                  <w:r>
                    <w:rPr>
                      <w:spacing w:val="8"/>
                      <w:sz w:val="21"/>
                      <w:szCs w:val="21"/>
                    </w:rPr>
                    <w:t>强化工矿用地管理，严格建设用地土壤环境风险管控。</w:t>
                  </w:r>
                  <w:r>
                    <w:rPr>
                      <w:spacing w:val="9"/>
                      <w:sz w:val="21"/>
                      <w:szCs w:val="21"/>
                    </w:rPr>
                    <w:t>加强农用地土壤污染源头控制，科学施用化肥农药，提</w:t>
                  </w:r>
                  <w:r>
                    <w:rPr>
                      <w:spacing w:val="6"/>
                      <w:sz w:val="21"/>
                      <w:szCs w:val="21"/>
                    </w:rPr>
                    <w:t>高农膜回收率。</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符合，本项目分区防</w:t>
                  </w:r>
                  <w:r>
                    <w:rPr>
                      <w:spacing w:val="6"/>
                      <w:sz w:val="21"/>
                      <w:szCs w:val="21"/>
                    </w:rPr>
                    <w:t>渗，项目区相邻无农用</w:t>
                  </w:r>
                  <w:r>
                    <w:rPr>
                      <w:sz w:val="21"/>
                      <w:szCs w:val="21"/>
                    </w:rPr>
                    <w:t>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环境</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风险</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2"/>
                      <w:sz w:val="21"/>
                      <w:szCs w:val="21"/>
                    </w:rPr>
                    <w:t>防控</w:t>
                  </w: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禁止在化工园区外新建、扩建危险化学品生产项目。严格落实危险废物处置相关要求。加强重点流域水环境风</w:t>
                  </w:r>
                  <w:r>
                    <w:rPr>
                      <w:spacing w:val="8"/>
                      <w:sz w:val="21"/>
                      <w:szCs w:val="21"/>
                    </w:rPr>
                    <w:t>险管控，保障水环境安全。</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符合，本项目不属于危险化学品生产项目。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0" w:type="pct"/>
                  <w:vMerge w:val="continue"/>
                  <w:tcBorders>
                    <w:top w:val="nil"/>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398"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资源</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利用</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2"/>
                      <w:sz w:val="21"/>
                      <w:szCs w:val="21"/>
                    </w:rPr>
                    <w:t>效率</w:t>
                  </w: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优化能源结构，控制煤炭等化石能源使用量，鼓励使用清洁能源，协同推进减污降碳。全面实施节水工程，合</w:t>
                  </w:r>
                  <w:r>
                    <w:rPr>
                      <w:spacing w:val="8"/>
                      <w:sz w:val="21"/>
                      <w:szCs w:val="21"/>
                    </w:rPr>
                    <w:t>理开发利用水资源，提升水资源利用效率，保障生态用</w:t>
                  </w:r>
                  <w:r>
                    <w:rPr>
                      <w:spacing w:val="7"/>
                      <w:sz w:val="21"/>
                      <w:szCs w:val="21"/>
                    </w:rPr>
                    <w:t>水，严防地下水超采。</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w:t>
                  </w:r>
                  <w:r>
                    <w:rPr>
                      <w:rFonts w:ascii="新宋体" w:hAnsi="新宋体" w:eastAsia="新宋体" w:cs="新宋体"/>
                      <w:spacing w:val="-1"/>
                      <w:sz w:val="21"/>
                      <w:szCs w:val="21"/>
                    </w:rPr>
                    <w:t>不涉及地下</w:t>
                  </w:r>
                  <w:r>
                    <w:rPr>
                      <w:rFonts w:ascii="新宋体" w:hAnsi="新宋体" w:eastAsia="新宋体" w:cs="新宋体"/>
                      <w:spacing w:val="5"/>
                      <w:sz w:val="21"/>
                      <w:szCs w:val="21"/>
                    </w:rPr>
                    <w:t>水开采等</w:t>
                  </w:r>
                  <w:r>
                    <w:rPr>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18" w:type="pct"/>
                  <w:gridSpan w:val="2"/>
                  <w:vMerge w:val="restart"/>
                  <w:tcBorders>
                    <w:top w:val="single" w:color="000000" w:sz="4" w:space="0"/>
                    <w:left w:val="single" w:color="000000" w:sz="4" w:space="0"/>
                    <w:bottom w:val="nil"/>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sz w:val="21"/>
                      <w:szCs w:val="21"/>
                    </w:rPr>
                  </w:pPr>
                  <w:r>
                    <w:rPr>
                      <w:spacing w:val="7"/>
                      <w:sz w:val="21"/>
                      <w:szCs w:val="21"/>
                    </w:rPr>
                    <w:t>天山南坡片</w:t>
                  </w:r>
                  <w:r>
                    <w:rPr>
                      <w:sz w:val="21"/>
                      <w:szCs w:val="21"/>
                    </w:rPr>
                    <w:t>区</w:t>
                  </w:r>
                </w:p>
              </w:tc>
              <w:tc>
                <w:tcPr>
                  <w:tcW w:w="2360" w:type="pct"/>
                  <w:tcBorders>
                    <w:top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切实保护托木尔峰和天山南坡中段冰雪水源及生物多样</w:t>
                  </w:r>
                  <w:r>
                    <w:rPr>
                      <w:spacing w:val="8"/>
                      <w:sz w:val="21"/>
                      <w:szCs w:val="21"/>
                    </w:rPr>
                    <w:t>性保护生态功能区内的托木尔峰自然景观、高山冰川、</w:t>
                  </w:r>
                  <w:r>
                    <w:rPr>
                      <w:spacing w:val="9"/>
                      <w:sz w:val="21"/>
                      <w:szCs w:val="21"/>
                    </w:rPr>
                    <w:t>野生动物、森林和草原，合</w:t>
                  </w:r>
                  <w:r>
                    <w:rPr>
                      <w:spacing w:val="8"/>
                      <w:sz w:val="21"/>
                      <w:szCs w:val="21"/>
                    </w:rPr>
                    <w:t>理利用天然草地，稳步推进</w:t>
                  </w:r>
                  <w:r>
                    <w:rPr>
                      <w:spacing w:val="-2"/>
                      <w:sz w:val="21"/>
                      <w:szCs w:val="21"/>
                    </w:rPr>
                    <w:t>草原减牧，加强保护区管理，</w:t>
                  </w:r>
                  <w:r>
                    <w:rPr>
                      <w:spacing w:val="8"/>
                      <w:sz w:val="21"/>
                      <w:szCs w:val="21"/>
                    </w:rPr>
                    <w:t>维护自然景观和生物多样</w:t>
                  </w:r>
                  <w:r>
                    <w:rPr>
                      <w:spacing w:val="-1"/>
                      <w:sz w:val="21"/>
                      <w:szCs w:val="21"/>
                    </w:rPr>
                    <w:t>性。</w:t>
                  </w:r>
                </w:p>
              </w:tc>
              <w:tc>
                <w:tcPr>
                  <w:tcW w:w="1821" w:type="pct"/>
                  <w:tcBorders>
                    <w:top w:val="single" w:color="000000" w:sz="4"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符合，本项目不涉及所</w:t>
                  </w:r>
                  <w:r>
                    <w:rPr>
                      <w:spacing w:val="4"/>
                      <w:sz w:val="21"/>
                      <w:szCs w:val="21"/>
                    </w:rPr>
                    <w:t>列情形。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18" w:type="pct"/>
                  <w:gridSpan w:val="2"/>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重点做好塔里木盆地北缘荒漠化防治。加强荒漠植被及河岸荒漠林保护，规范油气勘探开发作业，建立油田和</w:t>
                  </w:r>
                  <w:r>
                    <w:rPr>
                      <w:spacing w:val="8"/>
                      <w:sz w:val="21"/>
                      <w:szCs w:val="21"/>
                    </w:rPr>
                    <w:t>公路扰动区域工程与生物相结合的防风固沙体系，逐步</w:t>
                  </w:r>
                  <w:r>
                    <w:rPr>
                      <w:spacing w:val="6"/>
                      <w:sz w:val="21"/>
                      <w:szCs w:val="21"/>
                    </w:rPr>
                    <w:t>形成生态屏障。</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符合，本项目不涉及所</w:t>
                  </w:r>
                  <w:r>
                    <w:rPr>
                      <w:spacing w:val="4"/>
                      <w:sz w:val="21"/>
                      <w:szCs w:val="21"/>
                    </w:rPr>
                    <w:t>列情形。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18" w:type="pct"/>
                  <w:gridSpan w:val="2"/>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2360" w:type="pct"/>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推进塔里木河流域用水结构</w:t>
                  </w:r>
                  <w:r>
                    <w:rPr>
                      <w:spacing w:val="8"/>
                      <w:sz w:val="21"/>
                      <w:szCs w:val="21"/>
                    </w:rPr>
                    <w:t>调整，维护塔里木河、博斯</w:t>
                  </w:r>
                  <w:r>
                    <w:rPr>
                      <w:spacing w:val="9"/>
                      <w:sz w:val="21"/>
                      <w:szCs w:val="21"/>
                    </w:rPr>
                    <w:t>腾湖基本生态用水。加强塔</w:t>
                  </w:r>
                  <w:r>
                    <w:rPr>
                      <w:spacing w:val="8"/>
                      <w:sz w:val="21"/>
                      <w:szCs w:val="21"/>
                    </w:rPr>
                    <w:t>里木河流域水环境风险管</w:t>
                  </w:r>
                  <w:r>
                    <w:rPr>
                      <w:spacing w:val="9"/>
                      <w:sz w:val="21"/>
                      <w:szCs w:val="21"/>
                    </w:rPr>
                    <w:t>控。加大博斯腾湖污染源头</w:t>
                  </w:r>
                  <w:r>
                    <w:rPr>
                      <w:spacing w:val="8"/>
                      <w:sz w:val="21"/>
                      <w:szCs w:val="21"/>
                    </w:rPr>
                    <w:t>达标排放治理和监督力度，</w:t>
                  </w:r>
                  <w:r>
                    <w:rPr>
                      <w:spacing w:val="7"/>
                      <w:sz w:val="21"/>
                      <w:szCs w:val="21"/>
                    </w:rPr>
                    <w:t>实施博斯腾湖综合治理。</w:t>
                  </w:r>
                </w:p>
              </w:tc>
              <w:tc>
                <w:tcPr>
                  <w:tcW w:w="1821" w:type="pct"/>
                  <w:tcBorders>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w:t>
                  </w:r>
                  <w:r>
                    <w:rPr>
                      <w:rFonts w:hint="default"/>
                      <w:spacing w:val="7"/>
                      <w:sz w:val="21"/>
                      <w:szCs w:val="21"/>
                      <w:lang w:val="en-US" w:eastAsia="zh-CN"/>
                    </w:rPr>
                    <w:t>清洗车辆轮胎</w:t>
                  </w:r>
                  <w:r>
                    <w:rPr>
                      <w:spacing w:val="6"/>
                      <w:sz w:val="21"/>
                      <w:szCs w:val="21"/>
                    </w:rPr>
                    <w:t>废水经</w:t>
                  </w:r>
                  <w:r>
                    <w:rPr>
                      <w:spacing w:val="7"/>
                      <w:sz w:val="21"/>
                      <w:szCs w:val="21"/>
                    </w:rPr>
                    <w:t>防渗沉淀池沉淀后回用</w:t>
                  </w:r>
                  <w:r>
                    <w:rPr>
                      <w:spacing w:val="6"/>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18" w:type="pct"/>
                  <w:gridSpan w:val="2"/>
                  <w:vMerge w:val="continue"/>
                  <w:tcBorders>
                    <w:top w:val="nil"/>
                    <w:left w:val="single" w:color="000000" w:sz="4" w:space="0"/>
                    <w:bottom w:val="single" w:color="000000" w:sz="10"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rFonts w:ascii="Arial"/>
                      <w:sz w:val="21"/>
                      <w:szCs w:val="21"/>
                    </w:rPr>
                  </w:pPr>
                </w:p>
              </w:tc>
              <w:tc>
                <w:tcPr>
                  <w:tcW w:w="2360"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加强油（气）资源开发区土壤环境污染综合整治。强化</w:t>
                  </w:r>
                  <w:r>
                    <w:rPr>
                      <w:spacing w:val="8"/>
                      <w:sz w:val="21"/>
                      <w:szCs w:val="21"/>
                    </w:rPr>
                    <w:t>涉重金属行业污染防控与工</w:t>
                  </w:r>
                  <w:r>
                    <w:rPr>
                      <w:spacing w:val="7"/>
                      <w:sz w:val="21"/>
                      <w:szCs w:val="21"/>
                    </w:rPr>
                    <w:t>业废物处理处置。</w:t>
                  </w:r>
                </w:p>
              </w:tc>
              <w:tc>
                <w:tcPr>
                  <w:tcW w:w="1821" w:type="pct"/>
                  <w:tcBorders>
                    <w:bottom w:val="single" w:color="000000" w:sz="10" w:space="0"/>
                    <w:right w:val="single" w:color="000000"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符合，本项目砼结构构件制造，不属于油气资</w:t>
                  </w:r>
                  <w:r>
                    <w:rPr>
                      <w:spacing w:val="9"/>
                      <w:sz w:val="21"/>
                      <w:szCs w:val="21"/>
                    </w:rPr>
                    <w:t>源开发区域和重金属</w:t>
                  </w:r>
                  <w:r>
                    <w:rPr>
                      <w:spacing w:val="2"/>
                      <w:sz w:val="21"/>
                      <w:szCs w:val="21"/>
                    </w:rPr>
                    <w:t>行业。</w:t>
                  </w:r>
                </w:p>
              </w:tc>
            </w:tr>
          </w:tbl>
          <w:p>
            <w:pPr>
              <w:pStyle w:val="56"/>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ascii="宋体" w:hAnsi="宋体" w:eastAsia="宋体" w:cs="宋体"/>
                <w:color w:val="auto"/>
                <w:sz w:val="24"/>
                <w:lang w:val="en-US" w:eastAsia="zh-CN" w:bidi="zh-CN"/>
              </w:rPr>
            </w:pPr>
            <w:r>
              <w:rPr>
                <w:rFonts w:hint="eastAsia" w:cs="宋体"/>
                <w:color w:val="auto"/>
                <w:sz w:val="24"/>
                <w:lang w:val="en-US" w:eastAsia="zh-CN" w:bidi="zh-CN"/>
              </w:rPr>
              <w:t>由此可见</w:t>
            </w:r>
            <w:r>
              <w:rPr>
                <w:rFonts w:hint="default" w:ascii="宋体" w:hAnsi="宋体" w:eastAsia="宋体" w:cs="宋体"/>
                <w:color w:val="auto"/>
                <w:sz w:val="24"/>
                <w:lang w:val="en-US" w:eastAsia="zh-CN" w:bidi="zh-CN"/>
              </w:rPr>
              <w:t>，项目</w:t>
            </w:r>
            <w:r>
              <w:rPr>
                <w:rFonts w:hint="eastAsia" w:cs="宋体"/>
                <w:color w:val="auto"/>
                <w:sz w:val="24"/>
                <w:lang w:val="en-US" w:eastAsia="zh-CN" w:bidi="zh-CN"/>
              </w:rPr>
              <w:t>建设</w:t>
            </w:r>
            <w:r>
              <w:rPr>
                <w:rFonts w:hint="default" w:ascii="宋体" w:hAnsi="宋体" w:eastAsia="宋体" w:cs="宋体"/>
                <w:color w:val="auto"/>
                <w:sz w:val="24"/>
                <w:lang w:val="en-US" w:eastAsia="zh-CN" w:bidi="zh-CN"/>
              </w:rPr>
              <w:t>符合《新疆维吾尔自治区七大片区“三线一单”生态环境分区管控要求》。</w:t>
            </w:r>
          </w:p>
          <w:p>
            <w:pPr>
              <w:pStyle w:val="56"/>
              <w:keepNext w:val="0"/>
              <w:keepLines w:val="0"/>
              <w:pageBreakBefore w:val="0"/>
              <w:widowControl w:val="0"/>
              <w:numPr>
                <w:ilvl w:val="0"/>
                <w:numId w:val="0"/>
              </w:numPr>
              <w:kinsoku/>
              <w:wordWrap/>
              <w:overflowPunct/>
              <w:topLinePunct w:val="0"/>
              <w:bidi w:val="0"/>
              <w:spacing w:line="360" w:lineRule="auto"/>
              <w:ind w:firstLine="482" w:firstLineChars="200"/>
              <w:jc w:val="left"/>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5.与《关于印发〈新疆维吾尔自治区生态环境分区管控动态更新成果〉的通知》（新环环评发〔2024〕157号）符合性分析</w:t>
            </w:r>
          </w:p>
          <w:p>
            <w:pPr>
              <w:pStyle w:val="56"/>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ascii="宋体" w:hAnsi="宋体" w:eastAsia="宋体" w:cs="宋体"/>
                <w:color w:val="auto"/>
                <w:sz w:val="24"/>
                <w:lang w:val="en-US" w:eastAsia="zh-CN" w:bidi="zh-CN"/>
              </w:rPr>
            </w:pPr>
            <w:r>
              <w:rPr>
                <w:rFonts w:hint="default" w:ascii="宋体" w:hAnsi="宋体" w:eastAsia="宋体" w:cs="宋体"/>
                <w:color w:val="auto"/>
                <w:sz w:val="24"/>
                <w:lang w:val="en-US" w:eastAsia="zh-CN" w:bidi="zh-CN"/>
              </w:rPr>
              <w:t>2024年11月，新疆维吾尔自治区生态环境厅发布了《关于印发</w:t>
            </w:r>
            <w:r>
              <w:rPr>
                <w:rFonts w:hint="eastAsia" w:cs="宋体"/>
                <w:color w:val="auto"/>
                <w:sz w:val="24"/>
                <w:lang w:val="en-US" w:eastAsia="zh-CN" w:bidi="zh-CN"/>
              </w:rPr>
              <w:t>〈</w:t>
            </w:r>
            <w:r>
              <w:rPr>
                <w:rFonts w:hint="default" w:ascii="宋体" w:hAnsi="宋体" w:eastAsia="宋体" w:cs="宋体"/>
                <w:color w:val="auto"/>
                <w:sz w:val="24"/>
                <w:lang w:val="en-US" w:eastAsia="zh-CN" w:bidi="zh-CN"/>
              </w:rPr>
              <w:t>新疆维吾尔自治区生态环境分区管控动态更新成果＞的通知》（新环环评发〔2024〕157号），与其符合性分析内容见表1-</w:t>
            </w:r>
            <w:r>
              <w:rPr>
                <w:rFonts w:hint="eastAsia" w:cs="宋体"/>
                <w:color w:val="auto"/>
                <w:sz w:val="24"/>
                <w:lang w:val="en-US" w:eastAsia="zh-CN" w:bidi="zh-CN"/>
              </w:rPr>
              <w:t>3</w:t>
            </w:r>
            <w:r>
              <w:rPr>
                <w:rFonts w:hint="default" w:ascii="宋体" w:hAnsi="宋体" w:eastAsia="宋体" w:cs="宋体"/>
                <w:color w:val="auto"/>
                <w:sz w:val="24"/>
                <w:lang w:val="en-US" w:eastAsia="zh-CN" w:bidi="zh-CN"/>
              </w:rPr>
              <w:t>。</w:t>
            </w:r>
          </w:p>
          <w:p>
            <w:pPr>
              <w:pStyle w:val="28"/>
              <w:bidi w:val="0"/>
              <w:jc w:val="center"/>
              <w:rPr>
                <w:rFonts w:hint="default" w:ascii="宋体" w:hAnsi="宋体" w:eastAsia="宋体" w:cs="宋体"/>
                <w:color w:val="auto"/>
                <w:sz w:val="24"/>
                <w:lang w:val="en-US" w:eastAsia="zh-CN" w:bidi="zh-CN"/>
              </w:rPr>
            </w:pPr>
            <w:r>
              <w:rPr>
                <w:rFonts w:hint="default" w:ascii="黑体" w:hAnsi="宋体" w:eastAsia="黑体" w:cs="黑体"/>
                <w:color w:val="000000"/>
                <w:kern w:val="0"/>
                <w:sz w:val="24"/>
                <w:szCs w:val="24"/>
                <w:highlight w:val="none"/>
                <w:lang w:val="en-US" w:eastAsia="zh-CN" w:bidi="ar"/>
              </w:rPr>
              <w:t>表1-</w:t>
            </w:r>
            <w:r>
              <w:rPr>
                <w:rFonts w:hint="eastAsia" w:ascii="黑体" w:hAnsi="宋体" w:eastAsia="黑体" w:cs="黑体"/>
                <w:color w:val="000000"/>
                <w:kern w:val="0"/>
                <w:sz w:val="24"/>
                <w:szCs w:val="24"/>
                <w:highlight w:val="none"/>
                <w:lang w:val="en-US" w:eastAsia="zh-CN" w:bidi="ar"/>
              </w:rPr>
              <w:t xml:space="preserve">3 </w:t>
            </w:r>
            <w:r>
              <w:rPr>
                <w:rFonts w:hint="default" w:ascii="黑体" w:hAnsi="宋体" w:eastAsia="黑体" w:cs="黑体"/>
                <w:color w:val="000000"/>
                <w:kern w:val="0"/>
                <w:sz w:val="24"/>
                <w:szCs w:val="24"/>
                <w:highlight w:val="none"/>
                <w:lang w:val="en-US" w:eastAsia="zh-CN" w:bidi="ar"/>
              </w:rPr>
              <w:t xml:space="preserve"> 与自治区生态环境分区管控动态更新成果符合性分析</w:t>
            </w:r>
          </w:p>
          <w:tbl>
            <w:tblPr>
              <w:tblStyle w:val="48"/>
              <w:tblW w:w="502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1"/>
              <w:gridCol w:w="662"/>
              <w:gridCol w:w="3441"/>
              <w:gridCol w:w="32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3" w:type="pct"/>
                  <w:gridSpan w:val="2"/>
                  <w:tcBorders>
                    <w:top w:val="single" w:color="000000" w:sz="10"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管控维</w:t>
                  </w:r>
                  <w:r>
                    <w:rPr>
                      <w:spacing w:val="1"/>
                      <w:sz w:val="21"/>
                      <w:szCs w:val="21"/>
                    </w:rPr>
                    <w:t>度</w:t>
                  </w:r>
                </w:p>
              </w:tc>
              <w:tc>
                <w:tcPr>
                  <w:tcW w:w="2153" w:type="pct"/>
                  <w:tcBorders>
                    <w:top w:val="single" w:color="000000" w:sz="10"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管控要求</w:t>
                  </w:r>
                </w:p>
              </w:tc>
              <w:tc>
                <w:tcPr>
                  <w:tcW w:w="2043" w:type="pct"/>
                  <w:tcBorders>
                    <w:top w:val="single" w:color="000000" w:sz="10"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本项目情况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z w:val="21"/>
                      <w:szCs w:val="21"/>
                    </w:rPr>
                    <w:t>1</w:t>
                  </w:r>
                  <w:r>
                    <w:rPr>
                      <w:sz w:val="21"/>
                      <w:szCs w:val="21"/>
                    </w:rPr>
                    <w:t>空</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间布局</w:t>
                  </w:r>
                  <w:r>
                    <w:rPr>
                      <w:spacing w:val="8"/>
                      <w:sz w:val="21"/>
                      <w:szCs w:val="21"/>
                    </w:rPr>
                    <w:t>约束</w:t>
                  </w:r>
                </w:p>
              </w:tc>
              <w:tc>
                <w:tcPr>
                  <w:tcW w:w="414" w:type="pct"/>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A1</w:t>
                  </w:r>
                  <w:r>
                    <w:rPr>
                      <w:rFonts w:ascii="Times New Roman" w:hAnsi="Times New Roman" w:eastAsia="Times New Roman" w:cs="Times New Roman"/>
                      <w:spacing w:val="-5"/>
                      <w:sz w:val="21"/>
                      <w:szCs w:val="21"/>
                    </w:rPr>
                    <w:t>.1</w:t>
                  </w:r>
                  <w:r>
                    <w:rPr>
                      <w:sz w:val="21"/>
                      <w:szCs w:val="21"/>
                    </w:rPr>
                    <w:t>禁止开发</w:t>
                  </w:r>
                  <w:r>
                    <w:rPr>
                      <w:spacing w:val="9"/>
                      <w:sz w:val="21"/>
                      <w:szCs w:val="21"/>
                    </w:rPr>
                    <w:t>建设的活动</w:t>
                  </w:r>
                </w:p>
              </w:tc>
              <w:tc>
                <w:tcPr>
                  <w:tcW w:w="2153" w:type="pct"/>
                  <w:tcBorders>
                    <w:bottom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w:t>
                  </w:r>
                  <w:r>
                    <w:rPr>
                      <w:rFonts w:ascii="Times New Roman" w:hAnsi="Times New Roman" w:eastAsia="Times New Roman" w:cs="Times New Roman"/>
                      <w:spacing w:val="5"/>
                      <w:sz w:val="21"/>
                      <w:szCs w:val="21"/>
                    </w:rPr>
                    <w:t>A1.1-1</w:t>
                  </w:r>
                  <w:r>
                    <w:rPr>
                      <w:spacing w:val="5"/>
                      <w:sz w:val="21"/>
                      <w:szCs w:val="21"/>
                    </w:rPr>
                    <w:t>】禁止新建、扩</w:t>
                  </w:r>
                  <w:r>
                    <w:rPr>
                      <w:spacing w:val="8"/>
                      <w:sz w:val="21"/>
                      <w:szCs w:val="21"/>
                    </w:rPr>
                    <w:t>建《产业结构调整指导目</w:t>
                  </w:r>
                  <w:r>
                    <w:rPr>
                      <w:spacing w:val="3"/>
                      <w:sz w:val="21"/>
                      <w:szCs w:val="21"/>
                    </w:rPr>
                    <w:t>录（</w:t>
                  </w:r>
                  <w:r>
                    <w:rPr>
                      <w:rFonts w:ascii="Times New Roman" w:hAnsi="Times New Roman" w:eastAsia="Times New Roman" w:cs="Times New Roman"/>
                      <w:spacing w:val="3"/>
                      <w:sz w:val="21"/>
                      <w:szCs w:val="21"/>
                    </w:rPr>
                    <w:t>2024</w:t>
                  </w:r>
                  <w:r>
                    <w:rPr>
                      <w:spacing w:val="3"/>
                      <w:sz w:val="21"/>
                      <w:szCs w:val="21"/>
                    </w:rPr>
                    <w:t>年本）》中淘汰</w:t>
                  </w:r>
                  <w:r>
                    <w:rPr>
                      <w:spacing w:val="8"/>
                      <w:sz w:val="21"/>
                      <w:szCs w:val="21"/>
                    </w:rPr>
                    <w:t>类项目。禁止引入《市场</w:t>
                  </w:r>
                  <w:r>
                    <w:rPr>
                      <w:spacing w:val="12"/>
                      <w:sz w:val="21"/>
                      <w:szCs w:val="21"/>
                    </w:rPr>
                    <w:t>准入负面清单（</w:t>
                  </w:r>
                  <w:r>
                    <w:rPr>
                      <w:rFonts w:ascii="Times New Roman" w:hAnsi="Times New Roman" w:eastAsia="Times New Roman" w:cs="Times New Roman"/>
                      <w:spacing w:val="12"/>
                      <w:sz w:val="21"/>
                      <w:szCs w:val="21"/>
                    </w:rPr>
                    <w:t>2022</w:t>
                  </w:r>
                  <w:r>
                    <w:rPr>
                      <w:spacing w:val="12"/>
                      <w:sz w:val="21"/>
                      <w:szCs w:val="21"/>
                    </w:rPr>
                    <w:t>年</w:t>
                  </w:r>
                  <w:r>
                    <w:rPr>
                      <w:spacing w:val="8"/>
                      <w:sz w:val="21"/>
                      <w:szCs w:val="21"/>
                    </w:rPr>
                    <w:t>版）》禁止准入类事项。</w:t>
                  </w:r>
                </w:p>
              </w:tc>
              <w:tc>
                <w:tcPr>
                  <w:tcW w:w="2043" w:type="pct"/>
                  <w:tcBorders>
                    <w:bottom w:val="single" w:color="000000" w:sz="4"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符合。本项目属于《产</w:t>
                  </w:r>
                  <w:r>
                    <w:rPr>
                      <w:spacing w:val="21"/>
                      <w:sz w:val="21"/>
                      <w:szCs w:val="21"/>
                    </w:rPr>
                    <w:t>业结构调整指导目录</w:t>
                  </w:r>
                  <w:r>
                    <w:rPr>
                      <w:spacing w:val="5"/>
                      <w:sz w:val="21"/>
                      <w:szCs w:val="21"/>
                    </w:rPr>
                    <w:t>（</w:t>
                  </w:r>
                  <w:r>
                    <w:rPr>
                      <w:rFonts w:ascii="Times New Roman" w:hAnsi="Times New Roman" w:eastAsia="Times New Roman" w:cs="Times New Roman"/>
                      <w:spacing w:val="5"/>
                      <w:sz w:val="21"/>
                      <w:szCs w:val="21"/>
                    </w:rPr>
                    <w:t>2024</w:t>
                  </w:r>
                  <w:r>
                    <w:rPr>
                      <w:spacing w:val="5"/>
                      <w:sz w:val="21"/>
                      <w:szCs w:val="21"/>
                    </w:rPr>
                    <w:t>年本）》中允许</w:t>
                  </w:r>
                  <w:r>
                    <w:rPr>
                      <w:spacing w:val="10"/>
                      <w:sz w:val="21"/>
                      <w:szCs w:val="21"/>
                    </w:rPr>
                    <w:t>类项目；同时，生产设备的型号规格不在淘汰类落后生产工艺装备范</w:t>
                  </w:r>
                  <w:r>
                    <w:rPr>
                      <w:spacing w:val="7"/>
                      <w:sz w:val="21"/>
                      <w:szCs w:val="21"/>
                    </w:rPr>
                    <w:t>围内，且也不属于《</w:t>
                  </w:r>
                  <w:r>
                    <w:rPr>
                      <w:rFonts w:hint="default"/>
                      <w:spacing w:val="7"/>
                      <w:sz w:val="21"/>
                      <w:szCs w:val="21"/>
                      <w:lang w:val="en-US" w:eastAsia="zh-CN"/>
                    </w:rPr>
                    <w:t>市场准入负面清单（202</w:t>
                  </w:r>
                  <w:r>
                    <w:rPr>
                      <w:rFonts w:hint="eastAsia"/>
                      <w:spacing w:val="7"/>
                      <w:sz w:val="21"/>
                      <w:szCs w:val="21"/>
                      <w:lang w:val="en-US" w:eastAsia="zh-CN"/>
                    </w:rPr>
                    <w:t>5</w:t>
                  </w:r>
                  <w:r>
                    <w:rPr>
                      <w:rFonts w:hint="default"/>
                      <w:spacing w:val="7"/>
                      <w:sz w:val="21"/>
                      <w:szCs w:val="21"/>
                      <w:lang w:val="en-US" w:eastAsia="zh-CN"/>
                    </w:rPr>
                    <w:t>年版）</w:t>
                  </w:r>
                  <w:r>
                    <w:rPr>
                      <w:spacing w:val="8"/>
                      <w:sz w:val="21"/>
                      <w:szCs w:val="21"/>
                    </w:rPr>
                    <w:t>》（</w:t>
                  </w:r>
                  <w:r>
                    <w:rPr>
                      <w:rFonts w:hint="default"/>
                      <w:spacing w:val="8"/>
                      <w:sz w:val="21"/>
                      <w:szCs w:val="21"/>
                      <w:lang w:val="en-US" w:eastAsia="zh-CN"/>
                    </w:rPr>
                    <w:t>发改体改规〔202</w:t>
                  </w:r>
                  <w:r>
                    <w:rPr>
                      <w:rFonts w:hint="eastAsia"/>
                      <w:spacing w:val="8"/>
                      <w:sz w:val="21"/>
                      <w:szCs w:val="21"/>
                      <w:lang w:val="en-US" w:eastAsia="zh-CN"/>
                    </w:rPr>
                    <w:t>5</w:t>
                  </w:r>
                  <w:r>
                    <w:rPr>
                      <w:rFonts w:hint="default"/>
                      <w:spacing w:val="8"/>
                      <w:sz w:val="21"/>
                      <w:szCs w:val="21"/>
                      <w:lang w:val="en-US" w:eastAsia="zh-CN"/>
                    </w:rPr>
                    <w:t>〕</w:t>
                  </w:r>
                  <w:r>
                    <w:rPr>
                      <w:rFonts w:hint="eastAsia"/>
                      <w:spacing w:val="8"/>
                      <w:sz w:val="21"/>
                      <w:szCs w:val="21"/>
                      <w:lang w:val="en-US" w:eastAsia="zh-CN"/>
                    </w:rPr>
                    <w:t>466</w:t>
                  </w:r>
                  <w:r>
                    <w:rPr>
                      <w:rFonts w:hint="default"/>
                      <w:spacing w:val="8"/>
                      <w:sz w:val="21"/>
                      <w:szCs w:val="21"/>
                      <w:lang w:val="en-US" w:eastAsia="zh-CN"/>
                    </w:rPr>
                    <w:t>号</w:t>
                  </w:r>
                  <w:r>
                    <w:rPr>
                      <w:spacing w:val="3"/>
                      <w:sz w:val="21"/>
                      <w:szCs w:val="21"/>
                    </w:rPr>
                    <w:t>）中的</w:t>
                  </w:r>
                  <w:r>
                    <w:rPr>
                      <w:spacing w:val="5"/>
                      <w:sz w:val="21"/>
                      <w:szCs w:val="21"/>
                    </w:rPr>
                    <w:t>禁止类。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p>
              </w:tc>
              <w:tc>
                <w:tcPr>
                  <w:tcW w:w="414" w:type="pct"/>
                  <w:vMerge w:val="continue"/>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p>
              </w:tc>
              <w:tc>
                <w:tcPr>
                  <w:tcW w:w="2153" w:type="pct"/>
                  <w:tcBorders>
                    <w:top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r>
                    <w:rPr>
                      <w:spacing w:val="5"/>
                      <w:sz w:val="21"/>
                      <w:szCs w:val="21"/>
                    </w:rPr>
                    <w:t>【</w:t>
                  </w:r>
                  <w:r>
                    <w:rPr>
                      <w:rFonts w:ascii="Times New Roman" w:hAnsi="Times New Roman" w:eastAsia="Times New Roman" w:cs="Times New Roman"/>
                      <w:spacing w:val="5"/>
                      <w:sz w:val="21"/>
                      <w:szCs w:val="21"/>
                    </w:rPr>
                    <w:t>A1.1-2</w:t>
                  </w:r>
                  <w:r>
                    <w:rPr>
                      <w:spacing w:val="5"/>
                      <w:sz w:val="21"/>
                      <w:szCs w:val="21"/>
                    </w:rPr>
                    <w:t>】禁止建设不符</w:t>
                  </w:r>
                  <w:r>
                    <w:rPr>
                      <w:spacing w:val="8"/>
                      <w:sz w:val="21"/>
                      <w:szCs w:val="21"/>
                    </w:rPr>
                    <w:t>合国家和自治区环境保</w:t>
                  </w:r>
                  <w:r>
                    <w:rPr>
                      <w:spacing w:val="6"/>
                      <w:sz w:val="21"/>
                      <w:szCs w:val="21"/>
                    </w:rPr>
                    <w:t>护标准的项目。</w:t>
                  </w:r>
                </w:p>
              </w:tc>
              <w:tc>
                <w:tcPr>
                  <w:tcW w:w="2043" w:type="pct"/>
                  <w:tcBorders>
                    <w:top w:val="single" w:color="000000" w:sz="4"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符合。本项目营运期污染物执行标准符合国家和自治区环境保护标</w:t>
                  </w:r>
                  <w:r>
                    <w:rPr>
                      <w:spacing w:val="-1"/>
                      <w:sz w:val="21"/>
                      <w:szCs w:val="21"/>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A1</w:t>
                  </w:r>
                  <w:r>
                    <w:rPr>
                      <w:rFonts w:ascii="Times New Roman" w:hAnsi="Times New Roman" w:eastAsia="Times New Roman" w:cs="Times New Roman"/>
                      <w:spacing w:val="-5"/>
                      <w:sz w:val="21"/>
                      <w:szCs w:val="21"/>
                    </w:rPr>
                    <w:t>.1</w:t>
                  </w:r>
                  <w:r>
                    <w:rPr>
                      <w:sz w:val="21"/>
                      <w:szCs w:val="21"/>
                    </w:rPr>
                    <w:t>禁止开发建</w:t>
                  </w:r>
                  <w:r>
                    <w:rPr>
                      <w:spacing w:val="-3"/>
                      <w:sz w:val="21"/>
                      <w:szCs w:val="21"/>
                    </w:rPr>
                    <w:t>设的活</w:t>
                  </w:r>
                  <w:r>
                    <w:rPr>
                      <w:sz w:val="21"/>
                      <w:szCs w:val="21"/>
                    </w:rPr>
                    <w:t>动</w:t>
                  </w: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w:t>
                  </w:r>
                  <w:r>
                    <w:rPr>
                      <w:rFonts w:ascii="Times New Roman" w:hAnsi="Times New Roman" w:eastAsia="Times New Roman" w:cs="Times New Roman"/>
                      <w:spacing w:val="5"/>
                      <w:sz w:val="21"/>
                      <w:szCs w:val="21"/>
                    </w:rPr>
                    <w:t>A1.1-6</w:t>
                  </w:r>
                  <w:r>
                    <w:rPr>
                      <w:spacing w:val="5"/>
                      <w:sz w:val="21"/>
                      <w:szCs w:val="21"/>
                    </w:rPr>
                    <w:t>】禁止在自治区</w:t>
                  </w:r>
                  <w:r>
                    <w:rPr>
                      <w:spacing w:val="7"/>
                      <w:sz w:val="21"/>
                      <w:szCs w:val="21"/>
                    </w:rPr>
                    <w:t>行政区域内引进能（水）</w:t>
                  </w:r>
                  <w:r>
                    <w:rPr>
                      <w:spacing w:val="8"/>
                      <w:sz w:val="21"/>
                      <w:szCs w:val="21"/>
                    </w:rPr>
                    <w:t>耗不符合相关国家标准</w:t>
                  </w:r>
                  <w:r>
                    <w:rPr>
                      <w:spacing w:val="6"/>
                      <w:sz w:val="21"/>
                      <w:szCs w:val="21"/>
                    </w:rPr>
                    <w:t>中准入值要求且污染物</w:t>
                  </w:r>
                  <w:r>
                    <w:rPr>
                      <w:spacing w:val="8"/>
                      <w:sz w:val="21"/>
                      <w:szCs w:val="21"/>
                    </w:rPr>
                    <w:t>排放和环境风险防控不符合国家（地方）标准及有关产业准入条件的高</w:t>
                  </w:r>
                  <w:r>
                    <w:rPr>
                      <w:spacing w:val="-1"/>
                      <w:sz w:val="21"/>
                      <w:szCs w:val="21"/>
                    </w:rPr>
                    <w:t>污染（排放）、高能（水）</w:t>
                  </w:r>
                  <w:r>
                    <w:rPr>
                      <w:spacing w:val="8"/>
                      <w:sz w:val="21"/>
                      <w:szCs w:val="21"/>
                    </w:rPr>
                    <w:t>耗、高环境风险的工业项</w:t>
                  </w:r>
                  <w:r>
                    <w:rPr>
                      <w:spacing w:val="-20"/>
                      <w:sz w:val="21"/>
                      <w:szCs w:val="21"/>
                    </w:rPr>
                    <w:t>目。</w:t>
                  </w:r>
                </w:p>
              </w:tc>
              <w:tc>
                <w:tcPr>
                  <w:tcW w:w="2043" w:type="pct"/>
                  <w:tcBorders>
                    <w:bottom w:val="nil"/>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符合。本项目不属于高</w:t>
                  </w:r>
                  <w:r>
                    <w:rPr>
                      <w:spacing w:val="-15"/>
                      <w:sz w:val="21"/>
                      <w:szCs w:val="21"/>
                    </w:rPr>
                    <w:t>污染（排放）、高能（水）</w:t>
                  </w:r>
                  <w:r>
                    <w:rPr>
                      <w:spacing w:val="8"/>
                      <w:sz w:val="21"/>
                      <w:szCs w:val="21"/>
                    </w:rPr>
                    <w:t>耗、高环境风险的工业</w:t>
                  </w:r>
                  <w:r>
                    <w:rPr>
                      <w:spacing w:val="2"/>
                      <w:sz w:val="21"/>
                      <w:szCs w:val="21"/>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153" w:type="pct"/>
                  <w:tcBorders>
                    <w:top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w:t>
                  </w:r>
                  <w:r>
                    <w:rPr>
                      <w:rFonts w:ascii="Times New Roman" w:hAnsi="Times New Roman" w:eastAsia="Times New Roman" w:cs="Times New Roman"/>
                      <w:spacing w:val="5"/>
                      <w:sz w:val="21"/>
                      <w:szCs w:val="21"/>
                    </w:rPr>
                    <w:t>A1.1-</w:t>
                  </w:r>
                  <w:r>
                    <w:rPr>
                      <w:rFonts w:hint="eastAsia" w:ascii="Times New Roman" w:hAnsi="Times New Roman" w:eastAsia="宋体" w:cs="Times New Roman"/>
                      <w:spacing w:val="5"/>
                      <w:sz w:val="21"/>
                      <w:szCs w:val="21"/>
                      <w:lang w:val="en-US" w:eastAsia="zh-CN"/>
                    </w:rPr>
                    <w:t>7</w:t>
                  </w:r>
                  <w:r>
                    <w:rPr>
                      <w:spacing w:val="5"/>
                      <w:sz w:val="21"/>
                      <w:szCs w:val="21"/>
                    </w:rPr>
                    <w:t>】</w:t>
                  </w:r>
                  <w:r>
                    <w:rPr>
                      <w:rFonts w:hint="eastAsia"/>
                      <w:spacing w:val="5"/>
                      <w:sz w:val="21"/>
                      <w:szCs w:val="21"/>
                      <w:lang w:val="en-US" w:eastAsia="zh-CN"/>
                    </w:rPr>
                    <w:t>①坚决遏制高耗能排放低水平</w:t>
                  </w:r>
                  <w:r>
                    <w:rPr>
                      <w:spacing w:val="8"/>
                      <w:sz w:val="21"/>
                      <w:szCs w:val="21"/>
                    </w:rPr>
                    <w:t>……</w:t>
                  </w:r>
                  <w:r>
                    <w:rPr>
                      <w:spacing w:val="9"/>
                      <w:sz w:val="21"/>
                      <w:szCs w:val="21"/>
                    </w:rPr>
                    <w:t>②重点行业企业纳入重</w:t>
                  </w:r>
                  <w:r>
                    <w:rPr>
                      <w:spacing w:val="8"/>
                      <w:sz w:val="21"/>
                      <w:szCs w:val="21"/>
                    </w:rPr>
                    <w:t>污染天气绩效分级……</w:t>
                  </w:r>
                </w:p>
              </w:tc>
              <w:tc>
                <w:tcPr>
                  <w:tcW w:w="2043" w:type="pct"/>
                  <w:tcBorders>
                    <w:top w:val="single" w:color="000000" w:sz="4" w:space="0"/>
                    <w:right w:val="single" w:color="000000" w:sz="4" w:space="0"/>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r>
                    <w:rPr>
                      <w:spacing w:val="8"/>
                      <w:sz w:val="21"/>
                      <w:szCs w:val="21"/>
                    </w:rPr>
                    <w:t>符合。本项目不属于高</w:t>
                  </w:r>
                  <w:r>
                    <w:rPr>
                      <w:spacing w:val="-15"/>
                      <w:sz w:val="21"/>
                      <w:szCs w:val="21"/>
                    </w:rPr>
                    <w:t>污染（排放）、高能（水）</w:t>
                  </w:r>
                  <w:r>
                    <w:rPr>
                      <w:spacing w:val="8"/>
                      <w:sz w:val="21"/>
                      <w:szCs w:val="21"/>
                    </w:rPr>
                    <w:t>耗、高环境风险的工业</w:t>
                  </w:r>
                  <w:r>
                    <w:rPr>
                      <w:spacing w:val="2"/>
                      <w:sz w:val="21"/>
                      <w:szCs w:val="21"/>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restart"/>
                  <w:tcBorders>
                    <w:bottom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A1</w:t>
                  </w:r>
                  <w:r>
                    <w:rPr>
                      <w:rFonts w:ascii="Times New Roman" w:hAnsi="Times New Roman" w:eastAsia="Times New Roman" w:cs="Times New Roman"/>
                      <w:spacing w:val="-5"/>
                      <w:sz w:val="21"/>
                      <w:szCs w:val="21"/>
                    </w:rPr>
                    <w:t>.2</w:t>
                  </w:r>
                  <w:r>
                    <w:rPr>
                      <w:rFonts w:ascii="Times New Roman" w:hAnsi="Times New Roman" w:eastAsia="Times New Roman" w:cs="Times New Roman"/>
                      <w:sz w:val="21"/>
                      <w:szCs w:val="21"/>
                    </w:rPr>
                    <w:t xml:space="preserve"> </w:t>
                  </w:r>
                  <w:r>
                    <w:rPr>
                      <w:sz w:val="21"/>
                      <w:szCs w:val="21"/>
                    </w:rPr>
                    <w:t>限制开发建</w:t>
                  </w:r>
                  <w:r>
                    <w:rPr>
                      <w:spacing w:val="-3"/>
                      <w:sz w:val="21"/>
                      <w:szCs w:val="21"/>
                    </w:rPr>
                    <w:t>设的活</w:t>
                  </w:r>
                  <w:r>
                    <w:rPr>
                      <w:sz w:val="21"/>
                      <w:szCs w:val="21"/>
                    </w:rPr>
                    <w:t>动</w:t>
                  </w: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A1.2-1</w:t>
                  </w:r>
                  <w:r>
                    <w:rPr>
                      <w:spacing w:val="7"/>
                      <w:sz w:val="21"/>
                      <w:szCs w:val="21"/>
                    </w:rPr>
                    <w:t>】严格控制缺水</w:t>
                  </w:r>
                  <w:r>
                    <w:rPr>
                      <w:spacing w:val="8"/>
                      <w:sz w:val="21"/>
                      <w:szCs w:val="21"/>
                    </w:rPr>
                    <w:t>地区、水污染严重区域和敏感区域高耗水高污染</w:t>
                  </w:r>
                  <w:r>
                    <w:rPr>
                      <w:spacing w:val="5"/>
                      <w:sz w:val="21"/>
                      <w:szCs w:val="21"/>
                    </w:rPr>
                    <w:t>行业发展。</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符合。本项目不属于高</w:t>
                  </w:r>
                  <w:r>
                    <w:rPr>
                      <w:spacing w:val="7"/>
                      <w:sz w:val="21"/>
                      <w:szCs w:val="21"/>
                    </w:rPr>
                    <w:t>耗水高污染行业。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continue"/>
                  <w:tcBorders>
                    <w:top w:val="nil"/>
                    <w:bottom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A1.2-2</w:t>
                  </w:r>
                  <w:r>
                    <w:rPr>
                      <w:spacing w:val="7"/>
                      <w:sz w:val="21"/>
                      <w:szCs w:val="21"/>
                    </w:rPr>
                    <w:t>】建设项目用地</w:t>
                  </w:r>
                  <w:r>
                    <w:rPr>
                      <w:spacing w:val="8"/>
                      <w:sz w:val="21"/>
                      <w:szCs w:val="21"/>
                    </w:rPr>
                    <w:t>原则上不得占用永久基本农田……</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符合。本项目不占用基</w:t>
                  </w:r>
                  <w:r>
                    <w:rPr>
                      <w:spacing w:val="4"/>
                      <w:sz w:val="21"/>
                      <w:szCs w:val="21"/>
                    </w:rPr>
                    <w:t>本农田。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continue"/>
                  <w:tcBorders>
                    <w:top w:val="nil"/>
                    <w:bottom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w:t>
                  </w:r>
                  <w:r>
                    <w:rPr>
                      <w:rFonts w:ascii="Times New Roman" w:hAnsi="Times New Roman" w:eastAsia="Times New Roman" w:cs="Times New Roman"/>
                      <w:spacing w:val="4"/>
                      <w:sz w:val="21"/>
                      <w:szCs w:val="21"/>
                    </w:rPr>
                    <w:t>A1.2-3</w:t>
                  </w:r>
                  <w:r>
                    <w:rPr>
                      <w:spacing w:val="4"/>
                      <w:sz w:val="21"/>
                      <w:szCs w:val="21"/>
                    </w:rPr>
                    <w:t>】</w:t>
                  </w:r>
                  <w:r>
                    <w:rPr>
                      <w:spacing w:val="-53"/>
                      <w:sz w:val="21"/>
                      <w:szCs w:val="21"/>
                    </w:rPr>
                    <w:t xml:space="preserve"> </w:t>
                  </w:r>
                  <w:r>
                    <w:rPr>
                      <w:spacing w:val="4"/>
                      <w:sz w:val="21"/>
                      <w:szCs w:val="21"/>
                    </w:rPr>
                    <w:t>以用途变更为</w:t>
                  </w:r>
                  <w:r>
                    <w:rPr>
                      <w:spacing w:val="8"/>
                      <w:sz w:val="21"/>
                      <w:szCs w:val="21"/>
                    </w:rPr>
                    <w:t>住宅、公共管理与公共服务用地的地块为重点，严格建设用地准入管理和风险管控，未依法完成土壤污染状况调查或风险评估的地块，不得开工建设与风险管控和修复无</w:t>
                  </w:r>
                  <w:r>
                    <w:rPr>
                      <w:spacing w:val="5"/>
                      <w:sz w:val="21"/>
                      <w:szCs w:val="21"/>
                    </w:rPr>
                    <w:t>关的项目。</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符合。本地块不涉及用</w:t>
                  </w:r>
                  <w:r>
                    <w:rPr>
                      <w:spacing w:val="7"/>
                      <w:sz w:val="21"/>
                      <w:szCs w:val="21"/>
                    </w:rPr>
                    <w:t>地性质变更等。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vMerge w:val="continue"/>
                  <w:tcBorders>
                    <w:top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A1.3-2</w:t>
                  </w:r>
                  <w:r>
                    <w:rPr>
                      <w:spacing w:val="7"/>
                      <w:sz w:val="21"/>
                      <w:szCs w:val="21"/>
                    </w:rPr>
                    <w:t>】对不符合国家</w:t>
                  </w:r>
                  <w:r>
                    <w:rPr>
                      <w:spacing w:val="8"/>
                      <w:sz w:val="21"/>
                      <w:szCs w:val="21"/>
                    </w:rPr>
                    <w:t>产业政策、严重污染水环境的生产项目全部予以</w:t>
                  </w:r>
                  <w:r>
                    <w:rPr>
                      <w:spacing w:val="2"/>
                      <w:sz w:val="21"/>
                      <w:szCs w:val="21"/>
                    </w:rPr>
                    <w:t>取缔。</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符合。本项目不涉及所列情形，营运期废水与</w:t>
                  </w:r>
                  <w:r>
                    <w:rPr>
                      <w:spacing w:val="18"/>
                      <w:sz w:val="21"/>
                      <w:szCs w:val="21"/>
                    </w:rPr>
                    <w:t>地表水无水力联系。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A1</w:t>
                  </w:r>
                  <w:r>
                    <w:rPr>
                      <w:rFonts w:ascii="Times New Roman" w:hAnsi="Times New Roman" w:eastAsia="Times New Roman" w:cs="Times New Roman"/>
                      <w:spacing w:val="-5"/>
                      <w:sz w:val="21"/>
                      <w:szCs w:val="21"/>
                    </w:rPr>
                    <w:t>.4</w:t>
                  </w:r>
                  <w:r>
                    <w:rPr>
                      <w:rFonts w:hint="eastAsia" w:eastAsia="宋体" w:cs="Times New Roman"/>
                      <w:spacing w:val="-5"/>
                      <w:sz w:val="21"/>
                      <w:szCs w:val="21"/>
                      <w:lang w:eastAsia="zh-CN"/>
                    </w:rPr>
                    <w:t>其他</w:t>
                  </w:r>
                  <w:r>
                    <w:rPr>
                      <w:sz w:val="21"/>
                      <w:szCs w:val="21"/>
                    </w:rPr>
                    <w:t>布局要求</w:t>
                  </w: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A1.4-1</w:t>
                  </w:r>
                  <w:r>
                    <w:rPr>
                      <w:spacing w:val="7"/>
                      <w:sz w:val="21"/>
                      <w:szCs w:val="21"/>
                    </w:rPr>
                    <w:t>】一切开发建设</w:t>
                  </w:r>
                  <w:r>
                    <w:rPr>
                      <w:spacing w:val="4"/>
                      <w:sz w:val="21"/>
                      <w:szCs w:val="21"/>
                    </w:rPr>
                    <w:t>活动应符合国家、</w:t>
                  </w:r>
                  <w:r>
                    <w:rPr>
                      <w:spacing w:val="-53"/>
                      <w:sz w:val="21"/>
                      <w:szCs w:val="21"/>
                    </w:rPr>
                    <w:t xml:space="preserve"> </w:t>
                  </w:r>
                  <w:r>
                    <w:rPr>
                      <w:spacing w:val="4"/>
                      <w:sz w:val="21"/>
                      <w:szCs w:val="21"/>
                    </w:rPr>
                    <w:t>自治区</w:t>
                  </w:r>
                  <w:r>
                    <w:rPr>
                      <w:spacing w:val="8"/>
                      <w:sz w:val="21"/>
                      <w:szCs w:val="21"/>
                    </w:rPr>
                    <w:t>主体功能区规划自治区和各地颁布实施的生态环境功能区划、国民经济发展规划、产业发展规划、国土空间规划等相关规划及重点生态功能区</w:t>
                  </w:r>
                  <w:r>
                    <w:rPr>
                      <w:spacing w:val="7"/>
                      <w:sz w:val="21"/>
                      <w:szCs w:val="21"/>
                    </w:rPr>
                    <w:t>负面清单要求，符合区域或产业规划环评要求。</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符合。本项目与自治区区域主体功能区划目标相协调，符合</w:t>
                  </w:r>
                  <w:r>
                    <w:rPr>
                      <w:rFonts w:hint="eastAsia"/>
                      <w:spacing w:val="8"/>
                      <w:sz w:val="21"/>
                      <w:szCs w:val="21"/>
                      <w:lang w:val="en-US" w:eastAsia="zh-CN"/>
                    </w:rPr>
                    <w:t>博湖</w:t>
                  </w:r>
                  <w:r>
                    <w:rPr>
                      <w:spacing w:val="8"/>
                      <w:sz w:val="21"/>
                      <w:szCs w:val="21"/>
                    </w:rPr>
                    <w:t>县国土空间总体规划要求。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z w:val="21"/>
                      <w:szCs w:val="21"/>
                    </w:rPr>
                    <w:t>2</w:t>
                  </w:r>
                  <w:r>
                    <w:rPr>
                      <w:sz w:val="21"/>
                      <w:szCs w:val="21"/>
                    </w:rPr>
                    <w:t>污染物排放管</w:t>
                  </w:r>
                  <w:r>
                    <w:rPr>
                      <w:spacing w:val="1"/>
                      <w:sz w:val="21"/>
                      <w:szCs w:val="21"/>
                    </w:rPr>
                    <w:t>控</w:t>
                  </w:r>
                </w:p>
              </w:tc>
              <w:tc>
                <w:tcPr>
                  <w:tcW w:w="414" w:type="pct"/>
                  <w:tcBorders>
                    <w:bottom w:val="single" w:color="000000" w:sz="4" w:space="0"/>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A2</w:t>
                  </w:r>
                  <w:r>
                    <w:rPr>
                      <w:rFonts w:ascii="Times New Roman" w:hAnsi="Times New Roman" w:eastAsia="Times New Roman" w:cs="Times New Roman"/>
                      <w:spacing w:val="-5"/>
                      <w:sz w:val="21"/>
                      <w:szCs w:val="21"/>
                    </w:rPr>
                    <w:t>.1</w:t>
                  </w:r>
                  <w:r>
                    <w:rPr>
                      <w:sz w:val="21"/>
                      <w:szCs w:val="21"/>
                    </w:rPr>
                    <w:t>污染物</w:t>
                  </w:r>
                  <w:r>
                    <w:rPr>
                      <w:spacing w:val="-13"/>
                      <w:sz w:val="21"/>
                      <w:szCs w:val="21"/>
                    </w:rPr>
                    <w:t>削</w:t>
                  </w:r>
                  <w:r>
                    <w:rPr>
                      <w:spacing w:val="1"/>
                      <w:sz w:val="21"/>
                      <w:szCs w:val="21"/>
                    </w:rPr>
                    <w:t>减</w:t>
                  </w:r>
                  <w:r>
                    <w:rPr>
                      <w:rFonts w:ascii="Times New Roman" w:hAnsi="Times New Roman" w:eastAsia="Times New Roman" w:cs="Times New Roman"/>
                      <w:spacing w:val="1"/>
                      <w:sz w:val="21"/>
                      <w:szCs w:val="21"/>
                    </w:rPr>
                    <w:t>/</w:t>
                  </w:r>
                  <w:r>
                    <w:rPr>
                      <w:spacing w:val="29"/>
                      <w:sz w:val="21"/>
                      <w:szCs w:val="21"/>
                    </w:rPr>
                    <w:t>替</w:t>
                  </w:r>
                  <w:r>
                    <w:rPr>
                      <w:spacing w:val="1"/>
                      <w:sz w:val="21"/>
                      <w:szCs w:val="21"/>
                    </w:rPr>
                    <w:t>代</w:t>
                  </w:r>
                  <w:r>
                    <w:rPr>
                      <w:sz w:val="21"/>
                      <w:szCs w:val="21"/>
                    </w:rPr>
                    <w:t>要求</w:t>
                  </w:r>
                </w:p>
              </w:tc>
              <w:tc>
                <w:tcPr>
                  <w:tcW w:w="2153" w:type="pct"/>
                  <w:tcBorders>
                    <w:bottom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both"/>
                    <w:textAlignment w:val="auto"/>
                    <w:rPr>
                      <w:sz w:val="21"/>
                      <w:szCs w:val="21"/>
                    </w:rPr>
                  </w:pPr>
                  <w:r>
                    <w:rPr>
                      <w:spacing w:val="5"/>
                      <w:sz w:val="21"/>
                      <w:szCs w:val="21"/>
                    </w:rPr>
                    <w:t>【</w:t>
                  </w:r>
                  <w:r>
                    <w:rPr>
                      <w:rFonts w:ascii="Times New Roman" w:hAnsi="Times New Roman" w:eastAsia="Times New Roman" w:cs="Times New Roman"/>
                      <w:spacing w:val="5"/>
                      <w:sz w:val="21"/>
                      <w:szCs w:val="21"/>
                    </w:rPr>
                    <w:t>A2.1-1</w:t>
                  </w:r>
                  <w:r>
                    <w:rPr>
                      <w:spacing w:val="5"/>
                      <w:sz w:val="21"/>
                      <w:szCs w:val="21"/>
                    </w:rPr>
                    <w:t>】新、改、扩建</w:t>
                  </w:r>
                  <w:r>
                    <w:rPr>
                      <w:spacing w:val="19"/>
                      <w:sz w:val="21"/>
                      <w:szCs w:val="21"/>
                    </w:rPr>
                    <w:t>重点行业建设项目应符</w:t>
                  </w:r>
                  <w:r>
                    <w:rPr>
                      <w:spacing w:val="5"/>
                      <w:sz w:val="21"/>
                      <w:szCs w:val="21"/>
                    </w:rPr>
                    <w:t>合“三线一单</w:t>
                  </w:r>
                  <w:r>
                    <w:rPr>
                      <w:spacing w:val="-63"/>
                      <w:sz w:val="21"/>
                      <w:szCs w:val="21"/>
                    </w:rPr>
                    <w:t xml:space="preserve"> </w:t>
                  </w:r>
                  <w:r>
                    <w:rPr>
                      <w:spacing w:val="5"/>
                      <w:sz w:val="21"/>
                      <w:szCs w:val="21"/>
                    </w:rPr>
                    <w:t>”、产业政</w:t>
                  </w:r>
                  <w:r>
                    <w:rPr>
                      <w:sz w:val="21"/>
                      <w:szCs w:val="21"/>
                    </w:rPr>
                    <w:t xml:space="preserve"> </w:t>
                  </w:r>
                  <w:r>
                    <w:rPr>
                      <w:spacing w:val="8"/>
                      <w:sz w:val="21"/>
                      <w:szCs w:val="21"/>
                    </w:rPr>
                    <w:t>策、区域环评、规划环评</w:t>
                  </w:r>
                  <w:r>
                    <w:rPr>
                      <w:spacing w:val="19"/>
                      <w:sz w:val="21"/>
                      <w:szCs w:val="21"/>
                    </w:rPr>
                    <w:t>和行业环境准入管控要</w:t>
                  </w:r>
                  <w:r>
                    <w:rPr>
                      <w:spacing w:val="10"/>
                      <w:sz w:val="21"/>
                      <w:szCs w:val="21"/>
                    </w:rPr>
                    <w:t>求。重点区域的新、改、</w:t>
                  </w:r>
                  <w:r>
                    <w:rPr>
                      <w:spacing w:val="3"/>
                      <w:sz w:val="21"/>
                      <w:szCs w:val="21"/>
                    </w:rPr>
                    <w:t xml:space="preserve"> </w:t>
                  </w:r>
                  <w:r>
                    <w:rPr>
                      <w:spacing w:val="19"/>
                      <w:sz w:val="21"/>
                      <w:szCs w:val="21"/>
                    </w:rPr>
                    <w:t>扩建重点行业建设项目应遵循重点重金属污染</w:t>
                  </w:r>
                  <w:r>
                    <w:rPr>
                      <w:spacing w:val="-6"/>
                      <w:sz w:val="21"/>
                      <w:szCs w:val="21"/>
                    </w:rPr>
                    <w:t>物排放“减量替代</w:t>
                  </w:r>
                  <w:r>
                    <w:rPr>
                      <w:spacing w:val="-63"/>
                      <w:sz w:val="21"/>
                      <w:szCs w:val="21"/>
                    </w:rPr>
                    <w:t xml:space="preserve"> </w:t>
                  </w:r>
                  <w:r>
                    <w:rPr>
                      <w:spacing w:val="-6"/>
                      <w:sz w:val="21"/>
                      <w:szCs w:val="21"/>
                    </w:rPr>
                    <w:t>”原则。</w:t>
                  </w:r>
                </w:p>
              </w:tc>
              <w:tc>
                <w:tcPr>
                  <w:tcW w:w="2043" w:type="pct"/>
                  <w:tcBorders>
                    <w:bottom w:val="single" w:color="000000" w:sz="4"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符合。本项目属于砼结构构件制造，不属于重</w:t>
                  </w:r>
                  <w:r>
                    <w:rPr>
                      <w:spacing w:val="6"/>
                      <w:sz w:val="21"/>
                      <w:szCs w:val="21"/>
                    </w:rPr>
                    <w:t>点行业建设项目。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tcBorders>
                    <w:top w:val="single" w:color="000000" w:sz="4" w:space="0"/>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A2</w:t>
                  </w:r>
                  <w:r>
                    <w:rPr>
                      <w:rFonts w:ascii="Times New Roman" w:hAnsi="Times New Roman" w:eastAsia="Times New Roman" w:cs="Times New Roman"/>
                      <w:spacing w:val="-5"/>
                      <w:sz w:val="21"/>
                      <w:szCs w:val="21"/>
                    </w:rPr>
                    <w:t>.2</w:t>
                  </w:r>
                  <w:r>
                    <w:rPr>
                      <w:sz w:val="21"/>
                      <w:szCs w:val="21"/>
                    </w:rPr>
                    <w:t>污染</w:t>
                  </w:r>
                  <w:r>
                    <w:rPr>
                      <w:spacing w:val="1"/>
                      <w:sz w:val="21"/>
                      <w:szCs w:val="21"/>
                    </w:rPr>
                    <w:t>控</w:t>
                  </w:r>
                  <w:r>
                    <w:rPr>
                      <w:sz w:val="21"/>
                      <w:szCs w:val="21"/>
                    </w:rPr>
                    <w:t>制措</w:t>
                  </w:r>
                  <w:r>
                    <w:rPr>
                      <w:spacing w:val="1"/>
                      <w:sz w:val="21"/>
                      <w:szCs w:val="21"/>
                    </w:rPr>
                    <w:t>施</w:t>
                  </w:r>
                  <w:r>
                    <w:rPr>
                      <w:sz w:val="21"/>
                      <w:szCs w:val="21"/>
                    </w:rPr>
                    <w:t>要求</w:t>
                  </w:r>
                </w:p>
              </w:tc>
              <w:tc>
                <w:tcPr>
                  <w:tcW w:w="2153" w:type="pct"/>
                  <w:tcBorders>
                    <w:top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A2.2-4</w:t>
                  </w:r>
                  <w:r>
                    <w:rPr>
                      <w:spacing w:val="7"/>
                      <w:sz w:val="21"/>
                      <w:szCs w:val="21"/>
                    </w:rPr>
                    <w:t>】强化用水定额</w:t>
                  </w:r>
                  <w:r>
                    <w:rPr>
                      <w:spacing w:val="8"/>
                      <w:sz w:val="21"/>
                      <w:szCs w:val="21"/>
                    </w:rPr>
                    <w:t>管理。推进地下水超采综合治理。开展河湖生态流量（水量）确定工作，强</w:t>
                  </w:r>
                  <w:r>
                    <w:rPr>
                      <w:spacing w:val="7"/>
                      <w:sz w:val="21"/>
                      <w:szCs w:val="21"/>
                    </w:rPr>
                    <w:t>化生态用水保障。</w:t>
                  </w:r>
                </w:p>
              </w:tc>
              <w:tc>
                <w:tcPr>
                  <w:tcW w:w="2043" w:type="pct"/>
                  <w:tcBorders>
                    <w:top w:val="single" w:color="000000" w:sz="4"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符合。本项目已接入</w:t>
                  </w:r>
                  <w:r>
                    <w:rPr>
                      <w:rFonts w:hint="eastAsia"/>
                      <w:spacing w:val="8"/>
                      <w:sz w:val="21"/>
                      <w:szCs w:val="21"/>
                      <w:lang w:val="en-US" w:eastAsia="zh-CN"/>
                    </w:rPr>
                    <w:t>博湖</w:t>
                  </w:r>
                  <w:r>
                    <w:rPr>
                      <w:spacing w:val="8"/>
                      <w:sz w:val="21"/>
                      <w:szCs w:val="21"/>
                    </w:rPr>
                    <w:t>县给水管网，不涉及地下水开采及地表水体</w:t>
                  </w:r>
                  <w:r>
                    <w:rPr>
                      <w:spacing w:val="2"/>
                      <w:sz w:val="21"/>
                      <w:szCs w:val="21"/>
                    </w:rPr>
                    <w:t>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z w:val="21"/>
                      <w:szCs w:val="21"/>
                    </w:rPr>
                    <w:t>3</w:t>
                  </w:r>
                  <w:r>
                    <w:rPr>
                      <w:sz w:val="21"/>
                      <w:szCs w:val="21"/>
                    </w:rPr>
                    <w:t>环境风险防</w:t>
                  </w:r>
                  <w:r>
                    <w:rPr>
                      <w:spacing w:val="1"/>
                      <w:sz w:val="21"/>
                      <w:szCs w:val="21"/>
                    </w:rPr>
                    <w:t>控</w:t>
                  </w:r>
                </w:p>
              </w:tc>
              <w:tc>
                <w:tcPr>
                  <w:tcW w:w="414" w:type="pc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A3</w:t>
                  </w:r>
                  <w:r>
                    <w:rPr>
                      <w:rFonts w:ascii="Times New Roman" w:hAnsi="Times New Roman" w:eastAsia="Times New Roman" w:cs="Times New Roman"/>
                      <w:spacing w:val="-5"/>
                      <w:sz w:val="21"/>
                      <w:szCs w:val="21"/>
                    </w:rPr>
                    <w:t>.2</w:t>
                  </w:r>
                  <w:r>
                    <w:rPr>
                      <w:sz w:val="21"/>
                      <w:szCs w:val="21"/>
                    </w:rPr>
                    <w:t>联防联</w:t>
                  </w:r>
                  <w:r>
                    <w:rPr>
                      <w:spacing w:val="1"/>
                      <w:sz w:val="21"/>
                      <w:szCs w:val="21"/>
                    </w:rPr>
                    <w:t>控</w:t>
                  </w:r>
                  <w:r>
                    <w:rPr>
                      <w:sz w:val="21"/>
                      <w:szCs w:val="21"/>
                    </w:rPr>
                    <w:t>要求</w:t>
                  </w: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A3.2-4</w:t>
                  </w:r>
                  <w:r>
                    <w:rPr>
                      <w:spacing w:val="7"/>
                      <w:sz w:val="21"/>
                      <w:szCs w:val="21"/>
                    </w:rPr>
                    <w:t>】加强环境风险</w:t>
                  </w:r>
                  <w:r>
                    <w:rPr>
                      <w:spacing w:val="8"/>
                      <w:sz w:val="21"/>
                      <w:szCs w:val="21"/>
                    </w:rPr>
                    <w:t>预警防控。加强涉危险物企业、涉重金属企业、化工园区、集中式饮用水水</w:t>
                  </w:r>
                  <w:r>
                    <w:rPr>
                      <w:spacing w:val="9"/>
                      <w:sz w:val="21"/>
                      <w:szCs w:val="21"/>
                    </w:rPr>
                    <w:t>源地及重点流域环境风</w:t>
                  </w:r>
                  <w:r>
                    <w:rPr>
                      <w:spacing w:val="7"/>
                      <w:sz w:val="21"/>
                      <w:szCs w:val="21"/>
                    </w:rPr>
                    <w:t>险调查评估，实施分类分</w:t>
                  </w:r>
                  <w:r>
                    <w:rPr>
                      <w:spacing w:val="8"/>
                      <w:sz w:val="21"/>
                      <w:szCs w:val="21"/>
                    </w:rPr>
                    <w:t>级风险管控，协同推进重</w:t>
                  </w:r>
                  <w:r>
                    <w:rPr>
                      <w:spacing w:val="7"/>
                      <w:sz w:val="21"/>
                      <w:szCs w:val="21"/>
                    </w:rPr>
                    <w:t>点区域、流域生态环境污</w:t>
                  </w:r>
                  <w:r>
                    <w:rPr>
                      <w:spacing w:val="8"/>
                      <w:sz w:val="21"/>
                      <w:szCs w:val="21"/>
                    </w:rPr>
                    <w:t>染综合防治、风险防控与</w:t>
                  </w:r>
                  <w:r>
                    <w:rPr>
                      <w:spacing w:val="5"/>
                      <w:sz w:val="21"/>
                      <w:szCs w:val="21"/>
                    </w:rPr>
                    <w:t>生态修复。</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符合。本项目环境风险</w:t>
                  </w:r>
                  <w:r>
                    <w:rPr>
                      <w:spacing w:val="9"/>
                      <w:sz w:val="21"/>
                      <w:szCs w:val="21"/>
                    </w:rPr>
                    <w:t>程度较低，本环评已针对营运期风险事件提出</w:t>
                  </w:r>
                  <w:r>
                    <w:rPr>
                      <w:spacing w:val="7"/>
                      <w:sz w:val="21"/>
                      <w:szCs w:val="21"/>
                    </w:rPr>
                    <w:t>防范措施，本环评建设</w:t>
                  </w:r>
                  <w:r>
                    <w:rPr>
                      <w:spacing w:val="6"/>
                      <w:sz w:val="21"/>
                      <w:szCs w:val="21"/>
                    </w:rPr>
                    <w:t>内容纳入环境应急预案</w:t>
                  </w:r>
                  <w:r>
                    <w:rPr>
                      <w:spacing w:val="8"/>
                      <w:sz w:val="21"/>
                      <w:szCs w:val="21"/>
                    </w:rPr>
                    <w:t>风险评估，营运期定期按照应急预案内容进行应急演练，逐步提高应</w:t>
                  </w:r>
                  <w:r>
                    <w:rPr>
                      <w:spacing w:val="7"/>
                      <w:sz w:val="21"/>
                      <w:szCs w:val="21"/>
                    </w:rPr>
                    <w:t>急演练范围与级别。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w:t>
                  </w:r>
                  <w:r>
                    <w:rPr>
                      <w:rFonts w:ascii="Times New Roman" w:hAnsi="Times New Roman" w:eastAsia="Times New Roman" w:cs="Times New Roman"/>
                      <w:spacing w:val="1"/>
                      <w:sz w:val="21"/>
                      <w:szCs w:val="21"/>
                    </w:rPr>
                    <w:t>4</w:t>
                  </w:r>
                  <w:r>
                    <w:rPr>
                      <w:sz w:val="21"/>
                      <w:szCs w:val="21"/>
                    </w:rPr>
                    <w:t>资</w:t>
                  </w:r>
                  <w:r>
                    <w:rPr>
                      <w:spacing w:val="1"/>
                      <w:sz w:val="21"/>
                      <w:szCs w:val="21"/>
                    </w:rPr>
                    <w:t>源</w:t>
                  </w:r>
                  <w:r>
                    <w:rPr>
                      <w:sz w:val="21"/>
                      <w:szCs w:val="21"/>
                    </w:rPr>
                    <w:t>利用要求</w:t>
                  </w:r>
                </w:p>
              </w:tc>
              <w:tc>
                <w:tcPr>
                  <w:tcW w:w="414" w:type="pc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A4</w:t>
                  </w:r>
                  <w:r>
                    <w:rPr>
                      <w:rFonts w:ascii="Times New Roman" w:hAnsi="Times New Roman" w:eastAsia="Times New Roman" w:cs="Times New Roman"/>
                      <w:spacing w:val="-5"/>
                      <w:sz w:val="21"/>
                      <w:szCs w:val="21"/>
                    </w:rPr>
                    <w:t>.2</w:t>
                  </w:r>
                  <w:r>
                    <w:rPr>
                      <w:sz w:val="21"/>
                      <w:szCs w:val="21"/>
                    </w:rPr>
                    <w:t>土地资</w:t>
                  </w:r>
                  <w:r>
                    <w:rPr>
                      <w:spacing w:val="1"/>
                      <w:sz w:val="21"/>
                      <w:szCs w:val="21"/>
                    </w:rPr>
                    <w:t>源</w:t>
                  </w:r>
                </w:p>
              </w:tc>
              <w:tc>
                <w:tcPr>
                  <w:tcW w:w="2153" w:type="pct"/>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A4.2-1</w:t>
                  </w:r>
                  <w:r>
                    <w:rPr>
                      <w:spacing w:val="7"/>
                      <w:sz w:val="21"/>
                      <w:szCs w:val="21"/>
                    </w:rPr>
                    <w:t>】土地资源</w:t>
                  </w:r>
                  <w:r>
                    <w:rPr>
                      <w:rFonts w:hint="eastAsia"/>
                      <w:spacing w:val="7"/>
                      <w:sz w:val="21"/>
                      <w:szCs w:val="21"/>
                      <w:lang w:eastAsia="zh-CN"/>
                    </w:rPr>
                    <w:t>上限</w:t>
                  </w:r>
                  <w:r>
                    <w:rPr>
                      <w:spacing w:val="8"/>
                      <w:sz w:val="21"/>
                      <w:szCs w:val="21"/>
                    </w:rPr>
                    <w:t>指标控制在最终批复的</w:t>
                  </w:r>
                  <w:r>
                    <w:rPr>
                      <w:spacing w:val="6"/>
                      <w:sz w:val="21"/>
                      <w:szCs w:val="21"/>
                    </w:rPr>
                    <w:t>国土空间规划控制指标</w:t>
                  </w:r>
                  <w:r>
                    <w:rPr>
                      <w:spacing w:val="-13"/>
                      <w:sz w:val="21"/>
                      <w:szCs w:val="21"/>
                    </w:rPr>
                    <w:t>内。</w:t>
                  </w:r>
                </w:p>
              </w:tc>
              <w:tc>
                <w:tcPr>
                  <w:tcW w:w="2043" w:type="pct"/>
                  <w:tcBorders>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符合。本项目</w:t>
                  </w:r>
                  <w:r>
                    <w:rPr>
                      <w:spacing w:val="2"/>
                      <w:sz w:val="21"/>
                      <w:szCs w:val="21"/>
                    </w:rPr>
                    <w:t>已</w:t>
                  </w:r>
                  <w:r>
                    <w:rPr>
                      <w:spacing w:val="-1"/>
                      <w:sz w:val="21"/>
                      <w:szCs w:val="21"/>
                    </w:rPr>
                    <w:t>取得</w:t>
                  </w:r>
                  <w:r>
                    <w:rPr>
                      <w:rFonts w:hint="eastAsia"/>
                      <w:spacing w:val="-1"/>
                      <w:sz w:val="21"/>
                      <w:szCs w:val="21"/>
                      <w:lang w:val="en-US" w:eastAsia="zh-CN"/>
                    </w:rPr>
                    <w:t>建设</w:t>
                  </w:r>
                  <w:r>
                    <w:rPr>
                      <w:spacing w:val="-1"/>
                      <w:sz w:val="21"/>
                      <w:szCs w:val="21"/>
                    </w:rPr>
                    <w:t>用地规</w:t>
                  </w:r>
                  <w:r>
                    <w:rPr>
                      <w:spacing w:val="6"/>
                      <w:sz w:val="21"/>
                      <w:szCs w:val="21"/>
                    </w:rPr>
                    <w:t>划许可证。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9" w:type="pct"/>
                  <w:vMerge w:val="continue"/>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Arial"/>
                      <w:sz w:val="21"/>
                      <w:szCs w:val="21"/>
                    </w:rPr>
                  </w:pPr>
                </w:p>
              </w:tc>
              <w:tc>
                <w:tcPr>
                  <w:tcW w:w="414" w:type="pc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rFonts w:ascii="Times New Roman" w:hAnsi="Times New Roman" w:eastAsia="Times New Roman" w:cs="Times New Roman"/>
                      <w:spacing w:val="4"/>
                      <w:sz w:val="21"/>
                      <w:szCs w:val="21"/>
                    </w:rPr>
                    <w:t>A4</w:t>
                  </w:r>
                  <w:r>
                    <w:rPr>
                      <w:rFonts w:ascii="Times New Roman" w:hAnsi="Times New Roman" w:eastAsia="Times New Roman" w:cs="Times New Roman"/>
                      <w:spacing w:val="-5"/>
                      <w:sz w:val="21"/>
                      <w:szCs w:val="21"/>
                    </w:rPr>
                    <w:t>.5</w:t>
                  </w:r>
                  <w:r>
                    <w:rPr>
                      <w:sz w:val="21"/>
                      <w:szCs w:val="21"/>
                    </w:rPr>
                    <w:t>资</w:t>
                  </w:r>
                  <w:r>
                    <w:rPr>
                      <w:spacing w:val="1"/>
                      <w:sz w:val="21"/>
                      <w:szCs w:val="21"/>
                    </w:rPr>
                    <w:t>源</w:t>
                  </w:r>
                  <w:r>
                    <w:rPr>
                      <w:sz w:val="21"/>
                      <w:szCs w:val="21"/>
                    </w:rPr>
                    <w:t>综合</w:t>
                  </w:r>
                </w:p>
              </w:tc>
              <w:tc>
                <w:tcPr>
                  <w:tcW w:w="2153" w:type="pct"/>
                  <w:tcBorders>
                    <w:bottom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w:t>
                  </w:r>
                  <w:r>
                    <w:rPr>
                      <w:rFonts w:ascii="Times New Roman" w:hAnsi="Times New Roman" w:eastAsia="Times New Roman" w:cs="Times New Roman"/>
                      <w:spacing w:val="7"/>
                      <w:sz w:val="21"/>
                      <w:szCs w:val="21"/>
                    </w:rPr>
                    <w:t>A4.5-1</w:t>
                  </w:r>
                  <w:r>
                    <w:rPr>
                      <w:spacing w:val="7"/>
                      <w:sz w:val="21"/>
                      <w:szCs w:val="21"/>
                    </w:rPr>
                    <w:t>】加强固体废物</w:t>
                  </w:r>
                  <w:r>
                    <w:rPr>
                      <w:spacing w:val="8"/>
                      <w:sz w:val="21"/>
                      <w:szCs w:val="21"/>
                    </w:rPr>
                    <w:t>源头减量、资源化利用和无害化处置，最大限度减少填埋量。推进工业固体废物精细化、名录化环境管理，促进大宗工业固废综合利用、主要农业废弃物全量利用。加快构建废</w:t>
                  </w:r>
                  <w:r>
                    <w:rPr>
                      <w:spacing w:val="6"/>
                      <w:sz w:val="21"/>
                      <w:szCs w:val="21"/>
                    </w:rPr>
                    <w:t>旧物资回收和循环利用</w:t>
                  </w:r>
                  <w:r>
                    <w:rPr>
                      <w:spacing w:val="8"/>
                      <w:sz w:val="21"/>
                      <w:szCs w:val="21"/>
                    </w:rPr>
                    <w:t>体系，健全强制报废制度和废旧家电、消费电子等耐用消费品回收处理体系，推行生产企业“逆向</w:t>
                  </w:r>
                  <w:r>
                    <w:rPr>
                      <w:spacing w:val="4"/>
                      <w:sz w:val="21"/>
                      <w:szCs w:val="21"/>
                    </w:rPr>
                    <w:t>回收</w:t>
                  </w:r>
                  <w:r>
                    <w:rPr>
                      <w:spacing w:val="-70"/>
                      <w:sz w:val="21"/>
                      <w:szCs w:val="21"/>
                    </w:rPr>
                    <w:t xml:space="preserve"> </w:t>
                  </w:r>
                  <w:r>
                    <w:rPr>
                      <w:spacing w:val="4"/>
                      <w:sz w:val="21"/>
                      <w:szCs w:val="21"/>
                    </w:rPr>
                    <w:t>”模式。以尾矿和共</w:t>
                  </w:r>
                  <w:r>
                    <w:rPr>
                      <w:spacing w:val="7"/>
                      <w:sz w:val="21"/>
                      <w:szCs w:val="21"/>
                    </w:rPr>
                    <w:t>伴生矿、煤矸石、炉渣、</w:t>
                  </w:r>
                  <w:r>
                    <w:rPr>
                      <w:spacing w:val="8"/>
                      <w:sz w:val="21"/>
                      <w:szCs w:val="21"/>
                    </w:rPr>
                    <w:t>粉煤灰、脱硫石膏、冶炼渣、建筑垃圾等为重点，持续推进固体废物综合利用和环境整治不断提高大宗固体废物资源化利用水平。推行生活垃圾</w:t>
                  </w:r>
                  <w:r>
                    <w:rPr>
                      <w:spacing w:val="7"/>
                      <w:sz w:val="21"/>
                      <w:szCs w:val="21"/>
                    </w:rPr>
                    <w:t>分类，加快建设县</w:t>
                  </w:r>
                  <w:r>
                    <w:rPr>
                      <w:rFonts w:hint="eastAsia"/>
                      <w:spacing w:val="7"/>
                      <w:sz w:val="21"/>
                      <w:szCs w:val="21"/>
                      <w:lang w:eastAsia="zh-CN"/>
                    </w:rPr>
                    <w:t>（</w:t>
                  </w:r>
                  <w:r>
                    <w:rPr>
                      <w:spacing w:val="7"/>
                      <w:sz w:val="21"/>
                      <w:szCs w:val="21"/>
                    </w:rPr>
                    <w:t>市</w:t>
                  </w:r>
                  <w:r>
                    <w:rPr>
                      <w:rFonts w:hint="eastAsia"/>
                      <w:spacing w:val="7"/>
                      <w:sz w:val="21"/>
                      <w:szCs w:val="21"/>
                      <w:lang w:eastAsia="zh-CN"/>
                    </w:rPr>
                    <w:t>）</w:t>
                  </w:r>
                  <w:r>
                    <w:rPr>
                      <w:spacing w:val="7"/>
                      <w:sz w:val="21"/>
                      <w:szCs w:val="21"/>
                    </w:rPr>
                    <w:t>生</w:t>
                  </w:r>
                  <w:r>
                    <w:rPr>
                      <w:spacing w:val="2"/>
                      <w:sz w:val="21"/>
                      <w:szCs w:val="21"/>
                    </w:rPr>
                    <w:t>活垃圾处理设施，到</w:t>
                  </w:r>
                  <w:r>
                    <w:rPr>
                      <w:rFonts w:ascii="Times New Roman" w:hAnsi="Times New Roman" w:eastAsia="Times New Roman" w:cs="Times New Roman"/>
                      <w:spacing w:val="2"/>
                      <w:sz w:val="21"/>
                      <w:szCs w:val="21"/>
                    </w:rPr>
                    <w:t>2025</w:t>
                  </w:r>
                  <w:r>
                    <w:rPr>
                      <w:spacing w:val="8"/>
                      <w:sz w:val="21"/>
                      <w:szCs w:val="21"/>
                    </w:rPr>
                    <w:t>年，全疆城市生活垃圾无</w:t>
                  </w:r>
                  <w:r>
                    <w:rPr>
                      <w:spacing w:val="12"/>
                      <w:sz w:val="21"/>
                      <w:szCs w:val="21"/>
                    </w:rPr>
                    <w:t>害化处理率达到</w:t>
                  </w:r>
                  <w:r>
                    <w:rPr>
                      <w:rFonts w:ascii="Times New Roman" w:hAnsi="Times New Roman" w:eastAsia="Times New Roman" w:cs="Times New Roman"/>
                      <w:spacing w:val="12"/>
                      <w:sz w:val="21"/>
                      <w:szCs w:val="21"/>
                    </w:rPr>
                    <w:t>99%</w:t>
                  </w:r>
                  <w:r>
                    <w:rPr>
                      <w:spacing w:val="12"/>
                      <w:sz w:val="21"/>
                      <w:szCs w:val="21"/>
                    </w:rPr>
                    <w:t>以</w:t>
                  </w:r>
                  <w:r>
                    <w:rPr>
                      <w:spacing w:val="-1"/>
                      <w:sz w:val="21"/>
                      <w:szCs w:val="21"/>
                    </w:rPr>
                    <w:t>上。</w:t>
                  </w:r>
                </w:p>
              </w:tc>
              <w:tc>
                <w:tcPr>
                  <w:tcW w:w="2043" w:type="pct"/>
                  <w:tcBorders>
                    <w:bottom w:val="single" w:color="000000" w:sz="4" w:space="0"/>
                    <w:right w:val="single" w:color="000000" w:sz="4" w:space="0"/>
                  </w:tcBorders>
                  <w:tcMar>
                    <w:top w:w="0" w:type="dxa"/>
                    <w:left w:w="57" w:type="dxa"/>
                    <w:bottom w:w="0" w:type="dxa"/>
                    <w:right w:w="57" w:type="dxa"/>
                  </w:tcMar>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8"/>
                      <w:sz w:val="21"/>
                      <w:szCs w:val="21"/>
                    </w:rPr>
                    <w:t>符合。本项目营运期除尘灰回用于生产工序</w:t>
                  </w:r>
                  <w:r>
                    <w:rPr>
                      <w:rFonts w:hint="eastAsia"/>
                      <w:spacing w:val="8"/>
                      <w:sz w:val="21"/>
                      <w:szCs w:val="21"/>
                      <w:lang w:eastAsia="zh-CN"/>
                    </w:rPr>
                    <w:t>；</w:t>
                  </w:r>
                  <w:r>
                    <w:rPr>
                      <w:rFonts w:hint="eastAsia"/>
                      <w:spacing w:val="8"/>
                      <w:sz w:val="21"/>
                      <w:szCs w:val="21"/>
                      <w:lang w:val="en-US" w:eastAsia="zh-CN"/>
                    </w:rPr>
                    <w:t>废模具外售钢铁回收单位</w:t>
                  </w:r>
                  <w:r>
                    <w:rPr>
                      <w:spacing w:val="7"/>
                      <w:sz w:val="21"/>
                      <w:szCs w:val="21"/>
                    </w:rPr>
                    <w:t>；</w:t>
                  </w:r>
                  <w:r>
                    <w:rPr>
                      <w:spacing w:val="8"/>
                      <w:sz w:val="21"/>
                      <w:szCs w:val="21"/>
                    </w:rPr>
                    <w:t>不合格产品场内暂存后</w:t>
                  </w:r>
                  <w:r>
                    <w:rPr>
                      <w:rFonts w:hint="eastAsia"/>
                      <w:spacing w:val="8"/>
                      <w:sz w:val="21"/>
                      <w:szCs w:val="21"/>
                      <w:lang w:val="en-US" w:eastAsia="zh-CN"/>
                    </w:rPr>
                    <w:t>外售路基填筑材料综合利用</w:t>
                  </w:r>
                  <w:r>
                    <w:rPr>
                      <w:rFonts w:hint="eastAsia"/>
                      <w:spacing w:val="8"/>
                      <w:sz w:val="21"/>
                      <w:szCs w:val="21"/>
                      <w:lang w:eastAsia="zh-CN"/>
                    </w:rPr>
                    <w:t>；</w:t>
                  </w:r>
                  <w:r>
                    <w:rPr>
                      <w:rFonts w:hint="eastAsia"/>
                      <w:spacing w:val="8"/>
                      <w:sz w:val="21"/>
                      <w:szCs w:val="21"/>
                      <w:lang w:val="en-US" w:eastAsia="zh-CN"/>
                    </w:rPr>
                    <w:t>废包装桶经集中收集后外售资源回收单位综合利用；废液压油、废手套、废抹布</w:t>
                  </w:r>
                  <w:r>
                    <w:rPr>
                      <w:spacing w:val="8"/>
                      <w:sz w:val="21"/>
                      <w:szCs w:val="21"/>
                    </w:rPr>
                    <w:t>暂存至</w:t>
                  </w:r>
                  <w:r>
                    <w:rPr>
                      <w:rFonts w:hint="eastAsia"/>
                      <w:spacing w:val="8"/>
                      <w:sz w:val="21"/>
                      <w:szCs w:val="21"/>
                      <w:lang w:val="en-US" w:eastAsia="zh-CN"/>
                    </w:rPr>
                    <w:t>危废贮存点</w:t>
                  </w:r>
                  <w:r>
                    <w:rPr>
                      <w:spacing w:val="8"/>
                      <w:sz w:val="21"/>
                      <w:szCs w:val="21"/>
                    </w:rPr>
                    <w:t>由有资质单位处置。各类固体废物去向合理，生产固废</w:t>
                  </w:r>
                  <w:r>
                    <w:rPr>
                      <w:spacing w:val="6"/>
                      <w:sz w:val="21"/>
                      <w:szCs w:val="21"/>
                    </w:rPr>
                    <w:t>已落实“</w:t>
                  </w:r>
                  <w:r>
                    <w:rPr>
                      <w:rFonts w:hint="eastAsia"/>
                      <w:spacing w:val="6"/>
                      <w:sz w:val="21"/>
                      <w:szCs w:val="21"/>
                      <w:lang w:val="en-US" w:eastAsia="zh-CN"/>
                    </w:rPr>
                    <w:t>减量化、资源化、无害化</w:t>
                  </w:r>
                  <w:r>
                    <w:rPr>
                      <w:spacing w:val="-73"/>
                      <w:sz w:val="21"/>
                      <w:szCs w:val="21"/>
                    </w:rPr>
                    <w:t xml:space="preserve"> </w:t>
                  </w:r>
                  <w:r>
                    <w:rPr>
                      <w:spacing w:val="3"/>
                      <w:sz w:val="21"/>
                      <w:szCs w:val="21"/>
                    </w:rPr>
                    <w:t>”处置原则。</w:t>
                  </w:r>
                </w:p>
              </w:tc>
            </w:tr>
          </w:tbl>
          <w:p>
            <w:pPr>
              <w:pStyle w:val="56"/>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ascii="宋体" w:hAnsi="宋体" w:eastAsia="宋体" w:cs="宋体"/>
                <w:color w:val="auto"/>
                <w:sz w:val="24"/>
                <w:lang w:val="en-US" w:eastAsia="zh-CN" w:bidi="zh-CN"/>
              </w:rPr>
            </w:pPr>
            <w:r>
              <w:rPr>
                <w:rFonts w:hint="eastAsia" w:cs="宋体"/>
                <w:color w:val="auto"/>
                <w:sz w:val="24"/>
                <w:lang w:val="en-US" w:eastAsia="zh-CN" w:bidi="zh-CN"/>
              </w:rPr>
              <w:t>由此可见</w:t>
            </w:r>
            <w:r>
              <w:rPr>
                <w:rFonts w:hint="default" w:ascii="宋体" w:hAnsi="宋体" w:eastAsia="宋体" w:cs="宋体"/>
                <w:color w:val="auto"/>
                <w:sz w:val="24"/>
                <w:lang w:val="en-US" w:eastAsia="zh-CN" w:bidi="zh-CN"/>
              </w:rPr>
              <w:t>，项目</w:t>
            </w:r>
            <w:r>
              <w:rPr>
                <w:rFonts w:hint="eastAsia" w:cs="宋体"/>
                <w:color w:val="auto"/>
                <w:sz w:val="24"/>
                <w:lang w:val="en-US" w:eastAsia="zh-CN" w:bidi="zh-CN"/>
              </w:rPr>
              <w:t>建设</w:t>
            </w:r>
            <w:r>
              <w:rPr>
                <w:rFonts w:hint="default" w:ascii="宋体" w:hAnsi="宋体" w:eastAsia="宋体" w:cs="宋体"/>
                <w:color w:val="auto"/>
                <w:sz w:val="24"/>
                <w:lang w:val="en-US" w:eastAsia="zh-CN" w:bidi="zh-CN"/>
              </w:rPr>
              <w:t>符合《新疆维吾尔自治区生态环境分区管控动态更新成果》的要求。</w:t>
            </w:r>
          </w:p>
          <w:p>
            <w:pPr>
              <w:pStyle w:val="44"/>
              <w:bidi w:val="0"/>
              <w:rPr>
                <w:rFonts w:hint="default" w:ascii="Times New Roman" w:hAnsi="Times New Roman" w:cs="Times New Roman"/>
                <w:b/>
                <w:bCs/>
                <w:highlight w:val="none"/>
              </w:rPr>
            </w:pPr>
            <w:r>
              <w:rPr>
                <w:rFonts w:hint="eastAsia" w:cs="Times New Roman"/>
                <w:b/>
                <w:bCs/>
                <w:highlight w:val="none"/>
                <w:lang w:val="en-US" w:eastAsia="zh-CN"/>
              </w:rPr>
              <w:t>6</w:t>
            </w:r>
            <w:r>
              <w:rPr>
                <w:rFonts w:hint="default" w:ascii="Times New Roman" w:hAnsi="Times New Roman" w:cs="Times New Roman"/>
                <w:b/>
                <w:bCs/>
                <w:highlight w:val="none"/>
                <w:lang w:val="en-US" w:eastAsia="zh-CN"/>
              </w:rPr>
              <w:t>.</w:t>
            </w:r>
            <w:r>
              <w:rPr>
                <w:rFonts w:hint="default" w:ascii="Times New Roman" w:hAnsi="Times New Roman" w:cs="Times New Roman"/>
                <w:b/>
                <w:bCs/>
                <w:highlight w:val="none"/>
              </w:rPr>
              <w:t>与</w:t>
            </w:r>
            <w:r>
              <w:rPr>
                <w:rFonts w:hint="default" w:ascii="Times New Roman" w:hAnsi="Times New Roman" w:cs="Times New Roman"/>
                <w:b/>
                <w:bCs/>
                <w:highlight w:val="none"/>
                <w:lang w:val="zh-TW" w:eastAsia="zh-CN"/>
              </w:rPr>
              <w:t>《关于印发巴音郭楞蒙古自治州“三线一单”生态环境分区管控动态更新成果（2023年）的通知》</w:t>
            </w:r>
            <w:r>
              <w:rPr>
                <w:rFonts w:hint="default" w:ascii="Times New Roman" w:hAnsi="Times New Roman" w:cs="Times New Roman"/>
                <w:b/>
                <w:bCs/>
                <w:highlight w:val="none"/>
              </w:rPr>
              <w:t>的符合性分析</w:t>
            </w:r>
          </w:p>
          <w:p>
            <w:pPr>
              <w:pStyle w:val="7"/>
              <w:bidi w:val="0"/>
              <w:rPr>
                <w:rFonts w:hint="default"/>
                <w:lang w:val="zh-TW" w:eastAsia="zh-CN"/>
              </w:rPr>
            </w:pPr>
            <w:r>
              <w:rPr>
                <w:rFonts w:hint="default"/>
                <w:lang w:val="zh-TW" w:eastAsia="zh-CN"/>
              </w:rPr>
              <w:t>根据《关于印发巴音郭楞蒙古自治州</w:t>
            </w:r>
            <w:r>
              <w:rPr>
                <w:rFonts w:hint="eastAsia"/>
                <w:lang w:val="zh-TW" w:eastAsia="zh-CN"/>
              </w:rPr>
              <w:t>“</w:t>
            </w:r>
            <w:r>
              <w:rPr>
                <w:rFonts w:hint="default"/>
                <w:lang w:val="zh-TW" w:eastAsia="zh-CN"/>
              </w:rPr>
              <w:t>三线一单</w:t>
            </w:r>
            <w:r>
              <w:rPr>
                <w:rFonts w:hint="eastAsia"/>
                <w:lang w:val="zh-TW" w:eastAsia="zh-CN"/>
              </w:rPr>
              <w:t>”</w:t>
            </w:r>
            <w:r>
              <w:rPr>
                <w:rFonts w:hint="default"/>
                <w:lang w:val="zh-TW" w:eastAsia="zh-CN"/>
              </w:rPr>
              <w:t>生态环境分区管控动态更新成果（2023年）的通知》（巴政办发〔2024〕32号）以及新疆维吾尔自治区</w:t>
            </w:r>
            <w:r>
              <w:rPr>
                <w:rFonts w:hint="eastAsia"/>
                <w:lang w:val="zh-TW" w:eastAsia="zh-CN"/>
              </w:rPr>
              <w:t>“</w:t>
            </w:r>
            <w:r>
              <w:rPr>
                <w:rFonts w:hint="default"/>
                <w:lang w:val="zh-TW" w:eastAsia="zh-CN"/>
              </w:rPr>
              <w:t>三线一单</w:t>
            </w:r>
            <w:r>
              <w:rPr>
                <w:rFonts w:hint="eastAsia"/>
                <w:lang w:val="zh-TW" w:eastAsia="zh-CN"/>
              </w:rPr>
              <w:t>”</w:t>
            </w:r>
            <w:r>
              <w:rPr>
                <w:rFonts w:hint="default"/>
                <w:lang w:val="zh-TW" w:eastAsia="zh-CN"/>
              </w:rPr>
              <w:t>信息应用平台，</w:t>
            </w:r>
            <w:r>
              <w:rPr>
                <w:rFonts w:hint="eastAsia"/>
                <w:lang w:val="en-US" w:eastAsia="zh-CN"/>
              </w:rPr>
              <w:t>项目用地</w:t>
            </w:r>
            <w:r>
              <w:rPr>
                <w:rFonts w:hint="default"/>
                <w:lang w:val="zh-TW" w:eastAsia="zh-CN"/>
              </w:rPr>
              <w:t>涉及博湖县查干诺尔乡东南农业水污染重点管控区</w:t>
            </w:r>
            <w:r>
              <w:rPr>
                <w:rFonts w:hint="eastAsia"/>
                <w:lang w:val="en-US" w:eastAsia="zh-CN"/>
              </w:rPr>
              <w:t>、重点</w:t>
            </w:r>
            <w:r>
              <w:rPr>
                <w:rFonts w:hint="default"/>
                <w:lang w:val="zh-TW" w:eastAsia="zh-CN"/>
              </w:rPr>
              <w:t>环境管控单元</w:t>
            </w:r>
            <w:r>
              <w:rPr>
                <w:rFonts w:hint="eastAsia"/>
                <w:lang w:val="zh-TW" w:eastAsia="zh-CN"/>
              </w:rPr>
              <w:t>（ZH65282920008），</w:t>
            </w:r>
            <w:r>
              <w:rPr>
                <w:rFonts w:hint="default"/>
                <w:lang w:val="zh-TW" w:eastAsia="zh-CN"/>
              </w:rPr>
              <w:t>项目与巴音郭楞蒙古自治州</w:t>
            </w:r>
            <w:r>
              <w:rPr>
                <w:rFonts w:hint="eastAsia"/>
                <w:lang w:val="zh-TW" w:eastAsia="zh-CN"/>
              </w:rPr>
              <w:t>“</w:t>
            </w:r>
            <w:r>
              <w:rPr>
                <w:rFonts w:hint="default"/>
                <w:lang w:val="zh-TW" w:eastAsia="zh-CN"/>
              </w:rPr>
              <w:t>三线一单</w:t>
            </w:r>
            <w:r>
              <w:rPr>
                <w:rFonts w:hint="eastAsia"/>
                <w:lang w:val="zh-TW" w:eastAsia="zh-CN"/>
              </w:rPr>
              <w:t>”</w:t>
            </w:r>
            <w:r>
              <w:rPr>
                <w:rFonts w:hint="default"/>
                <w:lang w:val="zh-TW" w:eastAsia="zh-CN"/>
              </w:rPr>
              <w:t>生态环境分区管控动态更新成果（2023年）管控要求的符合性分析详见下表。</w:t>
            </w:r>
          </w:p>
          <w:p>
            <w:pPr>
              <w:pStyle w:val="28"/>
              <w:bidi w:val="0"/>
              <w:jc w:val="center"/>
              <w:rPr>
                <w:rFonts w:hint="default" w:ascii="Times New Roman" w:hAnsi="Times New Roman" w:eastAsia="宋体" w:cs="Times New Roman"/>
                <w:lang w:val="en-US"/>
              </w:rPr>
            </w:pPr>
            <w:r>
              <w:rPr>
                <w:rFonts w:hint="default" w:ascii="黑体" w:hAnsi="宋体" w:eastAsia="黑体" w:cs="黑体"/>
                <w:color w:val="000000"/>
                <w:kern w:val="0"/>
                <w:sz w:val="24"/>
                <w:szCs w:val="24"/>
                <w:highlight w:val="none"/>
                <w:lang w:val="en-US" w:eastAsia="zh-CN" w:bidi="ar"/>
              </w:rPr>
              <w:t>表1</w:t>
            </w:r>
            <w:r>
              <w:rPr>
                <w:rFonts w:hint="eastAsia" w:ascii="黑体" w:hAnsi="宋体" w:eastAsia="黑体" w:cs="黑体"/>
                <w:color w:val="000000"/>
                <w:kern w:val="0"/>
                <w:sz w:val="24"/>
                <w:szCs w:val="24"/>
                <w:highlight w:val="none"/>
                <w:lang w:val="en-US" w:eastAsia="zh-CN" w:bidi="ar"/>
              </w:rPr>
              <w:t xml:space="preserve">-4       </w:t>
            </w:r>
            <w:r>
              <w:rPr>
                <w:rFonts w:hint="default" w:ascii="黑体" w:hAnsi="宋体" w:eastAsia="黑体" w:cs="黑体"/>
                <w:color w:val="000000"/>
                <w:kern w:val="0"/>
                <w:sz w:val="24"/>
                <w:szCs w:val="24"/>
                <w:highlight w:val="none"/>
                <w:lang w:val="en-US" w:eastAsia="zh-CN" w:bidi="ar"/>
              </w:rPr>
              <w:t>项目与巴州生态环境分区管控要求符合性分析</w:t>
            </w:r>
            <w:r>
              <w:rPr>
                <w:rFonts w:hint="eastAsia" w:ascii="黑体" w:hAnsi="宋体" w:eastAsia="黑体" w:cs="黑体"/>
                <w:color w:val="000000"/>
                <w:kern w:val="0"/>
                <w:sz w:val="24"/>
                <w:szCs w:val="24"/>
                <w:highlight w:val="none"/>
                <w:lang w:val="en-US" w:eastAsia="zh-CN" w:bidi="ar"/>
              </w:rPr>
              <w:t>一览表</w:t>
            </w:r>
          </w:p>
          <w:tbl>
            <w:tblPr>
              <w:tblStyle w:val="5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4"/>
              <w:gridCol w:w="592"/>
              <w:gridCol w:w="3240"/>
              <w:gridCol w:w="1864"/>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06"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“三线一单”的具体要求</w:t>
                  </w:r>
                </w:p>
              </w:tc>
              <w:tc>
                <w:tcPr>
                  <w:tcW w:w="117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项目对应情况分析</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6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20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对应管控要求</w:t>
                  </w:r>
                </w:p>
              </w:tc>
              <w:tc>
                <w:tcPr>
                  <w:tcW w:w="117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sz w:val="21"/>
                      <w:szCs w:val="21"/>
                    </w:rPr>
                    <w:t>管控单元编码：ZH65282920008</w:t>
                  </w:r>
                  <w:r>
                    <w:rPr>
                      <w:rFonts w:hint="eastAsia" w:ascii="Times New Roman" w:hAnsi="Times New Roman" w:eastAsia="宋体" w:cs="Times New Roman"/>
                      <w:color w:val="000000"/>
                      <w:sz w:val="21"/>
                      <w:szCs w:val="21"/>
                      <w:lang w:eastAsia="zh-CN"/>
                    </w:rPr>
                    <w:t>；</w:t>
                  </w:r>
                </w:p>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管控单元名称：</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博湖县查干诺尔乡东南农业水污染重点管控区；</w:t>
                  </w:r>
                </w:p>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管控单元类别：</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重点管控单元</w:t>
                  </w:r>
                </w:p>
              </w:tc>
              <w:tc>
                <w:tcPr>
                  <w:tcW w:w="3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空间布局</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w:t>
                  </w:r>
                </w:p>
              </w:tc>
              <w:tc>
                <w:tcPr>
                  <w:tcW w:w="203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1.项目用水达到行业先进水平，节水设施与主体工程同时设计、同时施工、同时投运。</w:t>
                  </w:r>
                </w:p>
              </w:tc>
              <w:tc>
                <w:tcPr>
                  <w:tcW w:w="1172"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sz w:val="21"/>
                      <w:szCs w:val="21"/>
                      <w:lang w:val="en-US" w:eastAsia="zh-CN"/>
                    </w:rPr>
                  </w:pPr>
                  <w:r>
                    <w:rPr>
                      <w:rFonts w:ascii="宋体" w:hAnsi="宋体" w:eastAsia="宋体" w:cs="宋体"/>
                      <w:spacing w:val="6"/>
                      <w:sz w:val="20"/>
                      <w:szCs w:val="20"/>
                    </w:rPr>
                    <w:t>本项目为砼结构</w:t>
                  </w:r>
                  <w:r>
                    <w:rPr>
                      <w:rFonts w:ascii="宋体" w:hAnsi="宋体" w:eastAsia="宋体" w:cs="宋体"/>
                      <w:spacing w:val="12"/>
                      <w:sz w:val="20"/>
                      <w:szCs w:val="20"/>
                    </w:rPr>
                    <w:t>构件制造</w:t>
                  </w:r>
                  <w:r>
                    <w:rPr>
                      <w:rFonts w:hint="eastAsia" w:ascii="宋体" w:hAnsi="宋体" w:eastAsia="宋体" w:cs="宋体"/>
                      <w:spacing w:val="12"/>
                      <w:sz w:val="20"/>
                      <w:szCs w:val="20"/>
                      <w:lang w:val="en-US" w:eastAsia="zh-CN"/>
                    </w:rPr>
                    <w:t>项目</w:t>
                  </w:r>
                  <w:r>
                    <w:rPr>
                      <w:rFonts w:ascii="宋体" w:hAnsi="宋体" w:eastAsia="宋体" w:cs="宋体"/>
                      <w:spacing w:val="12"/>
                      <w:sz w:val="20"/>
                      <w:szCs w:val="20"/>
                    </w:rPr>
                    <w:t>，</w:t>
                  </w:r>
                  <w:r>
                    <w:rPr>
                      <w:rFonts w:hint="default" w:ascii="Times New Roman" w:hAnsi="Times New Roman" w:eastAsia="宋体" w:cs="Times New Roman"/>
                      <w:highlight w:val="none"/>
                      <w:lang w:val="en-US" w:eastAsia="zh-CN"/>
                    </w:rPr>
                    <w:t>养护废水</w:t>
                  </w:r>
                  <w:r>
                    <w:rPr>
                      <w:rFonts w:hint="eastAsia" w:ascii="Times New Roman" w:hAnsi="Times New Roman" w:eastAsia="宋体" w:cs="Times New Roman"/>
                      <w:highlight w:val="none"/>
                      <w:lang w:val="en-US" w:eastAsia="zh-CN"/>
                    </w:rPr>
                    <w:t>、运输车辆清洗废水</w:t>
                  </w:r>
                  <w:r>
                    <w:rPr>
                      <w:rFonts w:hint="default" w:ascii="Times New Roman" w:hAnsi="Times New Roman" w:eastAsia="宋体" w:cs="Times New Roman"/>
                      <w:highlight w:val="none"/>
                      <w:lang w:val="en-US" w:eastAsia="zh-CN"/>
                    </w:rPr>
                    <w:t>设置防渗沉淀池满足GB8978的一般规定处理回用</w:t>
                  </w:r>
                  <w:r>
                    <w:rPr>
                      <w:rFonts w:hint="eastAsia" w:ascii="Times New Roman" w:hAnsi="Times New Roman" w:eastAsia="宋体" w:cs="Times New Roman"/>
                      <w:highlight w:val="none"/>
                      <w:lang w:val="en-US" w:eastAsia="zh-CN"/>
                    </w:rPr>
                    <w:t>，不外排，废水利用率为100%。</w:t>
                  </w:r>
                </w:p>
              </w:tc>
              <w:tc>
                <w:tcPr>
                  <w:tcW w:w="320"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sz w:val="21"/>
                      <w:szCs w:val="21"/>
                      <w:lang w:val="en-US" w:eastAsia="zh-CN"/>
                    </w:rPr>
                  </w:pPr>
                </w:p>
              </w:tc>
              <w:tc>
                <w:tcPr>
                  <w:tcW w:w="3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污染物排放管控</w:t>
                  </w:r>
                </w:p>
              </w:tc>
              <w:tc>
                <w:tcPr>
                  <w:tcW w:w="203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1.加强规模化畜禽养殖污染防治工作，筛选、推广经济适用的污染防治和养殖废物利用技术。</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2.实施农村人居环境整治提升行动，开展农村环境综合整治，重点抓好改厕和污水、垃圾处理；开展美丽宜居村庄示范创建活动，深入推进村庄清洁和绿化行动。</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3.开展无公害农产品认证工作，严格控制农药、化肥施用量。推广使用有机肥及易降解、低残留的农药与化肥。推广绿色食品和有机食品基地建设。</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4.加大农业面源污染防治力度。开展农田废旧地膜污染集中整治。</w:t>
                  </w:r>
                </w:p>
              </w:tc>
              <w:tc>
                <w:tcPr>
                  <w:tcW w:w="1172"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highlight w:val="none"/>
                      <w:lang w:val="en-US" w:eastAsia="zh-CN"/>
                    </w:rPr>
                    <w:t>本项目</w:t>
                  </w:r>
                  <w:r>
                    <w:rPr>
                      <w:rFonts w:hint="eastAsia" w:ascii="Times New Roman" w:hAnsi="Times New Roman" w:eastAsia="宋体" w:cs="Times New Roman"/>
                      <w:highlight w:val="none"/>
                      <w:lang w:val="en-US" w:eastAsia="zh-CN"/>
                    </w:rPr>
                    <w:t>建设</w:t>
                  </w:r>
                  <w:r>
                    <w:rPr>
                      <w:rFonts w:hint="default" w:ascii="Times New Roman" w:hAnsi="Times New Roman" w:eastAsia="宋体" w:cs="Times New Roman"/>
                      <w:highlight w:val="none"/>
                      <w:lang w:val="en-US" w:eastAsia="zh-CN"/>
                    </w:rPr>
                    <w:t>行业类别属于砼结构构件生产制造</w:t>
                  </w:r>
                  <w:r>
                    <w:rPr>
                      <w:rFonts w:hint="eastAsia" w:ascii="Times New Roman" w:hAnsi="Times New Roman" w:eastAsia="宋体" w:cs="Times New Roman"/>
                      <w:highlight w:val="none"/>
                      <w:lang w:val="en-US" w:eastAsia="zh-CN"/>
                    </w:rPr>
                    <w:t>，不涉及</w:t>
                  </w:r>
                  <w:r>
                    <w:rPr>
                      <w:rFonts w:hint="default" w:ascii="Times New Roman" w:hAnsi="Times New Roman" w:eastAsia="宋体" w:cs="Times New Roman"/>
                      <w:color w:val="000000"/>
                      <w:kern w:val="0"/>
                      <w:sz w:val="21"/>
                      <w:szCs w:val="21"/>
                      <w:lang w:val="en-US" w:eastAsia="zh-CN" w:bidi="ar"/>
                    </w:rPr>
                    <w:t>畜禽养殖</w:t>
                  </w:r>
                  <w:r>
                    <w:rPr>
                      <w:rFonts w:hint="eastAsia" w:ascii="Times New Roman" w:hAnsi="Times New Roman" w:eastAsia="宋体" w:cs="Times New Roman"/>
                      <w:color w:val="000000"/>
                      <w:kern w:val="0"/>
                      <w:sz w:val="21"/>
                      <w:szCs w:val="21"/>
                      <w:lang w:val="en-US" w:eastAsia="zh-CN" w:bidi="ar"/>
                    </w:rPr>
                    <w:t>、不使用</w:t>
                  </w:r>
                  <w:r>
                    <w:rPr>
                      <w:rFonts w:hint="default" w:ascii="Times New Roman" w:hAnsi="Times New Roman" w:eastAsia="宋体" w:cs="Times New Roman"/>
                      <w:color w:val="000000"/>
                      <w:kern w:val="0"/>
                      <w:sz w:val="21"/>
                      <w:szCs w:val="21"/>
                      <w:lang w:val="en-US" w:eastAsia="zh-CN" w:bidi="ar"/>
                    </w:rPr>
                    <w:t>农药、化肥</w:t>
                  </w:r>
                  <w:r>
                    <w:rPr>
                      <w:rFonts w:hint="eastAsia" w:ascii="Times New Roman" w:hAnsi="Times New Roman" w:eastAsia="宋体" w:cs="Times New Roman"/>
                      <w:color w:val="000000"/>
                      <w:kern w:val="0"/>
                      <w:sz w:val="21"/>
                      <w:szCs w:val="21"/>
                      <w:lang w:val="en-US" w:eastAsia="zh-CN" w:bidi="ar"/>
                    </w:rPr>
                    <w:t>。不属于</w:t>
                  </w:r>
                  <w:r>
                    <w:rPr>
                      <w:rFonts w:hint="eastAsia" w:cs="Times New Roman"/>
                      <w:color w:val="000000"/>
                      <w:kern w:val="0"/>
                      <w:sz w:val="21"/>
                      <w:szCs w:val="21"/>
                      <w:lang w:val="en-US" w:eastAsia="zh-CN" w:bidi="ar"/>
                    </w:rPr>
                    <w:t>污染物</w:t>
                  </w:r>
                  <w:r>
                    <w:rPr>
                      <w:rFonts w:hint="default" w:ascii="Times New Roman" w:hAnsi="Times New Roman" w:eastAsia="宋体" w:cs="Times New Roman"/>
                      <w:sz w:val="21"/>
                      <w:szCs w:val="21"/>
                      <w:lang w:val="en-US" w:eastAsia="zh-CN"/>
                    </w:rPr>
                    <w:t>排放管控</w:t>
                  </w:r>
                  <w:r>
                    <w:rPr>
                      <w:rFonts w:hint="eastAsia" w:ascii="Times New Roman" w:hAnsi="Times New Roman" w:eastAsia="宋体" w:cs="Times New Roman"/>
                      <w:sz w:val="21"/>
                      <w:szCs w:val="21"/>
                      <w:lang w:val="en-US" w:eastAsia="zh-CN"/>
                    </w:rPr>
                    <w:t>要求中禁止或限制的生产活动。</w:t>
                  </w:r>
                </w:p>
              </w:tc>
              <w:tc>
                <w:tcPr>
                  <w:tcW w:w="320"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sz w:val="21"/>
                      <w:szCs w:val="21"/>
                      <w:lang w:val="en-US" w:eastAsia="zh-CN"/>
                    </w:rPr>
                  </w:pPr>
                </w:p>
              </w:tc>
              <w:tc>
                <w:tcPr>
                  <w:tcW w:w="3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环境风险</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防控</w:t>
                  </w:r>
                </w:p>
              </w:tc>
              <w:tc>
                <w:tcPr>
                  <w:tcW w:w="203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1.建立健全现有农田和果园防护林网格体系，加大对老残次断林带更新改造力度，进一步完善农田和果园防护林网，构建完善的绿洲生态体系</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增强果园和农田抵御病虫害、低温冻害、大风沙尘等自然灾害的能力，增加绿洲对自然灾害的防御能力。</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以减轻林业生物灾害、促进特色林果业健康发展、确保生态安全为目标，政府主导、部门协作、社会参与，完善防控体系，强化能力建设，健全管理制度，创新防控机制，落实政策法规，突出科学防治，提高公众防范意识，开展群防群治、联防联治，为实现特色林果产业持续健康发展和新疆生态文明建设提供重要保障。</w:t>
                  </w:r>
                </w:p>
              </w:tc>
              <w:tc>
                <w:tcPr>
                  <w:tcW w:w="1172"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highlight w:val="none"/>
                      <w:lang w:val="en-US" w:eastAsia="zh-CN"/>
                    </w:rPr>
                    <w:t>本项目</w:t>
                  </w:r>
                  <w:r>
                    <w:rPr>
                      <w:rFonts w:hint="eastAsia" w:ascii="Times New Roman" w:hAnsi="Times New Roman" w:eastAsia="宋体" w:cs="Times New Roman"/>
                      <w:highlight w:val="none"/>
                      <w:lang w:val="en-US" w:eastAsia="zh-CN"/>
                    </w:rPr>
                    <w:t>建设</w:t>
                  </w:r>
                  <w:r>
                    <w:rPr>
                      <w:rFonts w:hint="default" w:ascii="Times New Roman" w:hAnsi="Times New Roman" w:eastAsia="宋体" w:cs="Times New Roman"/>
                      <w:highlight w:val="none"/>
                      <w:lang w:val="en-US" w:eastAsia="zh-CN"/>
                    </w:rPr>
                    <w:t>行业类别属于砼结构构件生产制造</w:t>
                  </w:r>
                  <w:r>
                    <w:rPr>
                      <w:rFonts w:hint="eastAsia" w:ascii="Times New Roman" w:hAnsi="Times New Roman" w:eastAsia="宋体" w:cs="Times New Roman"/>
                      <w:highlight w:val="none"/>
                      <w:lang w:val="en-US" w:eastAsia="zh-CN"/>
                    </w:rPr>
                    <w:t>，不涉及</w:t>
                  </w:r>
                  <w:r>
                    <w:rPr>
                      <w:rFonts w:hint="default" w:ascii="Times New Roman" w:hAnsi="Times New Roman" w:eastAsia="宋体" w:cs="Times New Roman"/>
                      <w:color w:val="000000"/>
                      <w:kern w:val="0"/>
                      <w:sz w:val="21"/>
                      <w:szCs w:val="21"/>
                      <w:lang w:val="en-US" w:eastAsia="zh-CN" w:bidi="ar"/>
                    </w:rPr>
                    <w:t>特色林果产业</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农田和果园防控</w:t>
                  </w:r>
                  <w:r>
                    <w:rPr>
                      <w:rFonts w:hint="eastAsia" w:ascii="Times New Roman" w:hAnsi="Times New Roman" w:eastAsia="宋体" w:cs="Times New Roman"/>
                      <w:color w:val="000000"/>
                      <w:kern w:val="0"/>
                      <w:sz w:val="21"/>
                      <w:szCs w:val="21"/>
                      <w:lang w:val="en-US" w:eastAsia="zh-CN" w:bidi="ar"/>
                    </w:rPr>
                    <w:t>体系建设情形。</w:t>
                  </w:r>
                </w:p>
              </w:tc>
              <w:tc>
                <w:tcPr>
                  <w:tcW w:w="320"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sz w:val="21"/>
                      <w:szCs w:val="21"/>
                      <w:lang w:val="en-US" w:eastAsia="zh-CN"/>
                    </w:rPr>
                  </w:pPr>
                </w:p>
              </w:tc>
              <w:tc>
                <w:tcPr>
                  <w:tcW w:w="37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资源利用效率</w:t>
                  </w:r>
                </w:p>
              </w:tc>
              <w:tc>
                <w:tcPr>
                  <w:tcW w:w="203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优化用水结构，推广高标准节水灌溉，减少农业用水量，严格执行用水总量控制，提高农业用水使用效率。</w:t>
                  </w:r>
                </w:p>
              </w:tc>
              <w:tc>
                <w:tcPr>
                  <w:tcW w:w="1172"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sz w:val="21"/>
                      <w:szCs w:val="21"/>
                    </w:rPr>
                  </w:pPr>
                  <w:r>
                    <w:rPr>
                      <w:rFonts w:ascii="宋体" w:hAnsi="宋体" w:eastAsia="宋体" w:cs="宋体"/>
                      <w:spacing w:val="6"/>
                      <w:sz w:val="20"/>
                      <w:szCs w:val="20"/>
                    </w:rPr>
                    <w:t>本项目为砼结构</w:t>
                  </w:r>
                  <w:r>
                    <w:rPr>
                      <w:rFonts w:ascii="宋体" w:hAnsi="宋体" w:eastAsia="宋体" w:cs="宋体"/>
                      <w:spacing w:val="12"/>
                      <w:sz w:val="20"/>
                      <w:szCs w:val="20"/>
                    </w:rPr>
                    <w:t>构件制造</w:t>
                  </w:r>
                  <w:r>
                    <w:rPr>
                      <w:rFonts w:hint="eastAsia" w:ascii="宋体" w:hAnsi="宋体" w:eastAsia="宋体" w:cs="宋体"/>
                      <w:spacing w:val="12"/>
                      <w:sz w:val="20"/>
                      <w:szCs w:val="20"/>
                      <w:lang w:val="en-US" w:eastAsia="zh-CN"/>
                    </w:rPr>
                    <w:t>项目</w:t>
                  </w:r>
                  <w:r>
                    <w:rPr>
                      <w:rFonts w:ascii="宋体" w:hAnsi="宋体" w:eastAsia="宋体" w:cs="宋体"/>
                      <w:spacing w:val="12"/>
                      <w:sz w:val="20"/>
                      <w:szCs w:val="20"/>
                    </w:rPr>
                    <w:t>，</w:t>
                  </w:r>
                  <w:r>
                    <w:rPr>
                      <w:rFonts w:hint="default" w:ascii="Times New Roman" w:hAnsi="Times New Roman" w:eastAsia="宋体" w:cs="Times New Roman"/>
                      <w:highlight w:val="none"/>
                      <w:lang w:val="en-US" w:eastAsia="zh-CN"/>
                    </w:rPr>
                    <w:t>养护废水</w:t>
                  </w:r>
                  <w:r>
                    <w:rPr>
                      <w:rFonts w:hint="eastAsia" w:ascii="Times New Roman" w:hAnsi="Times New Roman" w:eastAsia="宋体" w:cs="Times New Roman"/>
                      <w:highlight w:val="none"/>
                      <w:lang w:val="en-US" w:eastAsia="zh-CN"/>
                    </w:rPr>
                    <w:t>、运输车辆清洗废水</w:t>
                  </w:r>
                  <w:r>
                    <w:rPr>
                      <w:rFonts w:hint="default" w:ascii="Times New Roman" w:hAnsi="Times New Roman" w:eastAsia="宋体" w:cs="Times New Roman"/>
                      <w:highlight w:val="none"/>
                      <w:lang w:val="en-US" w:eastAsia="zh-CN"/>
                    </w:rPr>
                    <w:t>设置防渗沉淀池满足GB8978的一般规定处理回用</w:t>
                  </w:r>
                  <w:r>
                    <w:rPr>
                      <w:rFonts w:hint="eastAsia" w:ascii="Times New Roman" w:hAnsi="Times New Roman" w:eastAsia="宋体" w:cs="Times New Roman"/>
                      <w:highlight w:val="none"/>
                      <w:lang w:val="en-US" w:eastAsia="zh-CN"/>
                    </w:rPr>
                    <w:t>，不外排，废水利用率为100%。</w:t>
                  </w:r>
                </w:p>
              </w:tc>
              <w:tc>
                <w:tcPr>
                  <w:tcW w:w="320" w:type="pct"/>
                  <w:tcBorders>
                    <w:tl2br w:val="nil"/>
                    <w:tr2bl w:val="nil"/>
                  </w:tcBorders>
                  <w:noWrap w:val="0"/>
                  <w:vAlign w:val="center"/>
                </w:tcPr>
                <w:p>
                  <w:pPr>
                    <w:pStyle w:val="58"/>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bl>
          <w:p>
            <w:pPr>
              <w:pStyle w:val="44"/>
              <w:bidi w:val="0"/>
              <w:rPr>
                <w:rFonts w:hint="default" w:ascii="Times New Roman" w:hAnsi="Times New Roman" w:cs="Times New Roman"/>
                <w:highlight w:val="none"/>
              </w:rPr>
            </w:pPr>
            <w:r>
              <w:rPr>
                <w:rFonts w:hint="eastAsia"/>
                <w:lang w:eastAsia="zh-CN"/>
              </w:rPr>
              <w:t>综上，本项目符</w:t>
            </w:r>
            <w:r>
              <w:rPr>
                <w:rFonts w:hint="eastAsia"/>
                <w:lang w:val="en-US" w:eastAsia="zh-CN"/>
              </w:rPr>
              <w:t>合</w:t>
            </w:r>
            <w:r>
              <w:rPr>
                <w:rFonts w:hint="eastAsia"/>
                <w:lang w:val="zh-TW" w:eastAsia="zh-CN"/>
              </w:rPr>
              <w:t>《关于印发巴音郭楞蒙古自治州“三线一单”生态环境分区管控动态更新成果（2023年）的通知》（巴政办发〔2024〕32号）</w:t>
            </w:r>
            <w:r>
              <w:rPr>
                <w:rFonts w:hint="eastAsia"/>
                <w:lang w:eastAsia="zh-CN"/>
              </w:rPr>
              <w:t>中“三线一单”要求。</w:t>
            </w:r>
            <w:r>
              <w:rPr>
                <w:rFonts w:hint="eastAsia"/>
                <w:lang w:val="en-US" w:eastAsia="zh-CN"/>
              </w:rPr>
              <w:t>根据发布的新疆维吾尔自治区“三线一单”信息应用平台，本项目在巴州环境管控单元中位置示意见附图1。</w:t>
            </w:r>
          </w:p>
          <w:p>
            <w:pPr>
              <w:pStyle w:val="44"/>
              <w:bidi w:val="0"/>
              <w:rPr>
                <w:rFonts w:hint="default" w:ascii="Times New Roman" w:hAnsi="Times New Roman" w:cs="Times New Roman"/>
                <w:b/>
                <w:bCs/>
                <w:highlight w:val="none"/>
              </w:rPr>
            </w:pPr>
            <w:r>
              <w:rPr>
                <w:rFonts w:hint="eastAsia" w:cs="Times New Roman"/>
                <w:b/>
                <w:bCs/>
                <w:highlight w:val="none"/>
                <w:lang w:val="en-US" w:eastAsia="zh-CN"/>
              </w:rPr>
              <w:t>7</w:t>
            </w:r>
            <w:r>
              <w:rPr>
                <w:rFonts w:hint="default" w:ascii="Times New Roman" w:hAnsi="Times New Roman" w:cs="Times New Roman"/>
                <w:b/>
                <w:bCs/>
                <w:highlight w:val="none"/>
                <w:lang w:val="en-US" w:eastAsia="zh-CN"/>
              </w:rPr>
              <w:t>.</w:t>
            </w:r>
            <w:r>
              <w:rPr>
                <w:rFonts w:hint="default" w:ascii="Times New Roman" w:hAnsi="Times New Roman" w:cs="Times New Roman"/>
                <w:b/>
                <w:bCs/>
                <w:highlight w:val="none"/>
              </w:rPr>
              <w:t>项目选址合理性分析</w:t>
            </w:r>
          </w:p>
          <w:p>
            <w:pPr>
              <w:pStyle w:val="44"/>
              <w:bidi w:val="0"/>
              <w:rPr>
                <w:rFonts w:hint="default" w:ascii="Times New Roman" w:hAnsi="Times New Roman" w:cs="Times New Roman"/>
                <w:highlight w:val="none"/>
              </w:rPr>
            </w:pPr>
            <w:r>
              <w:rPr>
                <w:rFonts w:hint="eastAsia" w:cs="Times New Roman"/>
                <w:highlight w:val="none"/>
                <w:lang w:val="en-US" w:eastAsia="zh-CN"/>
              </w:rPr>
              <w:t>①</w:t>
            </w:r>
            <w:r>
              <w:rPr>
                <w:rFonts w:hint="default" w:ascii="Times New Roman" w:hAnsi="Times New Roman" w:cs="Times New Roman"/>
                <w:highlight w:val="none"/>
              </w:rPr>
              <w:t>本项目位于</w:t>
            </w:r>
            <w:r>
              <w:rPr>
                <w:rFonts w:hint="eastAsia" w:ascii="Times New Roman" w:hAnsi="Times New Roman" w:cs="Times New Roman"/>
                <w:highlight w:val="none"/>
                <w:lang w:val="en-US" w:eastAsia="zh-CN"/>
              </w:rPr>
              <w:t>博湖县本布图镇</w:t>
            </w:r>
            <w:r>
              <w:rPr>
                <w:rFonts w:hint="default" w:ascii="Times New Roman" w:hAnsi="Times New Roman" w:cs="Times New Roman"/>
                <w:highlight w:val="none"/>
              </w:rPr>
              <w:t>，项目所在地属于工业用地。项目所在区域供水、供电设施齐全，交通便利，有利于原料及产品的运输，项目生产过程中产生的废气、生活污水、噪声、固废等采取有效的治理措施，对周围环境影响较小。</w:t>
            </w:r>
          </w:p>
          <w:p>
            <w:pPr>
              <w:pStyle w:val="44"/>
              <w:bidi w:val="0"/>
              <w:rPr>
                <w:rFonts w:hint="default" w:ascii="Times New Roman" w:hAnsi="Times New Roman" w:cs="Times New Roman"/>
                <w:highlight w:val="none"/>
                <w:lang w:eastAsia="zh-CN"/>
              </w:rPr>
            </w:pPr>
            <w:r>
              <w:rPr>
                <w:rFonts w:hint="eastAsia" w:cs="Times New Roman"/>
                <w:highlight w:val="none"/>
                <w:lang w:val="en-US" w:eastAsia="zh-CN"/>
              </w:rPr>
              <w:t>②</w:t>
            </w:r>
            <w:r>
              <w:rPr>
                <w:rFonts w:hint="default" w:ascii="Times New Roman" w:hAnsi="Times New Roman" w:cs="Times New Roman"/>
                <w:highlight w:val="none"/>
              </w:rPr>
              <w:t>根据现场勘查，场址所在地不属于</w:t>
            </w:r>
            <w:r>
              <w:rPr>
                <w:rFonts w:hint="default" w:ascii="Times New Roman" w:hAnsi="Times New Roman" w:cs="Times New Roman"/>
                <w:highlight w:val="none"/>
                <w:lang w:val="en-US" w:eastAsia="zh-CN"/>
              </w:rPr>
              <w:t>永久基本农田</w:t>
            </w:r>
            <w:r>
              <w:rPr>
                <w:rFonts w:hint="default" w:ascii="Times New Roman" w:hAnsi="Times New Roman" w:cs="Times New Roman"/>
                <w:highlight w:val="none"/>
              </w:rPr>
              <w:t>，所在地及附近</w:t>
            </w:r>
            <w:r>
              <w:rPr>
                <w:rFonts w:hint="default" w:ascii="Times New Roman" w:hAnsi="Times New Roman" w:cs="Times New Roman"/>
                <w:highlight w:val="none"/>
                <w:lang w:val="en-US" w:eastAsia="zh-CN"/>
              </w:rPr>
              <w:t>不涉及生态保护红线管控范围、永久基本农田、基本草原、自然公园等</w:t>
            </w:r>
            <w:r>
              <w:rPr>
                <w:rFonts w:hint="default" w:ascii="Times New Roman" w:hAnsi="Times New Roman" w:cs="Times New Roman"/>
                <w:highlight w:val="none"/>
                <w:lang w:eastAsia="zh-CN"/>
              </w:rPr>
              <w:t>，本项目厂区内及周边</w:t>
            </w:r>
            <w:r>
              <w:rPr>
                <w:rFonts w:hint="eastAsia" w:cs="Times New Roman"/>
                <w:highlight w:val="none"/>
                <w:lang w:val="en-US" w:eastAsia="zh-CN"/>
              </w:rPr>
              <w:t>不</w:t>
            </w:r>
            <w:r>
              <w:rPr>
                <w:rFonts w:hint="default" w:ascii="Times New Roman" w:hAnsi="Times New Roman" w:cs="Times New Roman"/>
                <w:highlight w:val="none"/>
                <w:lang w:eastAsia="zh-CN"/>
              </w:rPr>
              <w:t>存在</w:t>
            </w:r>
            <w:r>
              <w:rPr>
                <w:rFonts w:hint="eastAsia" w:cs="Times New Roman"/>
                <w:highlight w:val="none"/>
                <w:lang w:val="en-US" w:eastAsia="zh-CN"/>
              </w:rPr>
              <w:t>集中居民住宅区、学校、医院等</w:t>
            </w:r>
            <w:r>
              <w:rPr>
                <w:rFonts w:ascii="PingFang-SC-Regular" w:hAnsi="PingFang-SC-Regular" w:eastAsia="PingFang-SC-Regular" w:cs="PingFang-SC-Regular"/>
                <w:i w:val="0"/>
                <w:iCs w:val="0"/>
                <w:caps w:val="0"/>
                <w:color w:val="0D0D0D"/>
                <w:spacing w:val="0"/>
                <w:sz w:val="24"/>
                <w:szCs w:val="24"/>
                <w:shd w:val="clear" w:fill="FFFFFF"/>
              </w:rPr>
              <w:t>环境敏感保护目标</w:t>
            </w:r>
            <w:r>
              <w:rPr>
                <w:rFonts w:hint="eastAsia" w:ascii="PingFang-SC-Regular" w:hAnsi="PingFang-SC-Regular" w:eastAsia="宋体" w:cs="PingFang-SC-Regular"/>
                <w:i w:val="0"/>
                <w:iCs w:val="0"/>
                <w:caps w:val="0"/>
                <w:color w:val="0D0D0D"/>
                <w:spacing w:val="0"/>
                <w:sz w:val="24"/>
                <w:szCs w:val="24"/>
                <w:shd w:val="clear" w:fill="FFFFFF"/>
                <w:lang w:eastAsia="zh-CN"/>
              </w:rPr>
              <w:t>，</w:t>
            </w:r>
            <w:r>
              <w:rPr>
                <w:rFonts w:ascii="PingFang-SC-Regular" w:hAnsi="PingFang-SC-Regular" w:eastAsia="PingFang-SC-Regular" w:cs="PingFang-SC-Regular"/>
                <w:i w:val="0"/>
                <w:iCs w:val="0"/>
                <w:caps w:val="0"/>
                <w:color w:val="0D0D0D"/>
                <w:spacing w:val="0"/>
                <w:sz w:val="24"/>
                <w:szCs w:val="24"/>
                <w:shd w:val="clear" w:fill="FFFFFF"/>
              </w:rPr>
              <w:t>本项目总平面布置充分考虑了</w:t>
            </w:r>
            <w:r>
              <w:rPr>
                <w:rFonts w:hint="eastAsia" w:ascii="PingFang-SC-Regular" w:hAnsi="PingFang-SC-Regular" w:eastAsia="宋体" w:cs="PingFang-SC-Regular"/>
                <w:i w:val="0"/>
                <w:iCs w:val="0"/>
                <w:caps w:val="0"/>
                <w:color w:val="0D0D0D"/>
                <w:spacing w:val="0"/>
                <w:sz w:val="24"/>
                <w:szCs w:val="24"/>
                <w:shd w:val="clear" w:fill="FFFFFF"/>
                <w:lang w:val="en-US" w:eastAsia="zh-CN"/>
              </w:rPr>
              <w:t>避开</w:t>
            </w:r>
            <w:r>
              <w:rPr>
                <w:rFonts w:ascii="PingFang-SC-Regular" w:hAnsi="PingFang-SC-Regular" w:eastAsia="PingFang-SC-Regular" w:cs="PingFang-SC-Regular"/>
                <w:i w:val="0"/>
                <w:iCs w:val="0"/>
                <w:caps w:val="0"/>
                <w:color w:val="0D0D0D"/>
                <w:spacing w:val="0"/>
                <w:sz w:val="24"/>
                <w:szCs w:val="24"/>
                <w:shd w:val="clear" w:fill="FFFFFF"/>
              </w:rPr>
              <w:t>环境敏感保护目标，</w:t>
            </w:r>
            <w:r>
              <w:rPr>
                <w:rFonts w:hint="default" w:ascii="Times New Roman" w:hAnsi="Times New Roman" w:cs="Times New Roman"/>
                <w:highlight w:val="none"/>
              </w:rPr>
              <w:t>从环境保护角度分析，区域环境质量较好，有一定容量，</w:t>
            </w:r>
            <w:r>
              <w:rPr>
                <w:rFonts w:ascii="PingFang-SC-Regular" w:hAnsi="PingFang-SC-Regular" w:eastAsia="PingFang-SC-Regular" w:cs="PingFang-SC-Regular"/>
                <w:i w:val="0"/>
                <w:iCs w:val="0"/>
                <w:caps w:val="0"/>
                <w:color w:val="0D0D0D"/>
                <w:spacing w:val="0"/>
                <w:sz w:val="24"/>
                <w:szCs w:val="24"/>
                <w:shd w:val="clear" w:fill="FFFFFF"/>
              </w:rPr>
              <w:t>本项目总平面布置具有较高的环境合理性</w:t>
            </w:r>
            <w:r>
              <w:rPr>
                <w:rFonts w:hint="default" w:ascii="Times New Roman" w:hAnsi="Times New Roman" w:cs="Times New Roman"/>
                <w:highlight w:val="none"/>
                <w:lang w:eastAsia="zh-CN"/>
              </w:rPr>
              <w:t>。</w:t>
            </w:r>
          </w:p>
          <w:p>
            <w:pPr>
              <w:pStyle w:val="44"/>
              <w:bidi w:val="0"/>
              <w:rPr>
                <w:rFonts w:hint="eastAsia" w:cs="Times New Roman"/>
                <w:highlight w:val="none"/>
                <w:lang w:val="en-US" w:eastAsia="zh-CN"/>
              </w:rPr>
            </w:pPr>
            <w:r>
              <w:rPr>
                <w:rFonts w:hint="eastAsia" w:cs="Times New Roman"/>
                <w:highlight w:val="none"/>
                <w:lang w:val="en-US" w:eastAsia="zh-CN"/>
              </w:rPr>
              <w:t>③通过将高噪声设备集中布置在厂区内部，并采取隔音、减振等措施，降低了噪声对厂区周边环境的影响。同时，合理规划厂区内道路和运输路线，</w:t>
            </w:r>
            <w:r>
              <w:rPr>
                <w:rFonts w:ascii="PingFang-SC-Regular" w:hAnsi="PingFang-SC-Regular" w:eastAsia="PingFang-SC-Regular" w:cs="PingFang-SC-Regular"/>
                <w:i w:val="0"/>
                <w:iCs w:val="0"/>
                <w:caps w:val="0"/>
                <w:color w:val="0D0D0D"/>
                <w:spacing w:val="0"/>
                <w:sz w:val="24"/>
                <w:szCs w:val="24"/>
                <w:shd w:val="clear" w:fill="FFFFFF"/>
              </w:rPr>
              <w:t>避免了运输车辆噪声对周边</w:t>
            </w:r>
            <w:r>
              <w:rPr>
                <w:rFonts w:hint="eastAsia" w:ascii="PingFang-SC-Regular" w:hAnsi="PingFang-SC-Regular" w:eastAsia="宋体" w:cs="PingFang-SC-Regular"/>
                <w:i w:val="0"/>
                <w:iCs w:val="0"/>
                <w:caps w:val="0"/>
                <w:color w:val="0D0D0D"/>
                <w:spacing w:val="0"/>
                <w:sz w:val="24"/>
                <w:szCs w:val="24"/>
                <w:shd w:val="clear" w:fill="FFFFFF"/>
                <w:lang w:val="en-US" w:eastAsia="zh-CN"/>
              </w:rPr>
              <w:t>环境</w:t>
            </w:r>
            <w:r>
              <w:rPr>
                <w:rFonts w:ascii="PingFang-SC-Regular" w:hAnsi="PingFang-SC-Regular" w:eastAsia="PingFang-SC-Regular" w:cs="PingFang-SC-Regular"/>
                <w:i w:val="0"/>
                <w:iCs w:val="0"/>
                <w:caps w:val="0"/>
                <w:color w:val="0D0D0D"/>
                <w:spacing w:val="0"/>
                <w:sz w:val="24"/>
                <w:szCs w:val="24"/>
                <w:shd w:val="clear" w:fill="FFFFFF"/>
              </w:rPr>
              <w:t>的干扰</w:t>
            </w:r>
            <w:r>
              <w:rPr>
                <w:rFonts w:hint="eastAsia" w:ascii="PingFang-SC-Regular" w:hAnsi="PingFang-SC-Regular" w:eastAsia="宋体" w:cs="PingFang-SC-Regular"/>
                <w:i w:val="0"/>
                <w:iCs w:val="0"/>
                <w:caps w:val="0"/>
                <w:color w:val="0D0D0D"/>
                <w:spacing w:val="0"/>
                <w:sz w:val="24"/>
                <w:szCs w:val="24"/>
                <w:shd w:val="clear" w:fill="FFFFFF"/>
                <w:lang w:eastAsia="zh-CN"/>
              </w:rPr>
              <w:t>；</w:t>
            </w:r>
            <w:r>
              <w:rPr>
                <w:rFonts w:ascii="PingFang-SC-Regular" w:hAnsi="PingFang-SC-Regular" w:eastAsia="PingFang-SC-Regular" w:cs="PingFang-SC-Regular"/>
                <w:i w:val="0"/>
                <w:iCs w:val="0"/>
                <w:caps w:val="0"/>
                <w:color w:val="0D0D0D"/>
                <w:spacing w:val="0"/>
                <w:sz w:val="24"/>
                <w:szCs w:val="24"/>
                <w:shd w:val="clear" w:fill="FFFFFF"/>
              </w:rPr>
              <w:t>一般工业固体废物</w:t>
            </w:r>
            <w:r>
              <w:rPr>
                <w:rFonts w:hint="eastAsia" w:ascii="PingFang-SC-Regular" w:hAnsi="PingFang-SC-Regular" w:eastAsia="宋体" w:cs="PingFang-SC-Regular"/>
                <w:i w:val="0"/>
                <w:iCs w:val="0"/>
                <w:caps w:val="0"/>
                <w:color w:val="0D0D0D"/>
                <w:spacing w:val="0"/>
                <w:sz w:val="24"/>
                <w:szCs w:val="24"/>
                <w:shd w:val="clear" w:fill="FFFFFF"/>
                <w:lang w:val="en-US" w:eastAsia="zh-CN"/>
              </w:rPr>
              <w:t>暂存间</w:t>
            </w:r>
            <w:r>
              <w:rPr>
                <w:rFonts w:ascii="PingFang-SC-Regular" w:hAnsi="PingFang-SC-Regular" w:eastAsia="PingFang-SC-Regular" w:cs="PingFang-SC-Regular"/>
                <w:i w:val="0"/>
                <w:iCs w:val="0"/>
                <w:caps w:val="0"/>
                <w:color w:val="0D0D0D"/>
                <w:spacing w:val="0"/>
                <w:sz w:val="24"/>
                <w:szCs w:val="24"/>
                <w:shd w:val="clear" w:fill="FFFFFF"/>
              </w:rPr>
              <w:t>和危险废物</w:t>
            </w:r>
            <w:r>
              <w:rPr>
                <w:rFonts w:hint="eastAsia" w:ascii="PingFang-SC-Regular" w:hAnsi="PingFang-SC-Regular" w:eastAsia="宋体" w:cs="PingFang-SC-Regular"/>
                <w:i w:val="0"/>
                <w:iCs w:val="0"/>
                <w:caps w:val="0"/>
                <w:color w:val="0D0D0D"/>
                <w:spacing w:val="0"/>
                <w:sz w:val="24"/>
                <w:szCs w:val="24"/>
                <w:shd w:val="clear" w:fill="FFFFFF"/>
                <w:lang w:val="en-US" w:eastAsia="zh-CN"/>
              </w:rPr>
              <w:t>贮存点</w:t>
            </w:r>
            <w:r>
              <w:rPr>
                <w:rFonts w:ascii="PingFang-SC-Regular" w:hAnsi="PingFang-SC-Regular" w:eastAsia="PingFang-SC-Regular" w:cs="PingFang-SC-Regular"/>
                <w:i w:val="0"/>
                <w:iCs w:val="0"/>
                <w:caps w:val="0"/>
                <w:color w:val="0D0D0D"/>
                <w:spacing w:val="0"/>
                <w:sz w:val="24"/>
                <w:szCs w:val="24"/>
                <w:shd w:val="clear" w:fill="FFFFFF"/>
              </w:rPr>
              <w:t>的设置符合相关规范要求，远离</w:t>
            </w:r>
            <w:r>
              <w:rPr>
                <w:rFonts w:hint="eastAsia" w:ascii="PingFang-SC-Regular" w:hAnsi="PingFang-SC-Regular" w:eastAsia="宋体" w:cs="PingFang-SC-Regular"/>
                <w:i w:val="0"/>
                <w:iCs w:val="0"/>
                <w:caps w:val="0"/>
                <w:color w:val="0D0D0D"/>
                <w:spacing w:val="0"/>
                <w:sz w:val="24"/>
                <w:szCs w:val="24"/>
                <w:shd w:val="clear" w:fill="FFFFFF"/>
                <w:lang w:val="en-US" w:eastAsia="zh-CN"/>
              </w:rPr>
              <w:t>厂区</w:t>
            </w:r>
            <w:r>
              <w:rPr>
                <w:rFonts w:ascii="PingFang-SC-Regular" w:hAnsi="PingFang-SC-Regular" w:eastAsia="PingFang-SC-Regular" w:cs="PingFang-SC-Regular"/>
                <w:i w:val="0"/>
                <w:iCs w:val="0"/>
                <w:caps w:val="0"/>
                <w:color w:val="0D0D0D"/>
                <w:spacing w:val="0"/>
                <w:sz w:val="24"/>
                <w:szCs w:val="24"/>
                <w:shd w:val="clear" w:fill="FFFFFF"/>
              </w:rPr>
              <w:t>办公区，减少了固体废物对人员和环境的影响</w:t>
            </w:r>
            <w:r>
              <w:rPr>
                <w:rFonts w:hint="eastAsia" w:ascii="PingFang-SC-Regular" w:hAnsi="PingFang-SC-Regular" w:eastAsia="宋体" w:cs="PingFang-SC-Regular"/>
                <w:i w:val="0"/>
                <w:iCs w:val="0"/>
                <w:caps w:val="0"/>
                <w:color w:val="0D0D0D"/>
                <w:spacing w:val="0"/>
                <w:sz w:val="24"/>
                <w:szCs w:val="24"/>
                <w:shd w:val="clear" w:fill="FFFFFF"/>
                <w:lang w:eastAsia="zh-CN"/>
              </w:rPr>
              <w:t>，</w:t>
            </w:r>
            <w:r>
              <w:rPr>
                <w:rFonts w:ascii="PingFang-SC-Regular" w:hAnsi="PingFang-SC-Regular" w:eastAsia="PingFang-SC-Regular" w:cs="PingFang-SC-Regular"/>
                <w:i w:val="0"/>
                <w:iCs w:val="0"/>
                <w:caps w:val="0"/>
                <w:color w:val="0D0D0D"/>
                <w:spacing w:val="0"/>
                <w:sz w:val="24"/>
                <w:szCs w:val="24"/>
                <w:shd w:val="clear" w:fill="FFFFFF"/>
              </w:rPr>
              <w:t>合理的布局便于固体废物的分类存放、运输和处理处置。</w:t>
            </w:r>
            <w:r>
              <w:rPr>
                <w:rFonts w:hint="eastAsia" w:cs="Times New Roman"/>
                <w:highlight w:val="none"/>
                <w:lang w:val="en-US" w:eastAsia="zh-CN"/>
              </w:rPr>
              <w:t>在污染源分布控制方面，总平面布置有利于污染物的收集、处理和排放，降低了污染风险。</w:t>
            </w:r>
            <w:r>
              <w:rPr>
                <w:rFonts w:ascii="PingFang-SC-Regular" w:hAnsi="PingFang-SC-Regular" w:eastAsia="PingFang-SC-Regular" w:cs="PingFang-SC-Regular"/>
                <w:i w:val="0"/>
                <w:iCs w:val="0"/>
                <w:caps w:val="0"/>
                <w:color w:val="0D0D0D"/>
                <w:spacing w:val="0"/>
                <w:sz w:val="24"/>
                <w:szCs w:val="24"/>
                <w:shd w:val="clear" w:fill="FFFFFF"/>
              </w:rPr>
              <w:t>本项目</w:t>
            </w:r>
            <w:r>
              <w:rPr>
                <w:rFonts w:hint="eastAsia" w:cs="Times New Roman"/>
                <w:highlight w:val="none"/>
                <w:lang w:val="en-US" w:eastAsia="zh-CN"/>
              </w:rPr>
              <w:t>污染源分布</w:t>
            </w:r>
            <w:r>
              <w:rPr>
                <w:rFonts w:ascii="PingFang-SC-Regular" w:hAnsi="PingFang-SC-Regular" w:eastAsia="PingFang-SC-Regular" w:cs="PingFang-SC-Regular"/>
                <w:i w:val="0"/>
                <w:iCs w:val="0"/>
                <w:caps w:val="0"/>
                <w:color w:val="0D0D0D"/>
                <w:spacing w:val="0"/>
                <w:sz w:val="24"/>
                <w:szCs w:val="24"/>
                <w:shd w:val="clear" w:fill="FFFFFF"/>
              </w:rPr>
              <w:t>具有较高的环境合理性</w:t>
            </w:r>
            <w:r>
              <w:rPr>
                <w:rFonts w:hint="default" w:ascii="Times New Roman" w:hAnsi="Times New Roman" w:cs="Times New Roman"/>
                <w:highlight w:val="none"/>
                <w:lang w:eastAsia="zh-CN"/>
              </w:rPr>
              <w:t>。</w:t>
            </w:r>
          </w:p>
          <w:p>
            <w:pPr>
              <w:pStyle w:val="44"/>
              <w:bidi w:val="0"/>
              <w:rPr>
                <w:rFonts w:hint="eastAsia" w:cs="Times New Roman"/>
                <w:highlight w:val="none"/>
                <w:lang w:val="en-US" w:eastAsia="zh-CN"/>
              </w:rPr>
            </w:pPr>
            <w:r>
              <w:rPr>
                <w:rFonts w:hint="eastAsia" w:ascii="PingFang-SC-Regular" w:hAnsi="PingFang-SC-Regular" w:eastAsia="宋体" w:cs="PingFang-SC-Regular"/>
                <w:i w:val="0"/>
                <w:iCs w:val="0"/>
                <w:caps w:val="0"/>
                <w:color w:val="0D0D0D"/>
                <w:spacing w:val="0"/>
                <w:sz w:val="24"/>
                <w:szCs w:val="24"/>
                <w:shd w:val="clear" w:fill="FFFFFF"/>
                <w:lang w:val="en-US" w:eastAsia="zh-CN"/>
              </w:rPr>
              <w:t>④库房</w:t>
            </w:r>
            <w:r>
              <w:rPr>
                <w:rFonts w:ascii="PingFang-SC-Regular" w:hAnsi="PingFang-SC-Regular" w:eastAsia="PingFang-SC-Regular" w:cs="PingFang-SC-Regular"/>
                <w:i w:val="0"/>
                <w:iCs w:val="0"/>
                <w:caps w:val="0"/>
                <w:color w:val="0D0D0D"/>
                <w:spacing w:val="0"/>
                <w:sz w:val="24"/>
                <w:szCs w:val="24"/>
                <w:shd w:val="clear" w:fill="FFFFFF"/>
              </w:rPr>
              <w:t>布置在厂区</w:t>
            </w:r>
            <w:r>
              <w:rPr>
                <w:rFonts w:hint="eastAsia" w:ascii="PingFang-SC-Regular" w:hAnsi="PingFang-SC-Regular" w:eastAsia="宋体" w:cs="PingFang-SC-Regular"/>
                <w:i w:val="0"/>
                <w:iCs w:val="0"/>
                <w:caps w:val="0"/>
                <w:color w:val="0D0D0D"/>
                <w:spacing w:val="0"/>
                <w:sz w:val="24"/>
                <w:szCs w:val="24"/>
                <w:shd w:val="clear" w:fill="FFFFFF"/>
                <w:lang w:val="en-US" w:eastAsia="zh-CN"/>
              </w:rPr>
              <w:t>中北</w:t>
            </w:r>
            <w:r>
              <w:rPr>
                <w:rFonts w:ascii="PingFang-SC-Regular" w:hAnsi="PingFang-SC-Regular" w:eastAsia="PingFang-SC-Regular" w:cs="PingFang-SC-Regular"/>
                <w:i w:val="0"/>
                <w:iCs w:val="0"/>
                <w:caps w:val="0"/>
                <w:color w:val="0D0D0D"/>
                <w:spacing w:val="0"/>
                <w:sz w:val="24"/>
                <w:szCs w:val="24"/>
                <w:shd w:val="clear" w:fill="FFFFFF"/>
              </w:rPr>
              <w:t>部，</w:t>
            </w:r>
            <w:r>
              <w:rPr>
                <w:rFonts w:hint="eastAsia" w:ascii="PingFang-SC-Regular" w:hAnsi="PingFang-SC-Regular" w:eastAsia="宋体" w:cs="PingFang-SC-Regular"/>
                <w:i w:val="0"/>
                <w:iCs w:val="0"/>
                <w:caps w:val="0"/>
                <w:color w:val="0D0D0D"/>
                <w:spacing w:val="0"/>
                <w:sz w:val="24"/>
                <w:szCs w:val="24"/>
                <w:shd w:val="clear" w:fill="FFFFFF"/>
                <w:lang w:val="en-US" w:eastAsia="zh-CN"/>
              </w:rPr>
              <w:t>办公</w:t>
            </w:r>
            <w:r>
              <w:rPr>
                <w:rFonts w:ascii="PingFang-SC-Regular" w:hAnsi="PingFang-SC-Regular" w:eastAsia="PingFang-SC-Regular" w:cs="PingFang-SC-Regular"/>
                <w:i w:val="0"/>
                <w:iCs w:val="0"/>
                <w:caps w:val="0"/>
                <w:color w:val="0D0D0D"/>
                <w:spacing w:val="0"/>
                <w:sz w:val="24"/>
                <w:szCs w:val="24"/>
                <w:shd w:val="clear" w:fill="FFFFFF"/>
              </w:rPr>
              <w:t>区设置在厂区</w:t>
            </w:r>
            <w:r>
              <w:rPr>
                <w:rFonts w:hint="eastAsia" w:ascii="PingFang-SC-Regular" w:hAnsi="PingFang-SC-Regular" w:eastAsia="宋体" w:cs="PingFang-SC-Regular"/>
                <w:i w:val="0"/>
                <w:iCs w:val="0"/>
                <w:caps w:val="0"/>
                <w:color w:val="0D0D0D"/>
                <w:spacing w:val="0"/>
                <w:sz w:val="24"/>
                <w:szCs w:val="24"/>
                <w:shd w:val="clear" w:fill="FFFFFF"/>
                <w:lang w:val="en-US" w:eastAsia="zh-CN"/>
              </w:rPr>
              <w:t>西</w:t>
            </w:r>
            <w:r>
              <w:rPr>
                <w:rFonts w:ascii="PingFang-SC-Regular" w:hAnsi="PingFang-SC-Regular" w:eastAsia="PingFang-SC-Regular" w:cs="PingFang-SC-Regular"/>
                <w:i w:val="0"/>
                <w:iCs w:val="0"/>
                <w:caps w:val="0"/>
                <w:color w:val="0D0D0D"/>
                <w:spacing w:val="0"/>
                <w:sz w:val="24"/>
                <w:szCs w:val="24"/>
                <w:shd w:val="clear" w:fill="FFFFFF"/>
              </w:rPr>
              <w:t>北角</w:t>
            </w:r>
            <w:r>
              <w:rPr>
                <w:rFonts w:hint="eastAsia" w:ascii="PingFang-SC-Regular" w:hAnsi="PingFang-SC-Regular" w:eastAsia="宋体" w:cs="PingFang-SC-Regular"/>
                <w:i w:val="0"/>
                <w:iCs w:val="0"/>
                <w:caps w:val="0"/>
                <w:color w:val="0D0D0D"/>
                <w:spacing w:val="0"/>
                <w:sz w:val="24"/>
                <w:szCs w:val="24"/>
                <w:shd w:val="clear" w:fill="FFFFFF"/>
                <w:lang w:eastAsia="zh-CN"/>
              </w:rPr>
              <w:t>，</w:t>
            </w:r>
            <w:r>
              <w:rPr>
                <w:rFonts w:ascii="PingFang-SC-Regular" w:hAnsi="PingFang-SC-Regular" w:eastAsia="PingFang-SC-Regular" w:cs="PingFang-SC-Regular"/>
                <w:i w:val="0"/>
                <w:iCs w:val="0"/>
                <w:caps w:val="0"/>
                <w:color w:val="0D0D0D"/>
                <w:spacing w:val="0"/>
                <w:sz w:val="24"/>
                <w:szCs w:val="24"/>
                <w:shd w:val="clear" w:fill="FFFFFF"/>
              </w:rPr>
              <w:t>生产区位于厂区</w:t>
            </w:r>
            <w:r>
              <w:rPr>
                <w:rFonts w:hint="eastAsia" w:ascii="PingFang-SC-Regular" w:hAnsi="PingFang-SC-Regular" w:eastAsia="宋体" w:cs="PingFang-SC-Regular"/>
                <w:i w:val="0"/>
                <w:iCs w:val="0"/>
                <w:caps w:val="0"/>
                <w:color w:val="0D0D0D"/>
                <w:spacing w:val="0"/>
                <w:sz w:val="24"/>
                <w:szCs w:val="24"/>
                <w:shd w:val="clear" w:fill="FFFFFF"/>
                <w:lang w:val="en-US" w:eastAsia="zh-CN"/>
              </w:rPr>
              <w:t>东</w:t>
            </w:r>
            <w:r>
              <w:rPr>
                <w:rFonts w:ascii="PingFang-SC-Regular" w:hAnsi="PingFang-SC-Regular" w:eastAsia="PingFang-SC-Regular" w:cs="PingFang-SC-Regular"/>
                <w:i w:val="0"/>
                <w:iCs w:val="0"/>
                <w:caps w:val="0"/>
                <w:color w:val="0D0D0D"/>
                <w:spacing w:val="0"/>
                <w:sz w:val="24"/>
                <w:szCs w:val="24"/>
                <w:shd w:val="clear" w:fill="FFFFFF"/>
              </w:rPr>
              <w:t>部，处于年主导风向（</w:t>
            </w:r>
            <w:r>
              <w:rPr>
                <w:rFonts w:hint="eastAsia" w:ascii="PingFang-SC-Regular" w:hAnsi="PingFang-SC-Regular" w:eastAsia="宋体" w:cs="PingFang-SC-Regular"/>
                <w:i w:val="0"/>
                <w:iCs w:val="0"/>
                <w:caps w:val="0"/>
                <w:color w:val="0D0D0D"/>
                <w:spacing w:val="0"/>
                <w:sz w:val="24"/>
                <w:szCs w:val="24"/>
                <w:shd w:val="clear" w:fill="FFFFFF"/>
                <w:lang w:val="en-US" w:eastAsia="zh-CN"/>
              </w:rPr>
              <w:t>西北</w:t>
            </w:r>
            <w:r>
              <w:rPr>
                <w:rFonts w:ascii="PingFang-SC-Regular" w:hAnsi="PingFang-SC-Regular" w:eastAsia="PingFang-SC-Regular" w:cs="PingFang-SC-Regular"/>
                <w:i w:val="0"/>
                <w:iCs w:val="0"/>
                <w:caps w:val="0"/>
                <w:color w:val="0D0D0D"/>
                <w:spacing w:val="0"/>
                <w:sz w:val="24"/>
                <w:szCs w:val="24"/>
                <w:shd w:val="clear" w:fill="FFFFFF"/>
              </w:rPr>
              <w:t>风）的下风向。生产过程中产生的</w:t>
            </w:r>
            <w:r>
              <w:rPr>
                <w:rFonts w:hint="eastAsia" w:ascii="PingFang-SC-Regular" w:hAnsi="PingFang-SC-Regular" w:eastAsia="宋体" w:cs="PingFang-SC-Regular"/>
                <w:i w:val="0"/>
                <w:iCs w:val="0"/>
                <w:caps w:val="0"/>
                <w:color w:val="0D0D0D"/>
                <w:spacing w:val="0"/>
                <w:sz w:val="24"/>
                <w:szCs w:val="24"/>
                <w:shd w:val="clear" w:fill="FFFFFF"/>
                <w:lang w:val="en-US" w:eastAsia="zh-CN"/>
              </w:rPr>
              <w:t>粉尘</w:t>
            </w:r>
            <w:r>
              <w:rPr>
                <w:rFonts w:ascii="PingFang-SC-Regular" w:hAnsi="PingFang-SC-Regular" w:eastAsia="PingFang-SC-Regular" w:cs="PingFang-SC-Regular"/>
                <w:i w:val="0"/>
                <w:iCs w:val="0"/>
                <w:caps w:val="0"/>
                <w:color w:val="0D0D0D"/>
                <w:spacing w:val="0"/>
                <w:sz w:val="24"/>
                <w:szCs w:val="24"/>
                <w:shd w:val="clear" w:fill="FFFFFF"/>
              </w:rPr>
              <w:t>废气能够顺着风向远离</w:t>
            </w:r>
            <w:r>
              <w:rPr>
                <w:rFonts w:hint="eastAsia" w:ascii="PingFang-SC-Regular" w:hAnsi="PingFang-SC-Regular" w:eastAsia="宋体" w:cs="PingFang-SC-Regular"/>
                <w:i w:val="0"/>
                <w:iCs w:val="0"/>
                <w:caps w:val="0"/>
                <w:color w:val="0D0D0D"/>
                <w:spacing w:val="0"/>
                <w:sz w:val="24"/>
                <w:szCs w:val="24"/>
                <w:shd w:val="clear" w:fill="FFFFFF"/>
                <w:lang w:val="en-US" w:eastAsia="zh-CN"/>
              </w:rPr>
              <w:t>西北</w:t>
            </w:r>
            <w:r>
              <w:rPr>
                <w:rFonts w:ascii="PingFang-SC-Regular" w:hAnsi="PingFang-SC-Regular" w:eastAsia="PingFang-SC-Regular" w:cs="PingFang-SC-Regular"/>
                <w:i w:val="0"/>
                <w:iCs w:val="0"/>
                <w:caps w:val="0"/>
                <w:color w:val="0D0D0D"/>
                <w:spacing w:val="0"/>
                <w:sz w:val="24"/>
                <w:szCs w:val="24"/>
                <w:shd w:val="clear" w:fill="FFFFFF"/>
              </w:rPr>
              <w:t>侧的</w:t>
            </w:r>
            <w:r>
              <w:rPr>
                <w:rFonts w:hint="eastAsia" w:ascii="PingFang-SC-Regular" w:hAnsi="PingFang-SC-Regular" w:eastAsia="宋体" w:cs="PingFang-SC-Regular"/>
                <w:i w:val="0"/>
                <w:iCs w:val="0"/>
                <w:caps w:val="0"/>
                <w:color w:val="0D0D0D"/>
                <w:spacing w:val="0"/>
                <w:sz w:val="24"/>
                <w:szCs w:val="24"/>
                <w:shd w:val="clear" w:fill="FFFFFF"/>
                <w:lang w:val="en-US" w:eastAsia="zh-CN"/>
              </w:rPr>
              <w:t>办公</w:t>
            </w:r>
            <w:r>
              <w:rPr>
                <w:rFonts w:ascii="PingFang-SC-Regular" w:hAnsi="PingFang-SC-Regular" w:eastAsia="PingFang-SC-Regular" w:cs="PingFang-SC-Regular"/>
                <w:i w:val="0"/>
                <w:iCs w:val="0"/>
                <w:caps w:val="0"/>
                <w:color w:val="0D0D0D"/>
                <w:spacing w:val="0"/>
                <w:sz w:val="24"/>
                <w:szCs w:val="24"/>
                <w:shd w:val="clear" w:fill="FFFFFF"/>
              </w:rPr>
              <w:t>区，减少对</w:t>
            </w:r>
            <w:r>
              <w:rPr>
                <w:rFonts w:hint="eastAsia" w:ascii="PingFang-SC-Regular" w:hAnsi="PingFang-SC-Regular" w:eastAsia="宋体" w:cs="PingFang-SC-Regular"/>
                <w:i w:val="0"/>
                <w:iCs w:val="0"/>
                <w:caps w:val="0"/>
                <w:color w:val="0D0D0D"/>
                <w:spacing w:val="0"/>
                <w:sz w:val="24"/>
                <w:szCs w:val="24"/>
                <w:shd w:val="clear" w:fill="FFFFFF"/>
                <w:lang w:val="en-US" w:eastAsia="zh-CN"/>
              </w:rPr>
              <w:t>厂区职工办公</w:t>
            </w:r>
            <w:r>
              <w:rPr>
                <w:rFonts w:ascii="PingFang-SC-Regular" w:hAnsi="PingFang-SC-Regular" w:eastAsia="PingFang-SC-Regular" w:cs="PingFang-SC-Regular"/>
                <w:i w:val="0"/>
                <w:iCs w:val="0"/>
                <w:caps w:val="0"/>
                <w:color w:val="0D0D0D"/>
                <w:spacing w:val="0"/>
                <w:sz w:val="24"/>
                <w:szCs w:val="24"/>
                <w:shd w:val="clear" w:fill="FFFFFF"/>
              </w:rPr>
              <w:t>环境的影响。</w:t>
            </w:r>
            <w:r>
              <w:rPr>
                <w:rFonts w:hint="eastAsia" w:ascii="PingFang-SC-Regular" w:hAnsi="PingFang-SC-Regular" w:eastAsia="宋体" w:cs="PingFang-SC-Regular"/>
                <w:i w:val="0"/>
                <w:iCs w:val="0"/>
                <w:caps w:val="0"/>
                <w:color w:val="0D0D0D"/>
                <w:spacing w:val="0"/>
                <w:sz w:val="24"/>
                <w:szCs w:val="24"/>
                <w:shd w:val="clear" w:fill="FFFFFF"/>
                <w:lang w:val="en-US" w:eastAsia="zh-CN"/>
              </w:rPr>
              <w:t>库房</w:t>
            </w:r>
            <w:r>
              <w:rPr>
                <w:rFonts w:ascii="PingFang-SC-Regular" w:hAnsi="PingFang-SC-Regular" w:eastAsia="PingFang-SC-Regular" w:cs="PingFang-SC-Regular"/>
                <w:i w:val="0"/>
                <w:iCs w:val="0"/>
                <w:caps w:val="0"/>
                <w:color w:val="0D0D0D"/>
                <w:spacing w:val="0"/>
                <w:sz w:val="24"/>
                <w:szCs w:val="24"/>
                <w:shd w:val="clear" w:fill="FFFFFF"/>
              </w:rPr>
              <w:t>布局使得仓储</w:t>
            </w:r>
            <w:r>
              <w:rPr>
                <w:rFonts w:hint="eastAsia" w:ascii="PingFang-SC-Regular" w:hAnsi="PingFang-SC-Regular" w:eastAsia="宋体" w:cs="PingFang-SC-Regular"/>
                <w:i w:val="0"/>
                <w:iCs w:val="0"/>
                <w:caps w:val="0"/>
                <w:color w:val="0D0D0D"/>
                <w:spacing w:val="0"/>
                <w:sz w:val="24"/>
                <w:szCs w:val="24"/>
                <w:shd w:val="clear" w:fill="FFFFFF"/>
                <w:lang w:val="en-US" w:eastAsia="zh-CN"/>
              </w:rPr>
              <w:t>场内转运</w:t>
            </w:r>
            <w:r>
              <w:rPr>
                <w:rFonts w:ascii="PingFang-SC-Regular" w:hAnsi="PingFang-SC-Regular" w:eastAsia="PingFang-SC-Regular" w:cs="PingFang-SC-Regular"/>
                <w:i w:val="0"/>
                <w:iCs w:val="0"/>
                <w:caps w:val="0"/>
                <w:color w:val="0D0D0D"/>
                <w:spacing w:val="0"/>
                <w:sz w:val="24"/>
                <w:szCs w:val="24"/>
                <w:shd w:val="clear" w:fill="FFFFFF"/>
              </w:rPr>
              <w:t>活动和运行过程中可能产生的污染物，在不同季节的主导风向作用下，能够尽量减少对周边环境的影响。</w:t>
            </w:r>
          </w:p>
          <w:p>
            <w:pPr>
              <w:pStyle w:val="44"/>
              <w:bidi w:val="0"/>
              <w:rPr>
                <w:rFonts w:hint="eastAsia" w:cs="Times New Roman"/>
                <w:highlight w:val="none"/>
                <w:lang w:val="en-US" w:eastAsia="zh-CN"/>
              </w:rPr>
            </w:pPr>
            <w:r>
              <w:rPr>
                <w:rFonts w:hint="eastAsia" w:cs="Times New Roman"/>
                <w:highlight w:val="none"/>
                <w:lang w:val="en-US" w:eastAsia="zh-CN"/>
              </w:rPr>
              <w:t>⑤根据《自治州河湖水域岸线管理和保护范围划定工作方案》（巴政办发〔2019〕20号），包括已开发利用的自治区级河流：开都河—孔雀河（流经和静县、焉耆回族自治县、博湖县、库尔勒市、尉犁县）管理与保护范围划定标准。河湖水域岸线的管理范围根据批准的河道（泊）岸线管理利用规划确定的岸线控制线划定。岸线控制线分为临水控制线和外缘控制线。临水控制线是指为稳定河势、保障河道行洪安全、维护河流健康生命的基本要求，在河岸的临水一侧划定的管理控制线。外临水控制线是指为稳定河势，保障河道行洪安全和维护河流边缘控制线是指岸线资源保护和管理的外缘边界线，一般以河道（湖泊）堤防工程背水侧管理范围的外边线作为外缘控制线，无堤段河道（湖泊）以设计洪水位与岸边的交界线作为外缘控制线。保护范围自外缘控制线向外划定，年径流量在1.0亿立方米以上的河道，保护范围50～100米。年径流量在1.0亿立方米以下的河道，保护范围30～60米。</w:t>
            </w:r>
          </w:p>
          <w:p>
            <w:pPr>
              <w:pStyle w:val="44"/>
              <w:bidi w:val="0"/>
              <w:rPr>
                <w:rFonts w:hint="eastAsia" w:cs="Times New Roman"/>
                <w:highlight w:val="none"/>
                <w:lang w:val="en-US" w:eastAsia="zh-CN"/>
              </w:rPr>
            </w:pPr>
            <w:r>
              <w:rPr>
                <w:rFonts w:hint="eastAsia" w:cs="Times New Roman"/>
                <w:highlight w:val="none"/>
                <w:lang w:val="en-US" w:eastAsia="zh-CN"/>
              </w:rPr>
              <w:t>项目</w:t>
            </w:r>
            <w:r>
              <w:rPr>
                <w:highlight w:val="none"/>
                <w:lang w:val="en-US" w:eastAsia="zh-CN"/>
              </w:rPr>
              <w:t>厂区西侧</w:t>
            </w:r>
            <w:r>
              <w:rPr>
                <w:rFonts w:hint="eastAsia"/>
                <w:highlight w:val="none"/>
                <w:lang w:val="en-US" w:eastAsia="zh-CN"/>
              </w:rPr>
              <w:t>与博林木业（木材加工厂）</w:t>
            </w:r>
            <w:r>
              <w:rPr>
                <w:highlight w:val="none"/>
                <w:lang w:val="en-US" w:eastAsia="zh-CN"/>
              </w:rPr>
              <w:t>相邻</w:t>
            </w:r>
            <w:r>
              <w:rPr>
                <w:rFonts w:hint="eastAsia"/>
                <w:highlight w:val="none"/>
                <w:lang w:val="en-US" w:eastAsia="zh-CN"/>
              </w:rPr>
              <w:t>、与其西侧的开都河最近处相距约110m，化粪池、危废贮存点分别布设于厂区西北侧和东南侧，相距开都河距离分别为130m、120m，均</w:t>
            </w:r>
            <w:r>
              <w:rPr>
                <w:rFonts w:hint="eastAsia" w:cs="Times New Roman"/>
                <w:highlight w:val="none"/>
                <w:lang w:val="en-US" w:eastAsia="zh-CN"/>
              </w:rPr>
              <w:t>不在河道保护范围内，满足河道管理相关要求。</w:t>
            </w:r>
          </w:p>
          <w:p>
            <w:pPr>
              <w:pStyle w:val="44"/>
              <w:bidi w:val="0"/>
              <w:rPr>
                <w:rFonts w:hint="default" w:ascii="Times New Roman" w:hAnsi="Times New Roman" w:cs="Times New Roman"/>
                <w:highlight w:val="none"/>
              </w:rPr>
            </w:pPr>
            <w:r>
              <w:rPr>
                <w:rFonts w:hint="default" w:ascii="Times New Roman" w:hAnsi="Times New Roman" w:cs="Times New Roman"/>
                <w:highlight w:val="none"/>
              </w:rPr>
              <w:t>本项目与</w:t>
            </w:r>
            <w:r>
              <w:rPr>
                <w:rFonts w:hint="eastAsia" w:ascii="Times New Roman" w:hAnsi="Times New Roman" w:cs="Times New Roman"/>
                <w:highlight w:val="none"/>
                <w:lang w:val="en-US" w:eastAsia="zh-CN"/>
              </w:rPr>
              <w:t>博湖县</w:t>
            </w:r>
            <w:r>
              <w:rPr>
                <w:rFonts w:hint="default" w:ascii="Times New Roman" w:hAnsi="Times New Roman" w:cs="Times New Roman"/>
                <w:highlight w:val="none"/>
                <w:lang w:val="en-US" w:eastAsia="zh-CN"/>
              </w:rPr>
              <w:t>国土空间总体规划</w:t>
            </w:r>
            <w:r>
              <w:rPr>
                <w:rFonts w:hint="default" w:ascii="Times New Roman" w:hAnsi="Times New Roman" w:cs="Times New Roman"/>
                <w:highlight w:val="none"/>
              </w:rPr>
              <w:t>相符，</w:t>
            </w:r>
            <w:r>
              <w:rPr>
                <w:rFonts w:hint="default" w:ascii="Times New Roman" w:hAnsi="Times New Roman" w:cs="Times New Roman"/>
                <w:highlight w:val="none"/>
                <w:lang w:val="en-US" w:eastAsia="zh-CN"/>
              </w:rPr>
              <w:t>综上，本项目的选址较为合理</w:t>
            </w:r>
            <w:r>
              <w:rPr>
                <w:rFonts w:hint="default" w:ascii="Times New Roman" w:hAnsi="Times New Roman" w:cs="Times New Roman"/>
                <w:highlight w:val="none"/>
              </w:rPr>
              <w:t>。</w:t>
            </w:r>
          </w:p>
          <w:p>
            <w:pPr>
              <w:pStyle w:val="44"/>
              <w:bidi w:val="0"/>
              <w:rPr>
                <w:rFonts w:hint="default" w:ascii="Times New Roman" w:hAnsi="Times New Roman" w:cs="Times New Roman"/>
                <w:highlight w:val="none"/>
              </w:rPr>
            </w:pPr>
            <w:r>
              <w:rPr>
                <w:rFonts w:hint="eastAsia" w:cs="Times New Roman"/>
                <w:b/>
                <w:bCs/>
                <w:highlight w:val="none"/>
                <w:lang w:val="en-US" w:eastAsia="zh-CN"/>
              </w:rPr>
              <w:t>8.</w:t>
            </w:r>
            <w:r>
              <w:rPr>
                <w:rFonts w:hint="default" w:ascii="Times New Roman" w:hAnsi="Times New Roman" w:cs="Times New Roman"/>
                <w:b/>
                <w:bCs/>
                <w:highlight w:val="none"/>
              </w:rPr>
              <w:t>与《新疆维吾尔自治区17个新增纳入国家重点生态功能区县（市）产业准入负面清单（试行）》符合性分析</w:t>
            </w:r>
          </w:p>
          <w:p>
            <w:pPr>
              <w:pStyle w:val="44"/>
              <w:bidi w:val="0"/>
              <w:rPr>
                <w:rFonts w:hint="eastAsia" w:ascii="Times New Roman" w:hAnsi="Times New Roman" w:eastAsia="宋体" w:cs="Times New Roman"/>
                <w:highlight w:val="none"/>
                <w:lang w:val="en-US" w:eastAsia="zh-CN"/>
              </w:rPr>
            </w:pPr>
            <w:r>
              <w:rPr>
                <w:rFonts w:hint="eastAsia" w:cs="Times New Roman"/>
                <w:highlight w:val="none"/>
                <w:lang w:val="en-US" w:eastAsia="zh-CN"/>
              </w:rPr>
              <w:t>根据《关于印发新疆维吾尔自治区17个新增纳入国家重点生态功能区县（市）产业准入负面清单（试行）的通知》（新发改规划〔2017〕1796号），博湖县属生物多样性维护型生态功能区。本负面清单涉及国民经济7门类15大类25中类25小类。其中禁止类涉及国民经济3门类6大类7中类7小类，限制类涉及国民经济6门类12大类18中类18小类。列入清单限制类产业有：《指导目录》中的限制类以及所处重点生态功能区发展方向和开发管制原则不相符合的允许类、鼓励类产业。列入清单禁止类产业有：《指导目录》中的淘汰类，以及具备区域资源禀赋条件但不符合所处重点生态功能区开发管制原则的限制类、允许类、鼓励类产业。</w:t>
            </w:r>
          </w:p>
          <w:p>
            <w:pPr>
              <w:pStyle w:val="44"/>
              <w:bidi w:val="0"/>
              <w:rPr>
                <w:rFonts w:hint="default" w:ascii="Times New Roman" w:hAnsi="Times New Roman" w:cs="Times New Roman"/>
                <w:highlight w:val="none"/>
              </w:rPr>
            </w:pPr>
            <w:r>
              <w:rPr>
                <w:rFonts w:hint="default" w:ascii="Times New Roman" w:hAnsi="Times New Roman" w:cs="Times New Roman"/>
                <w:highlight w:val="none"/>
              </w:rPr>
              <w:t>本项目属于</w:t>
            </w:r>
            <w:r>
              <w:rPr>
                <w:rFonts w:hint="default" w:ascii="Times New Roman" w:hAnsi="Times New Roman" w:cs="Times New Roman"/>
                <w:highlight w:val="none"/>
                <w:lang w:val="en-US" w:eastAsia="zh-CN"/>
              </w:rPr>
              <w:t>水泥制品</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砼结构构件制造</w:t>
            </w:r>
            <w:r>
              <w:rPr>
                <w:rFonts w:hint="default" w:ascii="Times New Roman" w:hAnsi="Times New Roman" w:cs="Times New Roman"/>
                <w:highlight w:val="none"/>
              </w:rPr>
              <w:t>项目，</w:t>
            </w:r>
            <w:r>
              <w:rPr>
                <w:rFonts w:hint="default" w:ascii="Times New Roman" w:hAnsi="Times New Roman" w:cs="Times New Roman"/>
                <w:highlight w:val="none"/>
                <w:lang w:val="en-US" w:eastAsia="zh-CN"/>
              </w:rPr>
              <w:t>根据</w:t>
            </w:r>
            <w:r>
              <w:rPr>
                <w:rFonts w:hint="default" w:ascii="Times New Roman" w:hAnsi="Times New Roman" w:cs="Times New Roman"/>
                <w:highlight w:val="none"/>
              </w:rPr>
              <w:t>《产业结构调整指导目录（20</w:t>
            </w:r>
            <w:r>
              <w:rPr>
                <w:rFonts w:hint="default" w:ascii="Times New Roman" w:hAnsi="Times New Roman" w:cs="Times New Roman"/>
                <w:highlight w:val="none"/>
                <w:lang w:val="en-US" w:eastAsia="zh-CN"/>
              </w:rPr>
              <w:t>24</w:t>
            </w:r>
            <w:r>
              <w:rPr>
                <w:rFonts w:hint="default" w:ascii="Times New Roman" w:hAnsi="Times New Roman" w:cs="Times New Roman"/>
                <w:highlight w:val="none"/>
              </w:rPr>
              <w:t>年本）》</w:t>
            </w:r>
            <w:r>
              <w:rPr>
                <w:rFonts w:hint="default" w:ascii="Times New Roman" w:hAnsi="Times New Roman" w:cs="Times New Roman"/>
                <w:highlight w:val="none"/>
                <w:lang w:val="en-US" w:eastAsia="zh-CN"/>
              </w:rPr>
              <w:t>，本项目不属于鼓励类、限制类和淘汰类，属于允许类。2024年</w:t>
            </w:r>
            <w:r>
              <w:rPr>
                <w:rFonts w:hint="eastAsia" w:ascii="Times New Roman" w:hAnsi="Times New Roman" w:cs="Times New Roman"/>
                <w:highlight w:val="none"/>
                <w:lang w:val="en-US" w:eastAsia="zh-CN"/>
              </w:rPr>
              <w:t>12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博湖县</w:t>
            </w:r>
            <w:r>
              <w:rPr>
                <w:rFonts w:hint="default" w:ascii="Times New Roman" w:hAnsi="Times New Roman" w:cs="Times New Roman"/>
                <w:highlight w:val="none"/>
                <w:lang w:val="en-US" w:eastAsia="zh-CN"/>
              </w:rPr>
              <w:t>发展和改革委员会出具了项目的备案证（备案证号：2412101777652800000175）。</w:t>
            </w:r>
            <w:r>
              <w:rPr>
                <w:rFonts w:hint="eastAsia" w:ascii="Times New Roman" w:hAnsi="Times New Roman" w:cs="Times New Roman"/>
                <w:highlight w:val="none"/>
                <w:lang w:val="en-US" w:eastAsia="zh-CN"/>
              </w:rPr>
              <w:t>不属于负面清单建设项目，符合《新疆维吾尔自治区17个新增纳入国家重点生态功能区县（市）产业准入负面清单（试行）》要求。</w:t>
            </w:r>
          </w:p>
          <w:p>
            <w:pPr>
              <w:pStyle w:val="44"/>
              <w:bidi w:val="0"/>
              <w:rPr>
                <w:rFonts w:hint="default" w:ascii="Times New Roman" w:hAnsi="Times New Roman" w:eastAsia="宋体" w:cs="Times New Roman"/>
                <w:highlight w:val="none"/>
                <w:lang w:val="en-US" w:eastAsia="zh-CN"/>
              </w:rPr>
            </w:pPr>
            <w:r>
              <w:rPr>
                <w:rFonts w:hint="eastAsia" w:cs="Times New Roman"/>
                <w:b/>
                <w:bCs/>
                <w:highlight w:val="none"/>
                <w:lang w:val="en-US" w:eastAsia="zh-CN"/>
              </w:rPr>
              <w:t>9.与《新疆维吾尔自治区2025年空气质量持续改善行动实施方案》（新政办发〔2024〕58号）符合性分析</w:t>
            </w:r>
          </w:p>
          <w:p>
            <w:pPr>
              <w:pStyle w:val="44"/>
              <w:bidi w:val="0"/>
              <w:rPr>
                <w:rFonts w:hint="eastAsia" w:ascii="Times New Roman" w:hAnsi="Times New Roman" w:eastAsia="宋体" w:cs="Times New Roman"/>
                <w:highlight w:val="none"/>
                <w:lang w:val="en-US" w:eastAsia="zh-CN"/>
              </w:rPr>
            </w:pPr>
            <w:r>
              <w:rPr>
                <w:rFonts w:hint="eastAsia" w:cs="Times New Roman"/>
                <w:highlight w:val="none"/>
                <w:lang w:val="en-US" w:eastAsia="zh-CN"/>
              </w:rPr>
              <w:t>根据新疆维吾尔自治区人民政府办公厅 新疆生产建设兵团办公厅《关于印发</w:t>
            </w:r>
            <w:r>
              <w:rPr>
                <w:rFonts w:hint="eastAsia" w:ascii="微软雅黑" w:hAnsi="微软雅黑" w:eastAsia="微软雅黑" w:cs="微软雅黑"/>
                <w:highlight w:val="none"/>
                <w:lang w:val="en-US" w:eastAsia="zh-CN"/>
              </w:rPr>
              <w:t>〈</w:t>
            </w:r>
            <w:r>
              <w:rPr>
                <w:rFonts w:hint="eastAsia" w:cs="Times New Roman"/>
                <w:highlight w:val="none"/>
                <w:lang w:val="en-US" w:eastAsia="zh-CN"/>
              </w:rPr>
              <w:t>新疆维吾尔自治区2025年空气质量持续改善行动实施方案</w:t>
            </w:r>
            <w:r>
              <w:rPr>
                <w:rFonts w:hint="eastAsia" w:ascii="微软雅黑" w:hAnsi="微软雅黑" w:eastAsia="微软雅黑" w:cs="微软雅黑"/>
                <w:highlight w:val="none"/>
                <w:lang w:val="en-US" w:eastAsia="zh-CN"/>
              </w:rPr>
              <w:t>〉</w:t>
            </w:r>
            <w:r>
              <w:rPr>
                <w:rFonts w:hint="eastAsia" w:cs="Times New Roman"/>
                <w:highlight w:val="none"/>
                <w:lang w:val="en-US" w:eastAsia="zh-CN"/>
              </w:rPr>
              <w:t>的通知》（新政办发〔2024〕58号）：“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pPr>
              <w:pStyle w:val="44"/>
              <w:bidi w:val="0"/>
              <w:rPr>
                <w:rFonts w:hint="default" w:cs="Times New Roman"/>
                <w:highlight w:val="none"/>
                <w:lang w:val="en-US" w:eastAsia="zh-CN"/>
              </w:rPr>
            </w:pPr>
            <w:r>
              <w:rPr>
                <w:rFonts w:hint="eastAsia" w:cs="Times New Roman"/>
                <w:highlight w:val="none"/>
                <w:lang w:val="en-US" w:eastAsia="zh-CN"/>
              </w:rPr>
              <w:t>本项目属于《产业结构调整指导目录（2024年本）》中允许类项目，符合国家及地方产业政策；本项目不属于高污染（排放）、高能（水）耗、高环境风险的工业项目。项目建设符合《新疆维吾尔自治区2025年空气质量持续改善行动实施方案》（新政办发〔2024〕58号）要求。</w:t>
            </w:r>
          </w:p>
          <w:p>
            <w:pPr>
              <w:pStyle w:val="44"/>
              <w:bidi w:val="0"/>
              <w:rPr>
                <w:rFonts w:hint="default" w:ascii="Times New Roman" w:hAnsi="Times New Roman" w:cs="Times New Roman"/>
                <w:highlight w:val="none"/>
              </w:rPr>
            </w:pPr>
          </w:p>
          <w:p>
            <w:pPr>
              <w:pStyle w:val="44"/>
              <w:bidi w:val="0"/>
              <w:rPr>
                <w:rFonts w:hint="default" w:ascii="Times New Roman" w:hAnsi="Times New Roman" w:cs="Times New Roman"/>
                <w:highlight w:val="none"/>
              </w:rPr>
            </w:pPr>
          </w:p>
          <w:p>
            <w:pPr>
              <w:pStyle w:val="44"/>
              <w:bidi w:val="0"/>
              <w:rPr>
                <w:rFonts w:hint="default" w:ascii="Times New Roman" w:hAnsi="Times New Roman" w:cs="Times New Roman"/>
                <w:highlight w:val="none"/>
                <w:lang w:val="en-US" w:eastAsia="zh-CN"/>
              </w:rPr>
            </w:pPr>
          </w:p>
        </w:tc>
      </w:tr>
    </w:tbl>
    <w:p>
      <w:pPr>
        <w:spacing w:line="360" w:lineRule="auto"/>
        <w:outlineLvl w:val="0"/>
        <w:rPr>
          <w:rFonts w:eastAsia="黑体"/>
          <w:sz w:val="30"/>
          <w:highlight w:val="none"/>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二、建设项目工程分析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2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92" w:hRule="atLeast"/>
          <w:jc w:val="center"/>
        </w:trPr>
        <w:tc>
          <w:tcPr>
            <w:tcW w:w="823" w:type="dxa"/>
            <w:noWrap w:val="0"/>
            <w:vAlign w:val="center"/>
          </w:tcPr>
          <w:p>
            <w:pPr>
              <w:pStyle w:val="44"/>
              <w:bidi w:val="0"/>
              <w:ind w:left="0" w:leftChars="0" w:firstLine="0" w:firstLineChars="0"/>
              <w:jc w:val="center"/>
              <w:rPr>
                <w:rFonts w:hint="default" w:ascii="Times New Roman" w:hAnsi="Times New Roman" w:cs="Times New Roman"/>
                <w:highlight w:val="none"/>
                <w:lang w:val="en-US" w:eastAsia="zh-CN"/>
              </w:rPr>
            </w:pPr>
            <w:r>
              <w:rPr>
                <w:rFonts w:hint="eastAsia" w:ascii="Times New Roman" w:hAnsi="Times New Roman" w:eastAsia="Times New Roman" w:cs="Times New Roman"/>
                <w:kern w:val="0"/>
                <w:sz w:val="24"/>
                <w:szCs w:val="24"/>
                <w:highlight w:val="none"/>
                <w:lang w:val="en-US" w:eastAsia="zh-CN" w:bidi="ar-SA"/>
              </w:rPr>
              <w:t>建设内容</w:t>
            </w:r>
          </w:p>
        </w:tc>
        <w:tc>
          <w:tcPr>
            <w:tcW w:w="8161" w:type="dxa"/>
            <w:noWrap w:val="0"/>
            <w:vAlign w:val="center"/>
          </w:tcPr>
          <w:p>
            <w:pPr>
              <w:pStyle w:val="44"/>
              <w:bidi w:val="0"/>
              <w:rPr>
                <w:rFonts w:hint="eastAsia"/>
                <w:b/>
                <w:bCs/>
                <w:highlight w:val="none"/>
                <w:lang w:val="en-US" w:eastAsia="zh-CN"/>
              </w:rPr>
            </w:pPr>
            <w:r>
              <w:rPr>
                <w:rFonts w:hint="eastAsia"/>
                <w:b/>
                <w:bCs/>
                <w:highlight w:val="none"/>
                <w:lang w:val="en-US" w:eastAsia="zh-CN"/>
              </w:rPr>
              <w:t>1.项目建设内容及规模</w:t>
            </w:r>
          </w:p>
          <w:p>
            <w:pPr>
              <w:pStyle w:val="44"/>
              <w:bidi w:val="0"/>
              <w:rPr>
                <w:highlight w:val="none"/>
                <w:lang w:val="en-US" w:eastAsia="zh-CN"/>
              </w:rPr>
            </w:pPr>
            <w:r>
              <w:rPr>
                <w:highlight w:val="none"/>
                <w:lang w:val="en-US" w:eastAsia="zh-CN"/>
              </w:rPr>
              <w:t>（1）地理位置及周边关系</w:t>
            </w:r>
          </w:p>
          <w:p>
            <w:pPr>
              <w:pStyle w:val="44"/>
              <w:bidi w:val="0"/>
              <w:rPr>
                <w:highlight w:val="none"/>
                <w:lang w:val="en-US" w:eastAsia="zh-CN"/>
              </w:rPr>
            </w:pPr>
            <w:r>
              <w:rPr>
                <w:highlight w:val="none"/>
                <w:lang w:val="en-US" w:eastAsia="zh-CN"/>
              </w:rPr>
              <w:t>本项目位于新疆巴州</w:t>
            </w:r>
            <w:r>
              <w:rPr>
                <w:rFonts w:hint="eastAsia"/>
                <w:highlight w:val="none"/>
                <w:lang w:val="en-US" w:eastAsia="zh-CN"/>
              </w:rPr>
              <w:t>博湖</w:t>
            </w:r>
            <w:r>
              <w:rPr>
                <w:highlight w:val="none"/>
                <w:lang w:val="en-US" w:eastAsia="zh-CN"/>
              </w:rPr>
              <w:t>县</w:t>
            </w:r>
            <w:r>
              <w:rPr>
                <w:rFonts w:hint="eastAsia"/>
                <w:highlight w:val="none"/>
                <w:lang w:val="en-US" w:eastAsia="zh-CN"/>
              </w:rPr>
              <w:t>本布图镇</w:t>
            </w:r>
            <w:r>
              <w:rPr>
                <w:highlight w:val="none"/>
                <w:lang w:val="en-US" w:eastAsia="zh-CN"/>
              </w:rPr>
              <w:t>，厂区地理位置</w:t>
            </w:r>
            <w:r>
              <w:rPr>
                <w:rFonts w:hint="eastAsia"/>
                <w:highlight w:val="none"/>
                <w:lang w:val="en-US" w:eastAsia="zh-CN"/>
              </w:rPr>
              <w:t>中心</w:t>
            </w:r>
            <w:r>
              <w:rPr>
                <w:highlight w:val="none"/>
                <w:lang w:val="en-US" w:eastAsia="zh-CN"/>
              </w:rPr>
              <w:t>坐标为： E</w:t>
            </w:r>
            <w:r>
              <w:rPr>
                <w:rFonts w:hint="default" w:ascii="Times New Roman" w:hAnsi="Times New Roman" w:eastAsia="宋体" w:cs="Times New Roman"/>
              </w:rPr>
              <w:t>86°36</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rPr>
              <w:t>17.727＂</w:t>
            </w:r>
            <w:r>
              <w:rPr>
                <w:rFonts w:hint="default" w:ascii="Times New Roman" w:hAnsi="Times New Roman" w:eastAsia="宋体" w:cs="Times New Roman"/>
                <w:highlight w:val="none"/>
                <w:lang w:val="en-US" w:eastAsia="zh-CN"/>
              </w:rPr>
              <w:t>，N</w:t>
            </w:r>
            <w:r>
              <w:rPr>
                <w:rFonts w:hint="default" w:ascii="Times New Roman" w:hAnsi="Times New Roman" w:eastAsia="宋体" w:cs="Times New Roman"/>
              </w:rPr>
              <w:t>42°02</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rPr>
              <w:t>32.844＂</w:t>
            </w:r>
            <w:r>
              <w:rPr>
                <w:highlight w:val="none"/>
                <w:lang w:val="en-US" w:eastAsia="zh-CN"/>
              </w:rPr>
              <w:t>。地理位置见附图</w:t>
            </w:r>
            <w:r>
              <w:rPr>
                <w:rFonts w:hint="eastAsia"/>
                <w:highlight w:val="none"/>
                <w:lang w:val="en-US" w:eastAsia="zh-CN"/>
              </w:rPr>
              <w:t>2</w:t>
            </w:r>
            <w:r>
              <w:rPr>
                <w:highlight w:val="none"/>
                <w:lang w:val="en-US" w:eastAsia="zh-CN"/>
              </w:rPr>
              <w:t>。项目</w:t>
            </w:r>
            <w:r>
              <w:rPr>
                <w:rFonts w:hint="eastAsia"/>
                <w:highlight w:val="none"/>
                <w:lang w:val="en-US" w:eastAsia="zh-CN"/>
              </w:rPr>
              <w:t>厂区</w:t>
            </w:r>
            <w:r>
              <w:rPr>
                <w:highlight w:val="none"/>
                <w:lang w:val="en-US" w:eastAsia="zh-CN"/>
              </w:rPr>
              <w:t>东侧</w:t>
            </w:r>
            <w:r>
              <w:rPr>
                <w:rFonts w:hint="eastAsia"/>
                <w:highlight w:val="none"/>
                <w:lang w:val="en-US" w:eastAsia="zh-CN"/>
              </w:rPr>
              <w:t>40m为焉博路（交通道路），与其东侧的万达商混站隔路相望、相距约90m；</w:t>
            </w:r>
            <w:r>
              <w:rPr>
                <w:highlight w:val="none"/>
                <w:lang w:val="en-US" w:eastAsia="zh-CN"/>
              </w:rPr>
              <w:t>厂区南侧</w:t>
            </w:r>
            <w:r>
              <w:rPr>
                <w:rFonts w:hint="eastAsia"/>
                <w:highlight w:val="none"/>
                <w:lang w:val="en-US" w:eastAsia="zh-CN"/>
              </w:rPr>
              <w:t>为本布图镇养殖场，</w:t>
            </w:r>
            <w:r>
              <w:rPr>
                <w:highlight w:val="none"/>
                <w:lang w:val="en-US" w:eastAsia="zh-CN"/>
              </w:rPr>
              <w:t>相</w:t>
            </w:r>
            <w:r>
              <w:rPr>
                <w:rFonts w:hint="eastAsia"/>
                <w:highlight w:val="none"/>
                <w:lang w:val="en-US" w:eastAsia="zh-CN"/>
              </w:rPr>
              <w:t>距约1</w:t>
            </w:r>
            <w:r>
              <w:rPr>
                <w:highlight w:val="none"/>
                <w:lang w:val="en-US" w:eastAsia="zh-CN"/>
              </w:rPr>
              <w:t>5m</w:t>
            </w:r>
            <w:r>
              <w:rPr>
                <w:rFonts w:hint="eastAsia"/>
                <w:highlight w:val="none"/>
                <w:lang w:val="en-US" w:eastAsia="zh-CN"/>
              </w:rPr>
              <w:t>；</w:t>
            </w:r>
            <w:r>
              <w:rPr>
                <w:highlight w:val="none"/>
                <w:lang w:val="en-US" w:eastAsia="zh-CN"/>
              </w:rPr>
              <w:t>厂区西侧</w:t>
            </w:r>
            <w:r>
              <w:rPr>
                <w:rFonts w:hint="eastAsia"/>
                <w:highlight w:val="none"/>
                <w:lang w:val="en-US" w:eastAsia="zh-CN"/>
              </w:rPr>
              <w:t>与博林木业（木材加工厂）</w:t>
            </w:r>
            <w:r>
              <w:rPr>
                <w:highlight w:val="none"/>
                <w:lang w:val="en-US" w:eastAsia="zh-CN"/>
              </w:rPr>
              <w:t>相邻</w:t>
            </w:r>
            <w:r>
              <w:rPr>
                <w:rFonts w:hint="eastAsia"/>
                <w:highlight w:val="none"/>
                <w:lang w:val="en-US" w:eastAsia="zh-CN"/>
              </w:rPr>
              <w:t>、与其西侧的开都河最近处相距约110m；</w:t>
            </w:r>
            <w:r>
              <w:rPr>
                <w:highlight w:val="none"/>
                <w:lang w:val="en-US" w:eastAsia="zh-CN"/>
              </w:rPr>
              <w:t>厂区</w:t>
            </w:r>
            <w:r>
              <w:rPr>
                <w:rFonts w:hint="eastAsia"/>
                <w:highlight w:val="none"/>
                <w:lang w:val="en-US" w:eastAsia="zh-CN"/>
              </w:rPr>
              <w:t>北侧</w:t>
            </w:r>
            <w:r>
              <w:rPr>
                <w:highlight w:val="none"/>
                <w:lang w:val="en-US" w:eastAsia="zh-CN"/>
              </w:rPr>
              <w:t>为</w:t>
            </w:r>
            <w:r>
              <w:rPr>
                <w:rFonts w:hint="eastAsia"/>
                <w:highlight w:val="none"/>
                <w:lang w:val="en-US" w:eastAsia="zh-CN"/>
              </w:rPr>
              <w:t>警务站</w:t>
            </w:r>
            <w:r>
              <w:rPr>
                <w:highlight w:val="none"/>
                <w:lang w:val="en-US" w:eastAsia="zh-CN"/>
              </w:rPr>
              <w:t>，</w:t>
            </w:r>
            <w:r>
              <w:rPr>
                <w:rFonts w:hint="eastAsia"/>
                <w:highlight w:val="none"/>
                <w:lang w:val="en-US" w:eastAsia="zh-CN"/>
              </w:rPr>
              <w:t>相距约130m。</w:t>
            </w:r>
            <w:r>
              <w:rPr>
                <w:highlight w:val="none"/>
                <w:lang w:val="en-US" w:eastAsia="zh-CN"/>
              </w:rPr>
              <w:t>周边</w:t>
            </w:r>
            <w:r>
              <w:rPr>
                <w:rFonts w:hint="eastAsia"/>
                <w:highlight w:val="none"/>
                <w:lang w:val="en-US" w:eastAsia="zh-CN"/>
              </w:rPr>
              <w:t>环境</w:t>
            </w:r>
            <w:r>
              <w:rPr>
                <w:highlight w:val="none"/>
                <w:lang w:val="en-US" w:eastAsia="zh-CN"/>
              </w:rPr>
              <w:t>关系图见附图</w:t>
            </w:r>
            <w:r>
              <w:rPr>
                <w:rFonts w:hint="eastAsia"/>
                <w:highlight w:val="none"/>
                <w:lang w:val="en-US" w:eastAsia="zh-CN"/>
              </w:rPr>
              <w:t>3</w:t>
            </w:r>
            <w:r>
              <w:rPr>
                <w:highlight w:val="none"/>
                <w:lang w:val="en-US" w:eastAsia="zh-CN"/>
              </w:rPr>
              <w:t>。</w:t>
            </w:r>
          </w:p>
          <w:p>
            <w:pPr>
              <w:pStyle w:val="44"/>
              <w:bidi w:val="0"/>
              <w:rPr>
                <w:highlight w:val="none"/>
                <w:lang w:val="en-US" w:eastAsia="zh-CN"/>
              </w:rPr>
            </w:pPr>
            <w:r>
              <w:rPr>
                <w:highlight w:val="none"/>
                <w:lang w:val="en-US" w:eastAsia="zh-CN"/>
              </w:rPr>
              <w:t>（2）建设规模及内容</w:t>
            </w:r>
          </w:p>
          <w:p>
            <w:pPr>
              <w:pStyle w:val="44"/>
              <w:bidi w:val="0"/>
              <w:rPr>
                <w:rFonts w:hint="eastAsia"/>
                <w:highlight w:val="none"/>
                <w:lang w:val="en-US" w:eastAsia="zh-CN"/>
              </w:rPr>
            </w:pPr>
            <w:r>
              <w:rPr>
                <w:highlight w:val="none"/>
                <w:lang w:val="en-US" w:eastAsia="zh-CN"/>
              </w:rPr>
              <w:t>本项目性质为新建，占地面积为</w:t>
            </w:r>
            <w:r>
              <w:rPr>
                <w:rFonts w:hint="eastAsia"/>
                <w:highlight w:val="none"/>
                <w:lang w:val="en-US" w:eastAsia="zh-CN"/>
              </w:rPr>
              <w:t>3728.6</w:t>
            </w:r>
            <w:r>
              <w:rPr>
                <w:highlight w:val="none"/>
                <w:lang w:val="en-US" w:eastAsia="zh-CN"/>
              </w:rPr>
              <w:t>m</w:t>
            </w:r>
            <w:r>
              <w:rPr>
                <w:highlight w:val="none"/>
                <w:vertAlign w:val="superscript"/>
                <w:lang w:val="en-US" w:eastAsia="zh-CN"/>
              </w:rPr>
              <w:t>2</w:t>
            </w:r>
            <w:r>
              <w:rPr>
                <w:highlight w:val="none"/>
                <w:lang w:val="en-US" w:eastAsia="zh-CN"/>
              </w:rPr>
              <w:t>，主要建设内容包括</w:t>
            </w:r>
            <w:r>
              <w:rPr>
                <w:rFonts w:hint="eastAsia"/>
                <w:highlight w:val="none"/>
                <w:lang w:val="en-US" w:eastAsia="zh-CN"/>
              </w:rPr>
              <w:t>新建</w:t>
            </w:r>
            <w:r>
              <w:rPr>
                <w:highlight w:val="none"/>
                <w:lang w:val="en-US" w:eastAsia="zh-CN"/>
              </w:rPr>
              <w:t>一间</w:t>
            </w:r>
            <w:r>
              <w:rPr>
                <w:rFonts w:hint="eastAsia"/>
                <w:highlight w:val="none"/>
                <w:lang w:val="en-US" w:eastAsia="zh-CN"/>
              </w:rPr>
              <w:t>生产车间765平方米、</w:t>
            </w:r>
            <w:r>
              <w:rPr>
                <w:highlight w:val="none"/>
                <w:lang w:val="en-US" w:eastAsia="zh-CN"/>
              </w:rPr>
              <w:t>一间</w:t>
            </w:r>
            <w:r>
              <w:rPr>
                <w:rFonts w:hint="eastAsia"/>
                <w:highlight w:val="none"/>
                <w:lang w:val="en-US" w:eastAsia="zh-CN"/>
              </w:rPr>
              <w:t>库房333平方米、一间质检中心1165平方米、</w:t>
            </w:r>
            <w:r>
              <w:rPr>
                <w:highlight w:val="none"/>
                <w:lang w:val="en-US" w:eastAsia="zh-CN"/>
              </w:rPr>
              <w:t>一间</w:t>
            </w:r>
            <w:r>
              <w:rPr>
                <w:rFonts w:hint="eastAsia"/>
                <w:highlight w:val="none"/>
                <w:lang w:val="en-US" w:eastAsia="zh-CN"/>
              </w:rPr>
              <w:t>门卫室20平方米及所属配套设施。</w:t>
            </w:r>
            <w:r>
              <w:rPr>
                <w:highlight w:val="none"/>
                <w:lang w:val="en-US" w:eastAsia="zh-CN"/>
              </w:rPr>
              <w:t>建成后生产路缘石、彩砖、</w:t>
            </w:r>
            <w:r>
              <w:rPr>
                <w:rFonts w:hint="eastAsia"/>
                <w:lang w:val="en-US" w:eastAsia="zh-CN"/>
              </w:rPr>
              <w:t>水泥盖板、水泥砖</w:t>
            </w:r>
            <w:r>
              <w:rPr>
                <w:highlight w:val="none"/>
                <w:lang w:val="en-US" w:eastAsia="zh-CN"/>
              </w:rPr>
              <w:t>等</w:t>
            </w:r>
            <w:r>
              <w:rPr>
                <w:rFonts w:hint="eastAsia"/>
                <w:highlight w:val="none"/>
                <w:lang w:val="en-US" w:eastAsia="zh-CN"/>
              </w:rPr>
              <w:t>水泥制品及砼结构构件。</w:t>
            </w:r>
          </w:p>
          <w:p>
            <w:pPr>
              <w:pStyle w:val="44"/>
              <w:bidi w:val="0"/>
              <w:rPr>
                <w:rFonts w:hint="eastAsia"/>
                <w:highlight w:val="none"/>
                <w:lang w:val="en-US" w:eastAsia="zh-CN"/>
              </w:rPr>
            </w:pPr>
            <w:r>
              <w:rPr>
                <w:rFonts w:hint="eastAsia"/>
                <w:highlight w:val="none"/>
                <w:lang w:val="en-US" w:eastAsia="zh-CN"/>
              </w:rPr>
              <w:t>本项目建设内容组成详见表2-1。</w:t>
            </w:r>
          </w:p>
          <w:p>
            <w:pPr>
              <w:pStyle w:val="28"/>
              <w:bidi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表2-1  项目建设内容组成一览表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82"/>
              <w:gridCol w:w="69"/>
              <w:gridCol w:w="905"/>
              <w:gridCol w:w="4991"/>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9"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工程类型</w:t>
                  </w: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工程名称</w:t>
                  </w:r>
                </w:p>
              </w:tc>
              <w:tc>
                <w:tcPr>
                  <w:tcW w:w="4991"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建设内容及规模</w:t>
                  </w:r>
                </w:p>
              </w:tc>
              <w:tc>
                <w:tcPr>
                  <w:tcW w:w="678"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719"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主体工程</w:t>
                  </w: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生产车间</w:t>
                  </w:r>
                </w:p>
              </w:tc>
              <w:tc>
                <w:tcPr>
                  <w:tcW w:w="4991" w:type="dxa"/>
                  <w:noWrap w:val="0"/>
                  <w:vAlign w:val="center"/>
                </w:tcPr>
                <w:p>
                  <w:pPr>
                    <w:pStyle w:val="43"/>
                    <w:bidi w:val="0"/>
                    <w:rPr>
                      <w:rFonts w:hint="eastAsia" w:eastAsia="仿宋"/>
                      <w:sz w:val="21"/>
                      <w:szCs w:val="21"/>
                      <w:highlight w:val="none"/>
                      <w:lang w:val="en-US" w:eastAsia="zh-CN"/>
                    </w:rPr>
                  </w:pPr>
                  <w:r>
                    <w:rPr>
                      <w:rFonts w:hint="eastAsia"/>
                      <w:sz w:val="21"/>
                      <w:szCs w:val="21"/>
                      <w:highlight w:val="none"/>
                      <w:lang w:val="en-US" w:eastAsia="zh-CN"/>
                    </w:rPr>
                    <w:t>生产车间1间，钢结构，地上1层，占地面积765m</w:t>
                  </w:r>
                  <w:r>
                    <w:rPr>
                      <w:rFonts w:hint="eastAsia"/>
                      <w:sz w:val="21"/>
                      <w:szCs w:val="21"/>
                      <w:highlight w:val="none"/>
                      <w:vertAlign w:val="superscript"/>
                      <w:lang w:val="en-US" w:eastAsia="zh-CN"/>
                    </w:rPr>
                    <w:t>2</w:t>
                  </w:r>
                  <w:r>
                    <w:rPr>
                      <w:rFonts w:hint="eastAsia"/>
                      <w:sz w:val="21"/>
                      <w:szCs w:val="21"/>
                      <w:highlight w:val="none"/>
                      <w:lang w:val="en-US" w:eastAsia="zh-CN"/>
                    </w:rPr>
                    <w:t>，内含1条生产线，</w:t>
                  </w:r>
                  <w:r>
                    <w:rPr>
                      <w:sz w:val="21"/>
                      <w:szCs w:val="21"/>
                      <w:highlight w:val="none"/>
                      <w:lang w:val="en-US" w:eastAsia="zh-CN"/>
                    </w:rPr>
                    <w:t>建成后生产路缘石、彩砖、水泥柱、</w:t>
                  </w:r>
                  <w:r>
                    <w:rPr>
                      <w:rFonts w:hint="eastAsia"/>
                      <w:sz w:val="21"/>
                      <w:szCs w:val="21"/>
                      <w:lang w:val="en-US" w:eastAsia="zh-CN"/>
                    </w:rPr>
                    <w:t>水泥盖板、水泥砖</w:t>
                  </w:r>
                  <w:r>
                    <w:rPr>
                      <w:sz w:val="21"/>
                      <w:szCs w:val="21"/>
                      <w:highlight w:val="none"/>
                      <w:lang w:val="en-US" w:eastAsia="zh-CN"/>
                    </w:rPr>
                    <w:t>等</w:t>
                  </w:r>
                  <w:r>
                    <w:rPr>
                      <w:rFonts w:hint="eastAsia"/>
                      <w:sz w:val="21"/>
                      <w:szCs w:val="21"/>
                      <w:highlight w:val="none"/>
                      <w:lang w:val="en-US" w:eastAsia="zh-CN"/>
                    </w:rPr>
                    <w:t>水泥制品及砼结构构件。</w:t>
                  </w:r>
                </w:p>
              </w:tc>
              <w:tc>
                <w:tcPr>
                  <w:tcW w:w="678"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jc w:val="center"/>
              </w:trPr>
              <w:tc>
                <w:tcPr>
                  <w:tcW w:w="719" w:type="dxa"/>
                  <w:vMerge w:val="restart"/>
                  <w:noWrap w:val="0"/>
                  <w:vAlign w:val="center"/>
                </w:tcPr>
                <w:p>
                  <w:pPr>
                    <w:pStyle w:val="43"/>
                    <w:bidi w:val="0"/>
                    <w:rPr>
                      <w:rFonts w:hint="default"/>
                      <w:color w:val="auto"/>
                      <w:sz w:val="21"/>
                      <w:szCs w:val="21"/>
                      <w:highlight w:val="none"/>
                      <w:lang w:val="en-US" w:eastAsia="zh-CN"/>
                    </w:rPr>
                  </w:pPr>
                  <w:r>
                    <w:rPr>
                      <w:rFonts w:hint="eastAsia"/>
                      <w:color w:val="auto"/>
                      <w:sz w:val="21"/>
                      <w:szCs w:val="21"/>
                      <w:highlight w:val="none"/>
                      <w:lang w:val="en-US" w:eastAsia="zh-CN"/>
                    </w:rPr>
                    <w:t>储运工程</w:t>
                  </w:r>
                </w:p>
              </w:tc>
              <w:tc>
                <w:tcPr>
                  <w:tcW w:w="1456" w:type="dxa"/>
                  <w:gridSpan w:val="3"/>
                  <w:noWrap w:val="0"/>
                  <w:vAlign w:val="center"/>
                </w:tcPr>
                <w:p>
                  <w:pPr>
                    <w:pStyle w:val="43"/>
                    <w:bidi w:val="0"/>
                    <w:rPr>
                      <w:rFonts w:hint="eastAsia"/>
                      <w:color w:val="auto"/>
                      <w:sz w:val="21"/>
                      <w:szCs w:val="21"/>
                      <w:highlight w:val="none"/>
                      <w:lang w:val="en-US" w:eastAsia="zh-CN"/>
                    </w:rPr>
                  </w:pPr>
                  <w:r>
                    <w:rPr>
                      <w:rFonts w:hint="eastAsia"/>
                      <w:color w:val="auto"/>
                      <w:sz w:val="21"/>
                      <w:szCs w:val="21"/>
                      <w:highlight w:val="none"/>
                      <w:lang w:val="en-US" w:eastAsia="zh-CN"/>
                    </w:rPr>
                    <w:t>库房</w:t>
                  </w:r>
                </w:p>
              </w:tc>
              <w:tc>
                <w:tcPr>
                  <w:tcW w:w="4991" w:type="dxa"/>
                  <w:noWrap w:val="0"/>
                  <w:vAlign w:val="center"/>
                </w:tcPr>
                <w:p>
                  <w:pPr>
                    <w:pStyle w:val="43"/>
                    <w:bidi w:val="0"/>
                    <w:jc w:val="both"/>
                    <w:rPr>
                      <w:rFonts w:hint="default"/>
                      <w:color w:val="auto"/>
                      <w:sz w:val="21"/>
                      <w:szCs w:val="21"/>
                      <w:highlight w:val="none"/>
                      <w:lang w:val="en-US" w:eastAsia="zh-CN"/>
                    </w:rPr>
                  </w:pPr>
                  <w:r>
                    <w:rPr>
                      <w:rFonts w:hint="eastAsia"/>
                      <w:color w:val="auto"/>
                      <w:sz w:val="21"/>
                      <w:szCs w:val="21"/>
                      <w:highlight w:val="none"/>
                      <w:lang w:val="en-US" w:eastAsia="zh-CN"/>
                    </w:rPr>
                    <w:t>地上1</w:t>
                  </w:r>
                  <w:r>
                    <w:rPr>
                      <w:rFonts w:hint="eastAsia"/>
                      <w:sz w:val="21"/>
                      <w:szCs w:val="21"/>
                      <w:highlight w:val="none"/>
                      <w:lang w:val="en-US" w:eastAsia="zh-CN"/>
                    </w:rPr>
                    <w:t>层</w:t>
                  </w:r>
                  <w:r>
                    <w:rPr>
                      <w:rFonts w:hint="eastAsia"/>
                      <w:color w:val="auto"/>
                      <w:sz w:val="21"/>
                      <w:szCs w:val="21"/>
                      <w:highlight w:val="none"/>
                      <w:lang w:val="en-US" w:eastAsia="zh-CN"/>
                    </w:rPr>
                    <w:t>，彩钢砖混结构，全封闭结构、西侧预留车辆进出口，建筑面积333m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。用于堆放沙子和辅料等原辅料，分区堆放。原料进厂后不在厂区内长期暂存，每次按单批次最大生产量运进原料后直接进行生产加工。</w:t>
                  </w:r>
                </w:p>
              </w:tc>
              <w:tc>
                <w:tcPr>
                  <w:tcW w:w="678" w:type="dxa"/>
                  <w:noWrap w:val="0"/>
                  <w:vAlign w:val="center"/>
                </w:tcPr>
                <w:p>
                  <w:pPr>
                    <w:pStyle w:val="43"/>
                    <w:bidi w:val="0"/>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jc w:val="center"/>
              </w:trPr>
              <w:tc>
                <w:tcPr>
                  <w:tcW w:w="719" w:type="dxa"/>
                  <w:vMerge w:val="continue"/>
                  <w:noWrap w:val="0"/>
                  <w:vAlign w:val="center"/>
                </w:tcPr>
                <w:p>
                  <w:pPr>
                    <w:pStyle w:val="43"/>
                    <w:bidi w:val="0"/>
                    <w:rPr>
                      <w:rFonts w:hint="eastAsia"/>
                      <w:color w:val="auto"/>
                      <w:sz w:val="21"/>
                      <w:szCs w:val="21"/>
                      <w:highlight w:val="none"/>
                      <w:lang w:val="en-US" w:eastAsia="zh-CN"/>
                    </w:rPr>
                  </w:pPr>
                </w:p>
              </w:tc>
              <w:tc>
                <w:tcPr>
                  <w:tcW w:w="1456" w:type="dxa"/>
                  <w:gridSpan w:val="3"/>
                  <w:noWrap w:val="0"/>
                  <w:vAlign w:val="center"/>
                </w:tcPr>
                <w:p>
                  <w:pPr>
                    <w:pStyle w:val="43"/>
                    <w:bidi w:val="0"/>
                    <w:rPr>
                      <w:rFonts w:hint="default"/>
                      <w:color w:val="auto"/>
                      <w:sz w:val="21"/>
                      <w:szCs w:val="21"/>
                      <w:highlight w:val="none"/>
                      <w:lang w:val="en-US" w:eastAsia="zh-CN"/>
                    </w:rPr>
                  </w:pPr>
                  <w:r>
                    <w:rPr>
                      <w:rFonts w:hint="eastAsia"/>
                      <w:color w:val="auto"/>
                      <w:sz w:val="21"/>
                      <w:szCs w:val="21"/>
                      <w:highlight w:val="none"/>
                      <w:lang w:val="en-US" w:eastAsia="zh-CN"/>
                    </w:rPr>
                    <w:t>露天堆场</w:t>
                  </w:r>
                </w:p>
              </w:tc>
              <w:tc>
                <w:tcPr>
                  <w:tcW w:w="4991" w:type="dxa"/>
                  <w:noWrap w:val="0"/>
                  <w:vAlign w:val="center"/>
                </w:tcPr>
                <w:p>
                  <w:pPr>
                    <w:pStyle w:val="43"/>
                    <w:bidi w:val="0"/>
                    <w:jc w:val="both"/>
                    <w:rPr>
                      <w:rFonts w:hint="eastAsia"/>
                      <w:color w:val="auto"/>
                      <w:sz w:val="21"/>
                      <w:szCs w:val="21"/>
                      <w:highlight w:val="none"/>
                      <w:lang w:val="en-US" w:eastAsia="zh-CN"/>
                    </w:rPr>
                  </w:pPr>
                  <w:r>
                    <w:rPr>
                      <w:rFonts w:hint="eastAsia"/>
                      <w:color w:val="auto"/>
                      <w:sz w:val="21"/>
                      <w:szCs w:val="21"/>
                      <w:highlight w:val="none"/>
                      <w:lang w:val="en-US" w:eastAsia="zh-CN"/>
                    </w:rPr>
                    <w:t>用于堆放石子原料，</w:t>
                  </w:r>
                  <w:r>
                    <w:rPr>
                      <w:rFonts w:hint="eastAsia"/>
                      <w:sz w:val="21"/>
                      <w:szCs w:val="21"/>
                      <w:highlight w:val="none"/>
                      <w:lang w:val="en-US" w:eastAsia="zh-CN"/>
                    </w:rPr>
                    <w:t>占地面积600m</w:t>
                  </w:r>
                  <w:r>
                    <w:rPr>
                      <w:rFonts w:hint="eastAsia"/>
                      <w:sz w:val="21"/>
                      <w:szCs w:val="21"/>
                      <w:highlight w:val="none"/>
                      <w:vertAlign w:val="superscript"/>
                      <w:lang w:val="en-US" w:eastAsia="zh-CN"/>
                    </w:rPr>
                    <w:t>2</w:t>
                  </w:r>
                </w:p>
              </w:tc>
              <w:tc>
                <w:tcPr>
                  <w:tcW w:w="678" w:type="dxa"/>
                  <w:noWrap w:val="0"/>
                  <w:vAlign w:val="center"/>
                </w:tcPr>
                <w:p>
                  <w:pPr>
                    <w:pStyle w:val="43"/>
                    <w:bidi w:val="0"/>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9" w:type="dxa"/>
                  <w:vMerge w:val="continue"/>
                  <w:noWrap w:val="0"/>
                  <w:vAlign w:val="center"/>
                </w:tcPr>
                <w:p>
                  <w:pPr>
                    <w:pStyle w:val="43"/>
                    <w:bidi w:val="0"/>
                    <w:rPr>
                      <w:rFonts w:hint="default"/>
                      <w:color w:val="auto"/>
                      <w:sz w:val="21"/>
                      <w:szCs w:val="21"/>
                      <w:highlight w:val="none"/>
                      <w:lang w:val="en-US" w:eastAsia="zh-CN"/>
                    </w:rPr>
                  </w:pPr>
                </w:p>
              </w:tc>
              <w:tc>
                <w:tcPr>
                  <w:tcW w:w="1456" w:type="dxa"/>
                  <w:gridSpan w:val="3"/>
                  <w:noWrap w:val="0"/>
                  <w:vAlign w:val="center"/>
                </w:tcPr>
                <w:p>
                  <w:pPr>
                    <w:pStyle w:val="43"/>
                    <w:bidi w:val="0"/>
                    <w:rPr>
                      <w:rFonts w:hint="default"/>
                      <w:color w:val="auto"/>
                      <w:sz w:val="21"/>
                      <w:szCs w:val="21"/>
                      <w:highlight w:val="none"/>
                      <w:lang w:val="en-US" w:eastAsia="zh-CN"/>
                    </w:rPr>
                  </w:pPr>
                  <w:r>
                    <w:rPr>
                      <w:rFonts w:hint="eastAsia"/>
                      <w:color w:val="auto"/>
                      <w:sz w:val="21"/>
                      <w:szCs w:val="21"/>
                      <w:highlight w:val="none"/>
                      <w:lang w:val="en-US" w:eastAsia="zh-CN"/>
                    </w:rPr>
                    <w:t>成品养护区（露天）</w:t>
                  </w:r>
                </w:p>
              </w:tc>
              <w:tc>
                <w:tcPr>
                  <w:tcW w:w="4991" w:type="dxa"/>
                  <w:noWrap w:val="0"/>
                  <w:vAlign w:val="center"/>
                </w:tcPr>
                <w:p>
                  <w:pPr>
                    <w:pStyle w:val="43"/>
                    <w:bidi w:val="0"/>
                    <w:rPr>
                      <w:rFonts w:hint="default"/>
                      <w:color w:val="auto"/>
                      <w:sz w:val="21"/>
                      <w:szCs w:val="21"/>
                      <w:highlight w:val="none"/>
                      <w:lang w:val="en-US" w:eastAsia="zh-CN"/>
                    </w:rPr>
                  </w:pPr>
                  <w:r>
                    <w:rPr>
                      <w:rFonts w:hint="eastAsia"/>
                      <w:color w:val="auto"/>
                      <w:sz w:val="21"/>
                      <w:szCs w:val="21"/>
                      <w:highlight w:val="none"/>
                      <w:lang w:val="en-US" w:eastAsia="zh-CN"/>
                    </w:rPr>
                    <w:t>露天水泥预制件养护区及产品堆场，水泥硬化地面，占地面积800m</w:t>
                  </w:r>
                  <w:r>
                    <w:rPr>
                      <w:rFonts w:hint="eastAsia"/>
                      <w:color w:val="auto"/>
                      <w:sz w:val="21"/>
                      <w:szCs w:val="21"/>
                      <w:highlight w:val="none"/>
                      <w:vertAlign w:val="superscript"/>
                      <w:lang w:val="en-US" w:eastAsia="zh-CN"/>
                    </w:rPr>
                    <w:t>2</w:t>
                  </w:r>
                </w:p>
              </w:tc>
              <w:tc>
                <w:tcPr>
                  <w:tcW w:w="678" w:type="dxa"/>
                  <w:noWrap w:val="0"/>
                  <w:vAlign w:val="center"/>
                </w:tcPr>
                <w:p>
                  <w:pPr>
                    <w:pStyle w:val="43"/>
                    <w:bidi w:val="0"/>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jc w:val="center"/>
              </w:trPr>
              <w:tc>
                <w:tcPr>
                  <w:tcW w:w="719" w:type="dxa"/>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辅助工程</w:t>
                  </w:r>
                </w:p>
              </w:tc>
              <w:tc>
                <w:tcPr>
                  <w:tcW w:w="1456" w:type="dxa"/>
                  <w:gridSpan w:val="3"/>
                  <w:noWrap w:val="0"/>
                  <w:vAlign w:val="center"/>
                </w:tcPr>
                <w:p>
                  <w:pPr>
                    <w:pStyle w:val="43"/>
                    <w:bidi w:val="0"/>
                    <w:rPr>
                      <w:rFonts w:hint="default" w:ascii="Times New Roman" w:hAnsi="Times New Roman" w:eastAsia="宋体"/>
                      <w:kern w:val="0"/>
                      <w:sz w:val="21"/>
                      <w:szCs w:val="21"/>
                      <w:highlight w:val="none"/>
                      <w:lang w:val="en-US" w:eastAsia="zh-CN" w:bidi="ar-SA"/>
                    </w:rPr>
                  </w:pPr>
                  <w:r>
                    <w:rPr>
                      <w:rFonts w:hint="eastAsia"/>
                      <w:highlight w:val="none"/>
                      <w:lang w:val="en-US" w:eastAsia="zh-CN"/>
                    </w:rPr>
                    <w:t>质检中心</w:t>
                  </w:r>
                </w:p>
              </w:tc>
              <w:tc>
                <w:tcPr>
                  <w:tcW w:w="4991" w:type="dxa"/>
                  <w:noWrap w:val="0"/>
                  <w:vAlign w:val="center"/>
                </w:tcPr>
                <w:p>
                  <w:pPr>
                    <w:pStyle w:val="43"/>
                    <w:bidi w:val="0"/>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砖混结构，1层，</w:t>
                  </w:r>
                  <w:r>
                    <w:rPr>
                      <w:spacing w:val="3"/>
                      <w:sz w:val="21"/>
                      <w:szCs w:val="21"/>
                    </w:rPr>
                    <w:t>分布在</w:t>
                  </w:r>
                  <w:r>
                    <w:rPr>
                      <w:rFonts w:hint="eastAsia"/>
                      <w:spacing w:val="3"/>
                      <w:sz w:val="21"/>
                      <w:szCs w:val="21"/>
                      <w:lang w:val="en-US" w:eastAsia="zh-CN"/>
                    </w:rPr>
                    <w:t>厂区西</w:t>
                  </w:r>
                  <w:r>
                    <w:rPr>
                      <w:spacing w:val="3"/>
                      <w:sz w:val="21"/>
                      <w:szCs w:val="21"/>
                    </w:rPr>
                    <w:t>北侧，</w:t>
                  </w:r>
                  <w:r>
                    <w:rPr>
                      <w:rFonts w:hint="eastAsia"/>
                      <w:sz w:val="21"/>
                      <w:szCs w:val="21"/>
                      <w:highlight w:val="none"/>
                      <w:lang w:val="en-US" w:eastAsia="zh-CN"/>
                    </w:rPr>
                    <w:t>建筑面积1165m</w:t>
                  </w:r>
                  <w:r>
                    <w:rPr>
                      <w:rFonts w:hint="eastAsia"/>
                      <w:sz w:val="21"/>
                      <w:szCs w:val="21"/>
                      <w:highlight w:val="none"/>
                      <w:vertAlign w:val="superscript"/>
                      <w:lang w:val="en-US" w:eastAsia="zh-CN"/>
                    </w:rPr>
                    <w:t>2</w:t>
                  </w:r>
                  <w:r>
                    <w:rPr>
                      <w:rFonts w:hint="eastAsia"/>
                      <w:sz w:val="21"/>
                      <w:szCs w:val="21"/>
                      <w:highlight w:val="none"/>
                      <w:lang w:val="en-US" w:eastAsia="zh-CN"/>
                    </w:rPr>
                    <w:t>。</w:t>
                  </w:r>
                </w:p>
              </w:tc>
              <w:tc>
                <w:tcPr>
                  <w:tcW w:w="678" w:type="dxa"/>
                  <w:noWrap w:val="0"/>
                  <w:vAlign w:val="center"/>
                </w:tcPr>
                <w:p>
                  <w:pPr>
                    <w:pStyle w:val="43"/>
                    <w:bidi w:val="0"/>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1456" w:type="dxa"/>
                  <w:gridSpan w:val="3"/>
                  <w:shd w:val="clear" w:color="auto" w:fill="auto"/>
                  <w:noWrap w:val="0"/>
                  <w:vAlign w:val="center"/>
                </w:tcPr>
                <w:p>
                  <w:pPr>
                    <w:pStyle w:val="43"/>
                    <w:bidi w:val="0"/>
                    <w:rPr>
                      <w:rFonts w:hint="eastAsia" w:ascii="Times New Roman" w:hAnsi="Times New Roman" w:eastAsia="宋体" w:cs="Times New Roman"/>
                      <w:kern w:val="0"/>
                      <w:sz w:val="21"/>
                      <w:szCs w:val="21"/>
                      <w:highlight w:val="none"/>
                      <w:lang w:val="en-US" w:eastAsia="zh-CN" w:bidi="ar-SA"/>
                    </w:rPr>
                  </w:pPr>
                  <w:r>
                    <w:rPr>
                      <w:rFonts w:hint="eastAsia"/>
                      <w:sz w:val="21"/>
                      <w:szCs w:val="21"/>
                      <w:highlight w:val="none"/>
                      <w:lang w:val="en-US" w:eastAsia="zh-CN"/>
                    </w:rPr>
                    <w:t>门卫室</w:t>
                  </w:r>
                </w:p>
              </w:tc>
              <w:tc>
                <w:tcPr>
                  <w:tcW w:w="4991" w:type="dxa"/>
                  <w:shd w:val="clear" w:color="auto" w:fill="auto"/>
                  <w:noWrap w:val="0"/>
                  <w:vAlign w:val="center"/>
                </w:tcPr>
                <w:p>
                  <w:pPr>
                    <w:pStyle w:val="43"/>
                    <w:bidi w:val="0"/>
                    <w:rPr>
                      <w:rFonts w:hint="eastAsia" w:ascii="Times New Roman" w:hAnsi="Times New Roman" w:eastAsia="宋体" w:cs="Times New Roman"/>
                      <w:kern w:val="0"/>
                      <w:sz w:val="21"/>
                      <w:szCs w:val="21"/>
                      <w:highlight w:val="none"/>
                      <w:lang w:val="en-US" w:eastAsia="zh-CN" w:bidi="ar-SA"/>
                    </w:rPr>
                  </w:pPr>
                  <w:r>
                    <w:rPr>
                      <w:rFonts w:hint="eastAsia"/>
                      <w:sz w:val="21"/>
                      <w:szCs w:val="21"/>
                      <w:highlight w:val="none"/>
                      <w:lang w:val="en-US" w:eastAsia="zh-CN"/>
                    </w:rPr>
                    <w:t>砖混结构，1层，</w:t>
                  </w:r>
                  <w:r>
                    <w:rPr>
                      <w:spacing w:val="3"/>
                      <w:sz w:val="21"/>
                      <w:szCs w:val="21"/>
                    </w:rPr>
                    <w:t>分布在</w:t>
                  </w:r>
                  <w:r>
                    <w:rPr>
                      <w:rFonts w:hint="eastAsia"/>
                      <w:spacing w:val="3"/>
                      <w:sz w:val="21"/>
                      <w:szCs w:val="21"/>
                      <w:lang w:val="en-US" w:eastAsia="zh-CN"/>
                    </w:rPr>
                    <w:t>厂区西</w:t>
                  </w:r>
                  <w:r>
                    <w:rPr>
                      <w:spacing w:val="3"/>
                      <w:sz w:val="21"/>
                      <w:szCs w:val="21"/>
                    </w:rPr>
                    <w:t>北侧，</w:t>
                  </w:r>
                  <w:r>
                    <w:rPr>
                      <w:rFonts w:hint="eastAsia"/>
                      <w:sz w:val="21"/>
                      <w:szCs w:val="21"/>
                      <w:highlight w:val="none"/>
                      <w:lang w:val="en-US" w:eastAsia="zh-CN"/>
                    </w:rPr>
                    <w:t>建筑面积139.2m</w:t>
                  </w:r>
                  <w:r>
                    <w:rPr>
                      <w:rFonts w:hint="eastAsia"/>
                      <w:sz w:val="21"/>
                      <w:szCs w:val="21"/>
                      <w:highlight w:val="none"/>
                      <w:vertAlign w:val="superscript"/>
                      <w:lang w:val="en-US" w:eastAsia="zh-CN"/>
                    </w:rPr>
                    <w:t>2</w:t>
                  </w:r>
                  <w:r>
                    <w:rPr>
                      <w:rFonts w:hint="eastAsia"/>
                      <w:sz w:val="21"/>
                      <w:szCs w:val="21"/>
                      <w:highlight w:val="none"/>
                      <w:lang w:val="en-US" w:eastAsia="zh-CN"/>
                    </w:rPr>
                    <w:t>。厂区设</w:t>
                  </w:r>
                  <w:r>
                    <w:rPr>
                      <w:rFonts w:hint="eastAsia"/>
                      <w:spacing w:val="3"/>
                      <w:sz w:val="21"/>
                      <w:szCs w:val="21"/>
                      <w:lang w:val="en-US" w:eastAsia="zh-CN"/>
                    </w:rPr>
                    <w:t>职工食堂、值班宿舍。</w:t>
                  </w:r>
                </w:p>
              </w:tc>
              <w:tc>
                <w:tcPr>
                  <w:tcW w:w="678" w:type="dxa"/>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19" w:type="dxa"/>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公用工程</w:t>
                  </w: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供水</w:t>
                  </w:r>
                </w:p>
              </w:tc>
              <w:tc>
                <w:tcPr>
                  <w:tcW w:w="4991" w:type="dxa"/>
                  <w:noWrap w:val="0"/>
                  <w:vAlign w:val="center"/>
                </w:tcPr>
                <w:p>
                  <w:pPr>
                    <w:pStyle w:val="43"/>
                    <w:bidi w:val="0"/>
                    <w:rPr>
                      <w:rFonts w:hint="eastAsia"/>
                      <w:sz w:val="21"/>
                      <w:szCs w:val="21"/>
                      <w:highlight w:val="none"/>
                      <w:lang w:val="en-US" w:eastAsia="zh-CN"/>
                    </w:rPr>
                  </w:pPr>
                  <w:r>
                    <w:rPr>
                      <w:spacing w:val="9"/>
                      <w:sz w:val="21"/>
                      <w:szCs w:val="21"/>
                    </w:rPr>
                    <w:t>生产生活用水由</w:t>
                  </w:r>
                  <w:r>
                    <w:rPr>
                      <w:rFonts w:hint="eastAsia"/>
                      <w:spacing w:val="9"/>
                      <w:sz w:val="21"/>
                      <w:szCs w:val="21"/>
                      <w:lang w:val="en-US" w:eastAsia="zh-CN"/>
                    </w:rPr>
                    <w:t>博湖县市政</w:t>
                  </w:r>
                  <w:r>
                    <w:rPr>
                      <w:spacing w:val="9"/>
                      <w:sz w:val="21"/>
                      <w:szCs w:val="21"/>
                    </w:rPr>
                    <w:t>供水管网供给</w:t>
                  </w:r>
                </w:p>
              </w:tc>
              <w:tc>
                <w:tcPr>
                  <w:tcW w:w="678" w:type="dxa"/>
                  <w:noWrap w:val="0"/>
                  <w:vAlign w:val="center"/>
                </w:tcPr>
                <w:p>
                  <w:pPr>
                    <w:bidi w:val="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19" w:type="dxa"/>
                  <w:vMerge w:val="continue"/>
                  <w:noWrap w:val="0"/>
                  <w:vAlign w:val="center"/>
                </w:tcPr>
                <w:p>
                  <w:pPr>
                    <w:pStyle w:val="43"/>
                    <w:bidi w:val="0"/>
                    <w:rPr>
                      <w:sz w:val="21"/>
                      <w:szCs w:val="21"/>
                      <w:highlight w:val="none"/>
                    </w:rPr>
                  </w:pP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排水</w:t>
                  </w:r>
                </w:p>
              </w:tc>
              <w:tc>
                <w:tcPr>
                  <w:tcW w:w="4991" w:type="dxa"/>
                  <w:noWrap w:val="0"/>
                  <w:vAlign w:val="center"/>
                </w:tcPr>
                <w:p>
                  <w:pPr>
                    <w:pStyle w:val="43"/>
                    <w:bidi w:val="0"/>
                    <w:rPr>
                      <w:rFonts w:hint="eastAsia" w:eastAsia="宋体"/>
                      <w:sz w:val="21"/>
                      <w:szCs w:val="21"/>
                      <w:highlight w:val="none"/>
                      <w:lang w:val="en-US" w:eastAsia="zh-CN"/>
                    </w:rPr>
                  </w:pPr>
                  <w:r>
                    <w:rPr>
                      <w:rFonts w:hint="eastAsia"/>
                      <w:sz w:val="21"/>
                      <w:szCs w:val="21"/>
                      <w:highlight w:val="none"/>
                      <w:lang w:val="en-US" w:eastAsia="zh-CN"/>
                    </w:rPr>
                    <w:t>本项目生产废水为</w:t>
                  </w:r>
                  <w:r>
                    <w:rPr>
                      <w:rFonts w:hint="default" w:ascii="Times New Roman" w:hAnsi="Times New Roman" w:cs="Times New Roman"/>
                      <w:sz w:val="21"/>
                      <w:szCs w:val="21"/>
                      <w:highlight w:val="none"/>
                      <w:lang w:val="en-US" w:eastAsia="zh-CN"/>
                    </w:rPr>
                    <w:t>养护废水</w:t>
                  </w:r>
                  <w:r>
                    <w:rPr>
                      <w:rFonts w:hint="eastAsia" w:ascii="Times New Roman" w:hAnsi="Times New Roman" w:cs="Times New Roman"/>
                      <w:sz w:val="21"/>
                      <w:szCs w:val="21"/>
                      <w:highlight w:val="none"/>
                      <w:lang w:val="en-US" w:eastAsia="zh-CN"/>
                    </w:rPr>
                    <w:t>及</w:t>
                  </w:r>
                  <w:r>
                    <w:rPr>
                      <w:rFonts w:hint="eastAsia" w:cs="Times New Roman"/>
                      <w:sz w:val="21"/>
                      <w:szCs w:val="21"/>
                      <w:highlight w:val="none"/>
                      <w:lang w:val="en-US" w:eastAsia="zh-CN"/>
                    </w:rPr>
                    <w:t>运输车辆轮胎清洗废水</w:t>
                  </w:r>
                  <w:r>
                    <w:rPr>
                      <w:rFonts w:hint="eastAsia"/>
                      <w:sz w:val="21"/>
                      <w:szCs w:val="21"/>
                      <w:highlight w:val="none"/>
                      <w:lang w:val="en-US" w:eastAsia="zh-CN"/>
                    </w:rPr>
                    <w:t>，全部回用于生产配料添加水，生产废水不外排。员工生活污水经防渗化粪池处理后</w:t>
                  </w:r>
                  <w:r>
                    <w:rPr>
                      <w:spacing w:val="9"/>
                      <w:sz w:val="21"/>
                      <w:szCs w:val="21"/>
                    </w:rPr>
                    <w:t>委托拉运至</w:t>
                  </w:r>
                  <w:r>
                    <w:rPr>
                      <w:rFonts w:hint="eastAsia"/>
                      <w:spacing w:val="9"/>
                      <w:sz w:val="21"/>
                      <w:szCs w:val="21"/>
                      <w:lang w:val="en-US" w:eastAsia="zh-CN"/>
                    </w:rPr>
                    <w:t>博湖</w:t>
                  </w:r>
                  <w:r>
                    <w:rPr>
                      <w:spacing w:val="9"/>
                      <w:sz w:val="21"/>
                      <w:szCs w:val="21"/>
                    </w:rPr>
                    <w:t>县</w:t>
                  </w:r>
                  <w:r>
                    <w:rPr>
                      <w:spacing w:val="8"/>
                      <w:sz w:val="21"/>
                      <w:szCs w:val="21"/>
                    </w:rPr>
                    <w:t>污水处理厂</w:t>
                  </w:r>
                  <w:r>
                    <w:rPr>
                      <w:rFonts w:hint="eastAsia"/>
                      <w:spacing w:val="8"/>
                      <w:sz w:val="21"/>
                      <w:szCs w:val="21"/>
                      <w:lang w:val="en-US" w:eastAsia="zh-CN"/>
                    </w:rPr>
                    <w:t>进一步处理</w:t>
                  </w:r>
                </w:p>
              </w:tc>
              <w:tc>
                <w:tcPr>
                  <w:tcW w:w="678" w:type="dxa"/>
                  <w:noWrap w:val="0"/>
                  <w:vAlign w:val="center"/>
                </w:tcPr>
                <w:p>
                  <w:pPr>
                    <w:bidi w:val="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供热</w:t>
                  </w:r>
                </w:p>
              </w:tc>
              <w:tc>
                <w:tcPr>
                  <w:tcW w:w="4991" w:type="dxa"/>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生产不用热且均为自然养护，冬季值班采暖采用电供暖</w:t>
                  </w:r>
                </w:p>
              </w:tc>
              <w:tc>
                <w:tcPr>
                  <w:tcW w:w="678" w:type="dxa"/>
                  <w:noWrap w:val="0"/>
                  <w:vAlign w:val="center"/>
                </w:tcPr>
                <w:p>
                  <w:pPr>
                    <w:bidi w:val="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供电</w:t>
                  </w:r>
                </w:p>
              </w:tc>
              <w:tc>
                <w:tcPr>
                  <w:tcW w:w="4991"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由厂区北侧10kV供电线路接入，电力供应充足，可保证该项目用电。</w:t>
                  </w:r>
                </w:p>
              </w:tc>
              <w:tc>
                <w:tcPr>
                  <w:tcW w:w="678" w:type="dxa"/>
                  <w:noWrap w:val="0"/>
                  <w:vAlign w:val="center"/>
                </w:tcPr>
                <w:p>
                  <w:pPr>
                    <w:bidi w:val="0"/>
                    <w:jc w:val="center"/>
                    <w:rPr>
                      <w:rFonts w:hint="eastAsia"/>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0" w:hRule="atLeast"/>
                <w:jc w:val="center"/>
              </w:trPr>
              <w:tc>
                <w:tcPr>
                  <w:tcW w:w="719" w:type="dxa"/>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环保工程</w:t>
                  </w:r>
                </w:p>
              </w:tc>
              <w:tc>
                <w:tcPr>
                  <w:tcW w:w="482" w:type="dxa"/>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废水</w:t>
                  </w:r>
                </w:p>
              </w:tc>
              <w:tc>
                <w:tcPr>
                  <w:tcW w:w="974" w:type="dxa"/>
                  <w:gridSpan w:val="2"/>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生产废水</w:t>
                  </w:r>
                </w:p>
              </w:tc>
              <w:tc>
                <w:tcPr>
                  <w:tcW w:w="4991" w:type="dxa"/>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本项目生产废水为</w:t>
                  </w:r>
                  <w:r>
                    <w:rPr>
                      <w:rFonts w:hint="default" w:ascii="Times New Roman" w:hAnsi="Times New Roman" w:cs="Times New Roman"/>
                      <w:sz w:val="21"/>
                      <w:szCs w:val="21"/>
                      <w:highlight w:val="none"/>
                      <w:lang w:val="en-US" w:eastAsia="zh-CN"/>
                    </w:rPr>
                    <w:t>养护废水</w:t>
                  </w:r>
                  <w:r>
                    <w:rPr>
                      <w:rFonts w:hint="eastAsia" w:ascii="Times New Roman" w:hAnsi="Times New Roman" w:cs="Times New Roman"/>
                      <w:sz w:val="21"/>
                      <w:szCs w:val="21"/>
                      <w:highlight w:val="none"/>
                      <w:lang w:val="en-US" w:eastAsia="zh-CN"/>
                    </w:rPr>
                    <w:t>及</w:t>
                  </w:r>
                  <w:r>
                    <w:rPr>
                      <w:rFonts w:hint="eastAsia" w:cs="Times New Roman"/>
                      <w:sz w:val="21"/>
                      <w:szCs w:val="21"/>
                      <w:highlight w:val="none"/>
                      <w:lang w:val="en-US" w:eastAsia="zh-CN"/>
                    </w:rPr>
                    <w:t>运输车辆轮胎清洗废水</w:t>
                  </w:r>
                  <w:r>
                    <w:rPr>
                      <w:rFonts w:hint="eastAsia"/>
                      <w:sz w:val="21"/>
                      <w:szCs w:val="21"/>
                      <w:highlight w:val="none"/>
                      <w:lang w:val="en-US" w:eastAsia="zh-CN"/>
                    </w:rPr>
                    <w:t>。厂区出口洗车平台旁设置1座0.8m</w:t>
                  </w:r>
                  <w:r>
                    <w:rPr>
                      <w:rFonts w:hint="eastAsia"/>
                      <w:sz w:val="21"/>
                      <w:szCs w:val="21"/>
                      <w:highlight w:val="none"/>
                      <w:vertAlign w:val="superscript"/>
                      <w:lang w:val="en-US" w:eastAsia="zh-CN"/>
                    </w:rPr>
                    <w:t>3</w:t>
                  </w:r>
                  <w:r>
                    <w:rPr>
                      <w:rFonts w:hint="eastAsia"/>
                      <w:sz w:val="21"/>
                      <w:szCs w:val="21"/>
                      <w:highlight w:val="none"/>
                      <w:lang w:val="en-US" w:eastAsia="zh-CN"/>
                    </w:rPr>
                    <w:t>防渗沉淀池，</w:t>
                  </w:r>
                  <w:r>
                    <w:rPr>
                      <w:rFonts w:hint="eastAsia" w:cs="Times New Roman"/>
                      <w:sz w:val="21"/>
                      <w:szCs w:val="21"/>
                      <w:highlight w:val="none"/>
                      <w:lang w:val="en-US" w:eastAsia="zh-CN"/>
                    </w:rPr>
                    <w:t>运输车辆轮胎清洗</w:t>
                  </w:r>
                  <w:r>
                    <w:rPr>
                      <w:rFonts w:hint="eastAsia"/>
                      <w:sz w:val="21"/>
                      <w:szCs w:val="21"/>
                      <w:highlight w:val="none"/>
                      <w:lang w:val="en-US" w:eastAsia="zh-CN"/>
                    </w:rPr>
                    <w:t>废水经沉淀后上清液回用于养护空心砖、水泥柱等生产配料添加水，生产过程用水全部进入产品，不外排；养护用水在产品表面自然蒸发；厂房内喷淋、雾炮降尘水自然蒸发。</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482" w:type="dxa"/>
                  <w:vMerge w:val="continue"/>
                  <w:noWrap w:val="0"/>
                  <w:vAlign w:val="center"/>
                </w:tcPr>
                <w:p>
                  <w:pPr>
                    <w:pStyle w:val="43"/>
                    <w:bidi w:val="0"/>
                    <w:rPr>
                      <w:rFonts w:hint="eastAsia"/>
                      <w:sz w:val="21"/>
                      <w:szCs w:val="21"/>
                      <w:highlight w:val="none"/>
                      <w:lang w:val="en-US" w:eastAsia="zh-CN"/>
                    </w:rPr>
                  </w:pPr>
                </w:p>
              </w:tc>
              <w:tc>
                <w:tcPr>
                  <w:tcW w:w="974" w:type="dxa"/>
                  <w:gridSpan w:val="2"/>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生活污水</w:t>
                  </w:r>
                </w:p>
              </w:tc>
              <w:tc>
                <w:tcPr>
                  <w:tcW w:w="4991" w:type="dxa"/>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生活污水经防渗化粪池（1座、容积</w:t>
                  </w:r>
                  <w:r>
                    <w:rPr>
                      <w:rFonts w:hint="eastAsia" w:cs="宋体"/>
                      <w:color w:val="000000"/>
                      <w:szCs w:val="21"/>
                      <w:highlight w:val="none"/>
                      <w:lang w:val="en-US" w:eastAsia="zh-CN" w:bidi="ar"/>
                    </w:rPr>
                    <w:t>3</w:t>
                  </w:r>
                  <w:r>
                    <w:rPr>
                      <w:rFonts w:cs="宋体"/>
                      <w:color w:val="000000"/>
                      <w:szCs w:val="21"/>
                      <w:highlight w:val="none"/>
                      <w:lang w:bidi="ar"/>
                    </w:rPr>
                    <w:t>0</w:t>
                  </w:r>
                  <w:r>
                    <w:rPr>
                      <w:rFonts w:hint="eastAsia" w:cs="宋体"/>
                      <w:color w:val="000000"/>
                      <w:szCs w:val="21"/>
                      <w:highlight w:val="none"/>
                      <w:lang w:bidi="ar"/>
                    </w:rPr>
                    <w:t>m³</w:t>
                  </w:r>
                  <w:r>
                    <w:rPr>
                      <w:rFonts w:hint="eastAsia"/>
                      <w:sz w:val="21"/>
                      <w:szCs w:val="21"/>
                      <w:highlight w:val="none"/>
                      <w:lang w:val="en-US" w:eastAsia="zh-CN"/>
                    </w:rPr>
                    <w:t>）处理后</w:t>
                  </w:r>
                  <w:r>
                    <w:rPr>
                      <w:spacing w:val="9"/>
                      <w:sz w:val="21"/>
                      <w:szCs w:val="21"/>
                    </w:rPr>
                    <w:t>委托拉运至</w:t>
                  </w:r>
                  <w:r>
                    <w:rPr>
                      <w:rFonts w:hint="eastAsia"/>
                      <w:spacing w:val="9"/>
                      <w:sz w:val="21"/>
                      <w:szCs w:val="21"/>
                      <w:lang w:val="en-US" w:eastAsia="zh-CN"/>
                    </w:rPr>
                    <w:t>博湖</w:t>
                  </w:r>
                  <w:r>
                    <w:rPr>
                      <w:spacing w:val="9"/>
                      <w:sz w:val="21"/>
                      <w:szCs w:val="21"/>
                    </w:rPr>
                    <w:t>县</w:t>
                  </w:r>
                  <w:r>
                    <w:rPr>
                      <w:spacing w:val="8"/>
                      <w:sz w:val="21"/>
                      <w:szCs w:val="21"/>
                    </w:rPr>
                    <w:t>污水处理厂</w:t>
                  </w:r>
                  <w:r>
                    <w:rPr>
                      <w:rFonts w:hint="eastAsia"/>
                      <w:spacing w:val="8"/>
                      <w:sz w:val="21"/>
                      <w:szCs w:val="21"/>
                      <w:lang w:val="en-US" w:eastAsia="zh-CN"/>
                    </w:rPr>
                    <w:t>进一步处理</w:t>
                  </w:r>
                  <w:r>
                    <w:rPr>
                      <w:rFonts w:hint="eastAsia"/>
                      <w:sz w:val="21"/>
                      <w:szCs w:val="21"/>
                      <w:highlight w:val="none"/>
                      <w:lang w:val="en-US" w:eastAsia="zh-CN"/>
                    </w:rPr>
                    <w:t>。</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废气</w:t>
                  </w:r>
                </w:p>
              </w:tc>
              <w:tc>
                <w:tcPr>
                  <w:tcW w:w="974" w:type="dxa"/>
                  <w:gridSpan w:val="2"/>
                  <w:vMerge w:val="restart"/>
                  <w:noWrap w:val="0"/>
                  <w:vAlign w:val="center"/>
                </w:tcPr>
                <w:p>
                  <w:pPr>
                    <w:pStyle w:val="30"/>
                    <w:bidi w:val="0"/>
                    <w:rPr>
                      <w:rFonts w:hint="default"/>
                      <w:sz w:val="21"/>
                      <w:szCs w:val="21"/>
                      <w:highlight w:val="none"/>
                      <w:lang w:val="en-US" w:eastAsia="zh-CN"/>
                    </w:rPr>
                  </w:pPr>
                  <w:r>
                    <w:rPr>
                      <w:rFonts w:hint="eastAsia"/>
                      <w:sz w:val="21"/>
                      <w:szCs w:val="21"/>
                      <w:highlight w:val="none"/>
                      <w:lang w:val="en-US" w:eastAsia="zh-CN"/>
                    </w:rPr>
                    <w:t>有组织粉尘</w:t>
                  </w:r>
                </w:p>
              </w:tc>
              <w:tc>
                <w:tcPr>
                  <w:tcW w:w="4991" w:type="dxa"/>
                  <w:noWrap w:val="0"/>
                  <w:vAlign w:val="center"/>
                </w:tcPr>
                <w:p>
                  <w:pPr>
                    <w:pStyle w:val="30"/>
                    <w:bidi w:val="0"/>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highlight w:val="none"/>
                      <w:lang w:val="en-US" w:eastAsia="zh-CN"/>
                    </w:rPr>
                    <w:t>水泥采用</w:t>
                  </w:r>
                  <w:r>
                    <w:rPr>
                      <w:rFonts w:hint="eastAsia" w:cs="Times New Roman"/>
                      <w:highlight w:val="none"/>
                      <w:lang w:val="en-US" w:eastAsia="zh-CN"/>
                    </w:rPr>
                    <w:t>两座</w:t>
                  </w:r>
                  <w:r>
                    <w:rPr>
                      <w:rFonts w:hint="default" w:ascii="Times New Roman" w:hAnsi="Times New Roman" w:cs="Times New Roman"/>
                      <w:highlight w:val="none"/>
                      <w:lang w:val="en-US" w:eastAsia="zh-CN"/>
                    </w:rPr>
                    <w:t>筒仓存放</w:t>
                  </w:r>
                  <w:r>
                    <w:rPr>
                      <w:rFonts w:hint="eastAsia" w:cs="Times New Roman"/>
                      <w:highlight w:val="none"/>
                      <w:lang w:val="en-US" w:eastAsia="zh-CN"/>
                    </w:rPr>
                    <w:t>、输送粉尘废气通过各筒仓仓顶自带脉冲式除尘器除尘后外排（DA001、DA002）</w:t>
                  </w:r>
                  <w:r>
                    <w:rPr>
                      <w:rFonts w:hint="default" w:ascii="Times New Roman" w:hAnsi="Times New Roman" w:cs="Times New Roman"/>
                      <w:highlight w:val="none"/>
                      <w:lang w:val="en-US" w:eastAsia="zh-CN"/>
                    </w:rPr>
                    <w:t>；</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continue"/>
                  <w:noWrap w:val="0"/>
                  <w:vAlign w:val="center"/>
                </w:tcPr>
                <w:p>
                  <w:pPr>
                    <w:pStyle w:val="43"/>
                    <w:bidi w:val="0"/>
                    <w:rPr>
                      <w:rFonts w:hint="eastAsia"/>
                      <w:sz w:val="21"/>
                      <w:szCs w:val="21"/>
                      <w:highlight w:val="none"/>
                      <w:lang w:val="en-US" w:eastAsia="zh-CN"/>
                    </w:rPr>
                  </w:pPr>
                </w:p>
              </w:tc>
              <w:tc>
                <w:tcPr>
                  <w:tcW w:w="974" w:type="dxa"/>
                  <w:gridSpan w:val="2"/>
                  <w:vMerge w:val="continue"/>
                  <w:noWrap w:val="0"/>
                  <w:vAlign w:val="center"/>
                </w:tcPr>
                <w:p>
                  <w:pPr>
                    <w:pStyle w:val="30"/>
                    <w:bidi w:val="0"/>
                    <w:rPr>
                      <w:rFonts w:hint="eastAsia"/>
                      <w:sz w:val="21"/>
                      <w:szCs w:val="21"/>
                      <w:highlight w:val="none"/>
                      <w:lang w:val="en-US" w:eastAsia="zh-CN"/>
                    </w:rPr>
                  </w:pPr>
                </w:p>
              </w:tc>
              <w:tc>
                <w:tcPr>
                  <w:tcW w:w="4991" w:type="dxa"/>
                  <w:noWrap w:val="0"/>
                  <w:vAlign w:val="center"/>
                </w:tcPr>
                <w:p>
                  <w:pPr>
                    <w:pStyle w:val="30"/>
                    <w:bidi w:val="0"/>
                    <w:rPr>
                      <w:rFonts w:hint="eastAsia"/>
                      <w:sz w:val="21"/>
                      <w:szCs w:val="21"/>
                      <w:highlight w:val="none"/>
                      <w:lang w:val="en-US" w:eastAsia="zh-CN"/>
                    </w:rPr>
                  </w:pPr>
                  <w:r>
                    <w:rPr>
                      <w:rFonts w:hint="eastAsia" w:cs="Times New Roman"/>
                      <w:highlight w:val="none"/>
                      <w:lang w:val="en-US" w:eastAsia="zh-CN"/>
                    </w:rPr>
                    <w:t>砂子、石子物料</w:t>
                  </w:r>
                  <w:r>
                    <w:rPr>
                      <w:rFonts w:hint="default" w:ascii="Times New Roman" w:hAnsi="Times New Roman" w:cs="Times New Roman"/>
                      <w:highlight w:val="none"/>
                      <w:lang w:val="en-US" w:eastAsia="zh-CN"/>
                    </w:rPr>
                    <w:t>输送</w:t>
                  </w:r>
                  <w:r>
                    <w:rPr>
                      <w:rFonts w:hint="eastAsia" w:ascii="Times New Roman" w:hAnsi="Times New Roman" w:cs="Times New Roman"/>
                      <w:highlight w:val="none"/>
                      <w:lang w:val="en-US" w:eastAsia="zh-CN"/>
                    </w:rPr>
                    <w:t>工序在</w:t>
                  </w:r>
                  <w:r>
                    <w:rPr>
                      <w:rFonts w:hint="default" w:ascii="Times New Roman" w:hAnsi="Times New Roman" w:cs="Times New Roman"/>
                      <w:highlight w:val="none"/>
                      <w:lang w:val="en-US" w:eastAsia="zh-CN"/>
                    </w:rPr>
                    <w:t>投料料斗设备上方设置软帘包裹，集气罩收集粉尘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布袋除尘器除尘处理，15m高排气筒排放（DA003）</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continue"/>
                  <w:noWrap w:val="0"/>
                  <w:vAlign w:val="center"/>
                </w:tcPr>
                <w:p>
                  <w:pPr>
                    <w:pStyle w:val="43"/>
                    <w:bidi w:val="0"/>
                    <w:rPr>
                      <w:rFonts w:hint="eastAsia"/>
                      <w:sz w:val="21"/>
                      <w:szCs w:val="21"/>
                      <w:highlight w:val="none"/>
                      <w:lang w:val="en-US" w:eastAsia="zh-CN"/>
                    </w:rPr>
                  </w:pPr>
                </w:p>
              </w:tc>
              <w:tc>
                <w:tcPr>
                  <w:tcW w:w="974" w:type="dxa"/>
                  <w:gridSpan w:val="2"/>
                  <w:vMerge w:val="continue"/>
                  <w:noWrap w:val="0"/>
                  <w:vAlign w:val="center"/>
                </w:tcPr>
                <w:p>
                  <w:pPr>
                    <w:pStyle w:val="30"/>
                    <w:bidi w:val="0"/>
                    <w:rPr>
                      <w:rFonts w:hint="eastAsia"/>
                      <w:sz w:val="21"/>
                      <w:szCs w:val="21"/>
                      <w:highlight w:val="none"/>
                      <w:lang w:val="en-US" w:eastAsia="zh-CN"/>
                    </w:rPr>
                  </w:pPr>
                </w:p>
              </w:tc>
              <w:tc>
                <w:tcPr>
                  <w:tcW w:w="4991" w:type="dxa"/>
                  <w:shd w:val="clear" w:color="auto" w:fill="auto"/>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highlight w:val="none"/>
                      <w:lang w:val="en-US" w:eastAsia="zh-CN"/>
                    </w:rPr>
                    <w:t>搅拌</w:t>
                  </w:r>
                  <w:r>
                    <w:rPr>
                      <w:rFonts w:hint="eastAsia" w:ascii="Times New Roman" w:hAnsi="Times New Roman" w:cs="Times New Roman"/>
                      <w:highlight w:val="none"/>
                      <w:lang w:val="en-US" w:eastAsia="zh-CN"/>
                    </w:rPr>
                    <w:t>工序</w:t>
                  </w:r>
                  <w:r>
                    <w:rPr>
                      <w:rFonts w:hint="default" w:ascii="Times New Roman" w:hAnsi="Times New Roman" w:cs="Times New Roman"/>
                      <w:highlight w:val="none"/>
                      <w:lang w:val="en-US" w:eastAsia="zh-CN"/>
                    </w:rPr>
                    <w:t>上方设置集气罩收集废气</w:t>
                  </w:r>
                  <w:r>
                    <w:rPr>
                      <w:spacing w:val="7"/>
                      <w:sz w:val="21"/>
                      <w:szCs w:val="21"/>
                    </w:rPr>
                    <w:t>，</w:t>
                  </w:r>
                  <w:r>
                    <w:rPr>
                      <w:rFonts w:hint="eastAsia"/>
                      <w:spacing w:val="7"/>
                      <w:sz w:val="21"/>
                      <w:szCs w:val="21"/>
                      <w:lang w:val="en-US" w:eastAsia="zh-CN"/>
                    </w:rPr>
                    <w:t>集气</w:t>
                  </w:r>
                  <w:r>
                    <w:rPr>
                      <w:spacing w:val="7"/>
                      <w:sz w:val="21"/>
                      <w:szCs w:val="21"/>
                    </w:rPr>
                    <w:t>收集后</w:t>
                  </w:r>
                  <w:r>
                    <w:rPr>
                      <w:rFonts w:hint="eastAsia"/>
                      <w:spacing w:val="7"/>
                      <w:sz w:val="21"/>
                      <w:szCs w:val="21"/>
                      <w:lang w:val="en-US" w:eastAsia="zh-CN"/>
                    </w:rPr>
                    <w:t>经一套</w:t>
                  </w:r>
                  <w:r>
                    <w:rPr>
                      <w:spacing w:val="7"/>
                      <w:sz w:val="21"/>
                      <w:szCs w:val="21"/>
                    </w:rPr>
                    <w:t>布袋除尘器</w:t>
                  </w:r>
                  <w:r>
                    <w:rPr>
                      <w:rFonts w:hint="eastAsia"/>
                      <w:sz w:val="21"/>
                      <w:szCs w:val="21"/>
                      <w:highlight w:val="none"/>
                      <w:lang w:val="en-US" w:eastAsia="zh-CN"/>
                    </w:rPr>
                    <w:t>除尘处理</w:t>
                  </w:r>
                  <w:r>
                    <w:rPr>
                      <w:spacing w:val="7"/>
                      <w:sz w:val="21"/>
                      <w:szCs w:val="21"/>
                    </w:rPr>
                    <w:t>，</w:t>
                  </w:r>
                  <w:r>
                    <w:rPr>
                      <w:rFonts w:hint="eastAsia"/>
                      <w:sz w:val="21"/>
                      <w:szCs w:val="21"/>
                      <w:highlight w:val="none"/>
                      <w:lang w:val="en-US" w:eastAsia="zh-CN"/>
                    </w:rPr>
                    <w:t>通过</w:t>
                  </w:r>
                  <w:r>
                    <w:rPr>
                      <w:sz w:val="21"/>
                      <w:szCs w:val="21"/>
                      <w:highlight w:val="none"/>
                      <w:lang w:val="en-US" w:eastAsia="en-US"/>
                    </w:rPr>
                    <w:t>排气筒</w:t>
                  </w:r>
                  <w:r>
                    <w:rPr>
                      <w:rFonts w:hint="eastAsia"/>
                      <w:sz w:val="21"/>
                      <w:szCs w:val="21"/>
                      <w:highlight w:val="none"/>
                      <w:lang w:val="en-US" w:eastAsia="zh-CN"/>
                    </w:rPr>
                    <w:t>（DA004）排放，排气筒</w:t>
                  </w:r>
                  <w:r>
                    <w:rPr>
                      <w:sz w:val="21"/>
                      <w:szCs w:val="21"/>
                      <w:highlight w:val="none"/>
                      <w:lang w:val="en-US" w:eastAsia="en-US"/>
                    </w:rPr>
                    <w:t>高</w:t>
                  </w:r>
                  <w:r>
                    <w:rPr>
                      <w:rFonts w:hint="eastAsia"/>
                      <w:sz w:val="21"/>
                      <w:szCs w:val="21"/>
                      <w:highlight w:val="none"/>
                      <w:lang w:val="en-US" w:eastAsia="zh-CN"/>
                    </w:rPr>
                    <w:t>度</w:t>
                  </w:r>
                  <w:r>
                    <w:rPr>
                      <w:sz w:val="21"/>
                      <w:szCs w:val="21"/>
                      <w:highlight w:val="none"/>
                      <w:lang w:val="en-US" w:eastAsia="en-US"/>
                    </w:rPr>
                    <w:t>15m</w:t>
                  </w:r>
                </w:p>
              </w:tc>
              <w:tc>
                <w:tcPr>
                  <w:tcW w:w="678" w:type="dxa"/>
                  <w:shd w:val="clear" w:color="auto" w:fill="auto"/>
                  <w:noWrap w:val="0"/>
                  <w:vAlign w:val="center"/>
                </w:tcPr>
                <w:p>
                  <w:pPr>
                    <w:bidi w:val="0"/>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continue"/>
                  <w:noWrap w:val="0"/>
                  <w:vAlign w:val="center"/>
                </w:tcPr>
                <w:p>
                  <w:pPr>
                    <w:pStyle w:val="43"/>
                    <w:bidi w:val="0"/>
                    <w:rPr>
                      <w:sz w:val="21"/>
                      <w:szCs w:val="21"/>
                      <w:highlight w:val="none"/>
                    </w:rPr>
                  </w:pPr>
                </w:p>
              </w:tc>
              <w:tc>
                <w:tcPr>
                  <w:tcW w:w="974" w:type="dxa"/>
                  <w:gridSpan w:val="2"/>
                  <w:vMerge w:val="restart"/>
                  <w:noWrap w:val="0"/>
                  <w:vAlign w:val="center"/>
                </w:tcPr>
                <w:p>
                  <w:pPr>
                    <w:pStyle w:val="30"/>
                    <w:bidi w:val="0"/>
                    <w:rPr>
                      <w:rFonts w:hint="default"/>
                      <w:sz w:val="21"/>
                      <w:szCs w:val="21"/>
                      <w:highlight w:val="none"/>
                      <w:lang w:val="en-US" w:eastAsia="zh-CN"/>
                    </w:rPr>
                  </w:pPr>
                  <w:r>
                    <w:rPr>
                      <w:rFonts w:hint="eastAsia"/>
                      <w:sz w:val="21"/>
                      <w:szCs w:val="21"/>
                      <w:highlight w:val="none"/>
                      <w:lang w:val="en-US" w:eastAsia="zh-CN"/>
                    </w:rPr>
                    <w:t>无组织粉尘</w:t>
                  </w:r>
                </w:p>
              </w:tc>
              <w:tc>
                <w:tcPr>
                  <w:tcW w:w="4991" w:type="dxa"/>
                  <w:noWrap w:val="0"/>
                  <w:vAlign w:val="center"/>
                </w:tcPr>
                <w:p>
                  <w:pPr>
                    <w:pStyle w:val="30"/>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沙子、</w:t>
                  </w:r>
                  <w:r>
                    <w:rPr>
                      <w:rFonts w:hint="eastAsia" w:eastAsia="宋体" w:cs="Times New Roman"/>
                      <w:sz w:val="21"/>
                      <w:szCs w:val="21"/>
                      <w:highlight w:val="none"/>
                      <w:lang w:val="en-US" w:eastAsia="zh-CN"/>
                    </w:rPr>
                    <w:t>石子</w:t>
                  </w:r>
                  <w:r>
                    <w:rPr>
                      <w:rFonts w:hint="eastAsia" w:ascii="Times New Roman" w:hAnsi="Times New Roman" w:eastAsia="宋体" w:cs="Times New Roman"/>
                      <w:sz w:val="21"/>
                      <w:szCs w:val="21"/>
                      <w:highlight w:val="none"/>
                      <w:lang w:val="en-US" w:eastAsia="zh-CN"/>
                    </w:rPr>
                    <w:t>分区堆存，沙子原料堆场属于</w:t>
                  </w:r>
                  <w:r>
                    <w:rPr>
                      <w:rFonts w:hint="eastAsia" w:cs="Times New Roman"/>
                      <w:sz w:val="21"/>
                      <w:szCs w:val="21"/>
                      <w:highlight w:val="none"/>
                      <w:lang w:val="en-US" w:eastAsia="zh-CN"/>
                    </w:rPr>
                    <w:t>Ⅱ类</w:t>
                  </w:r>
                  <w:r>
                    <w:rPr>
                      <w:rFonts w:hint="eastAsia" w:ascii="Times New Roman" w:hAnsi="Times New Roman" w:eastAsia="宋体" w:cs="Times New Roman"/>
                      <w:sz w:val="21"/>
                      <w:szCs w:val="21"/>
                      <w:highlight w:val="none"/>
                      <w:lang w:val="en-US" w:eastAsia="zh-CN"/>
                    </w:rPr>
                    <w:t>料堆场，暂存于全封闭库房内；石子原料堆场属于类料堆场，暂存于露天堆场、苫盖密目防尘布并雾炮降尘。</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continue"/>
                  <w:noWrap w:val="0"/>
                  <w:vAlign w:val="center"/>
                </w:tcPr>
                <w:p>
                  <w:pPr>
                    <w:pStyle w:val="43"/>
                    <w:bidi w:val="0"/>
                    <w:rPr>
                      <w:sz w:val="21"/>
                      <w:szCs w:val="21"/>
                      <w:highlight w:val="none"/>
                    </w:rPr>
                  </w:pPr>
                </w:p>
              </w:tc>
              <w:tc>
                <w:tcPr>
                  <w:tcW w:w="974" w:type="dxa"/>
                  <w:gridSpan w:val="2"/>
                  <w:vMerge w:val="continue"/>
                  <w:noWrap w:val="0"/>
                  <w:vAlign w:val="center"/>
                </w:tcPr>
                <w:p>
                  <w:pPr>
                    <w:pStyle w:val="30"/>
                    <w:bidi w:val="0"/>
                    <w:rPr>
                      <w:rFonts w:hint="default"/>
                      <w:sz w:val="21"/>
                      <w:szCs w:val="21"/>
                      <w:highlight w:val="none"/>
                      <w:lang w:val="en-US" w:eastAsia="zh-CN"/>
                    </w:rPr>
                  </w:pPr>
                </w:p>
              </w:tc>
              <w:tc>
                <w:tcPr>
                  <w:tcW w:w="4991" w:type="dxa"/>
                  <w:noWrap w:val="0"/>
                  <w:vAlign w:val="center"/>
                </w:tcPr>
                <w:p>
                  <w:pPr>
                    <w:pStyle w:val="30"/>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原料输送、投料、混合拌料等生产过程均设置在全密闭厂房内</w:t>
                  </w:r>
                  <w:r>
                    <w:rPr>
                      <w:rFonts w:hint="eastAsia" w:cs="Times New Roman"/>
                      <w:sz w:val="21"/>
                      <w:szCs w:val="21"/>
                      <w:highlight w:val="none"/>
                      <w:lang w:val="en-US" w:eastAsia="zh-CN"/>
                    </w:rPr>
                    <w:t>，</w:t>
                  </w:r>
                  <w:r>
                    <w:rPr>
                      <w:rFonts w:hint="eastAsia" w:ascii="宋体" w:hAnsi="宋体" w:eastAsia="宋体" w:cs="宋体"/>
                      <w:color w:val="auto"/>
                      <w:highlight w:val="none"/>
                      <w:lang w:val="en-US" w:eastAsia="zh-CN"/>
                    </w:rPr>
                    <w:t>皮带输送</w:t>
                  </w:r>
                  <w:r>
                    <w:rPr>
                      <w:rFonts w:hint="eastAsia" w:ascii="宋体" w:hAnsi="宋体" w:cs="宋体"/>
                      <w:color w:val="auto"/>
                      <w:highlight w:val="none"/>
                      <w:lang w:val="en-US" w:eastAsia="zh-CN"/>
                    </w:rPr>
                    <w:t>工序</w:t>
                  </w:r>
                  <w:r>
                    <w:rPr>
                      <w:rFonts w:hint="eastAsia" w:ascii="宋体" w:hAnsi="宋体" w:eastAsia="宋体" w:cs="宋体"/>
                      <w:color w:val="auto"/>
                      <w:highlight w:val="none"/>
                      <w:lang w:val="en-US" w:eastAsia="zh-CN"/>
                    </w:rPr>
                    <w:t>尽量降低跌落高度</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车间内经常进行清扫</w:t>
                  </w:r>
                  <w:r>
                    <w:rPr>
                      <w:rFonts w:hint="eastAsia" w:ascii="宋体" w:hAnsi="宋体" w:cs="宋体"/>
                      <w:color w:val="auto"/>
                      <w:highlight w:val="none"/>
                      <w:lang w:val="en-US" w:eastAsia="zh-CN"/>
                    </w:rPr>
                    <w:t>。</w:t>
                  </w:r>
                  <w:r>
                    <w:rPr>
                      <w:rFonts w:hint="eastAsia" w:ascii="Times New Roman" w:hAnsi="Times New Roman" w:eastAsia="宋体" w:cs="Times New Roman"/>
                      <w:sz w:val="21"/>
                      <w:szCs w:val="21"/>
                      <w:highlight w:val="none"/>
                      <w:lang w:val="en-US" w:eastAsia="zh-CN"/>
                    </w:rPr>
                    <w:t>原料装卸过程</w:t>
                  </w:r>
                  <w:r>
                    <w:rPr>
                      <w:rFonts w:hint="eastAsia"/>
                      <w:highlight w:val="none"/>
                      <w:lang w:val="en-US" w:eastAsia="zh-CN"/>
                    </w:rPr>
                    <w:t>降低物料落差</w:t>
                  </w:r>
                  <w:r>
                    <w:rPr>
                      <w:rFonts w:hint="eastAsia" w:ascii="Times New Roman" w:hAnsi="Times New Roman" w:eastAsia="宋体" w:cs="Times New Roman"/>
                      <w:sz w:val="21"/>
                      <w:szCs w:val="21"/>
                      <w:highlight w:val="none"/>
                      <w:lang w:val="en-US" w:eastAsia="zh-CN"/>
                    </w:rPr>
                    <w:t>，对装卸点雾炮抑尘；</w:t>
                  </w:r>
                  <w:r>
                    <w:rPr>
                      <w:rFonts w:hint="eastAsia"/>
                      <w:highlight w:val="none"/>
                      <w:lang w:val="en-US" w:eastAsia="zh-CN"/>
                    </w:rPr>
                    <w:t>投料口下方与装载斗口对口进行输送，</w:t>
                  </w:r>
                  <w:r>
                    <w:rPr>
                      <w:rFonts w:hint="default" w:ascii="Times New Roman" w:hAnsi="Times New Roman" w:cs="Times New Roman"/>
                      <w:highlight w:val="none"/>
                      <w:lang w:val="en-US" w:eastAsia="zh-CN"/>
                    </w:rPr>
                    <w:t>以减少</w:t>
                  </w:r>
                  <w:r>
                    <w:rPr>
                      <w:rFonts w:hint="eastAsia" w:ascii="Times New Roman" w:hAnsi="Times New Roman" w:cs="Times New Roman"/>
                      <w:highlight w:val="none"/>
                      <w:lang w:val="en-US" w:eastAsia="zh-CN"/>
                    </w:rPr>
                    <w:t>粉尘</w:t>
                  </w:r>
                  <w:r>
                    <w:rPr>
                      <w:rFonts w:hint="default" w:ascii="Times New Roman" w:hAnsi="Times New Roman" w:cs="Times New Roman"/>
                      <w:highlight w:val="none"/>
                      <w:lang w:val="en-US" w:eastAsia="zh-CN"/>
                    </w:rPr>
                    <w:t>废气的泄漏和发</w:t>
                  </w:r>
                  <w:r>
                    <w:rPr>
                      <w:rFonts w:hint="eastAsia" w:ascii="Times New Roman" w:hAnsi="Times New Roman" w:cs="Times New Roman"/>
                      <w:highlight w:val="none"/>
                      <w:lang w:val="en-US" w:eastAsia="zh-CN"/>
                    </w:rPr>
                    <w:t>散。</w:t>
                  </w:r>
                </w:p>
              </w:tc>
              <w:tc>
                <w:tcPr>
                  <w:tcW w:w="678" w:type="dxa"/>
                  <w:noWrap w:val="0"/>
                  <w:vAlign w:val="center"/>
                </w:tcPr>
                <w:p>
                  <w:pPr>
                    <w:bidi w:val="0"/>
                    <w:rPr>
                      <w:rFonts w:hint="default"/>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482" w:type="dxa"/>
                  <w:vMerge w:val="continue"/>
                  <w:noWrap w:val="0"/>
                  <w:vAlign w:val="center"/>
                </w:tcPr>
                <w:p>
                  <w:pPr>
                    <w:pStyle w:val="43"/>
                    <w:bidi w:val="0"/>
                    <w:rPr>
                      <w:sz w:val="21"/>
                      <w:szCs w:val="21"/>
                      <w:highlight w:val="none"/>
                    </w:rPr>
                  </w:pPr>
                </w:p>
              </w:tc>
              <w:tc>
                <w:tcPr>
                  <w:tcW w:w="974" w:type="dxa"/>
                  <w:gridSpan w:val="2"/>
                  <w:vMerge w:val="continue"/>
                  <w:noWrap w:val="0"/>
                  <w:vAlign w:val="center"/>
                </w:tcPr>
                <w:p>
                  <w:pPr>
                    <w:pStyle w:val="30"/>
                    <w:bidi w:val="0"/>
                    <w:rPr>
                      <w:rFonts w:hint="eastAsia"/>
                      <w:sz w:val="21"/>
                      <w:szCs w:val="21"/>
                      <w:highlight w:val="none"/>
                      <w:lang w:val="en-US" w:eastAsia="zh-CN"/>
                    </w:rPr>
                  </w:pPr>
                </w:p>
              </w:tc>
              <w:tc>
                <w:tcPr>
                  <w:tcW w:w="4991" w:type="dxa"/>
                  <w:noWrap w:val="0"/>
                  <w:vAlign w:val="center"/>
                </w:tcPr>
                <w:p>
                  <w:pPr>
                    <w:pStyle w:val="30"/>
                    <w:bidi w:val="0"/>
                    <w:rPr>
                      <w:rFonts w:hint="eastAsia"/>
                      <w:sz w:val="21"/>
                      <w:szCs w:val="21"/>
                      <w:highlight w:val="none"/>
                      <w:lang w:val="en-US" w:eastAsia="en-US"/>
                    </w:rPr>
                  </w:pPr>
                  <w:r>
                    <w:rPr>
                      <w:spacing w:val="5"/>
                      <w:sz w:val="21"/>
                      <w:szCs w:val="21"/>
                    </w:rPr>
                    <w:t>厂区道路出口一侧设置</w:t>
                  </w:r>
                  <w:r>
                    <w:rPr>
                      <w:rFonts w:ascii="Times New Roman" w:hAnsi="Times New Roman" w:eastAsia="Times New Roman" w:cs="Times New Roman"/>
                      <w:spacing w:val="5"/>
                      <w:sz w:val="21"/>
                      <w:szCs w:val="21"/>
                    </w:rPr>
                    <w:t>1</w:t>
                  </w:r>
                  <w:r>
                    <w:rPr>
                      <w:spacing w:val="5"/>
                      <w:sz w:val="21"/>
                      <w:szCs w:val="21"/>
                    </w:rPr>
                    <w:t>处洗车平台，冲洗轮胎后上路；</w:t>
                  </w:r>
                  <w:r>
                    <w:rPr>
                      <w:spacing w:val="9"/>
                      <w:sz w:val="21"/>
                      <w:szCs w:val="21"/>
                    </w:rPr>
                    <w:t>场外运输过程遮盖篷布，控制车速，控制装料高度和装载量</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1456" w:type="dxa"/>
                  <w:gridSpan w:val="3"/>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噪声</w:t>
                  </w:r>
                </w:p>
              </w:tc>
              <w:tc>
                <w:tcPr>
                  <w:tcW w:w="4991" w:type="dxa"/>
                  <w:noWrap w:val="0"/>
                  <w:vAlign w:val="center"/>
                </w:tcPr>
                <w:p>
                  <w:pPr>
                    <w:pStyle w:val="43"/>
                    <w:bidi w:val="0"/>
                    <w:rPr>
                      <w:rFonts w:hint="eastAsia"/>
                      <w:sz w:val="21"/>
                      <w:szCs w:val="21"/>
                      <w:highlight w:val="none"/>
                      <w:lang w:val="en-US" w:eastAsia="zh-CN"/>
                    </w:rPr>
                  </w:pPr>
                  <w:r>
                    <w:rPr>
                      <w:rFonts w:hint="eastAsia"/>
                      <w:sz w:val="21"/>
                      <w:szCs w:val="21"/>
                      <w:highlight w:val="none"/>
                      <w:lang w:val="en-US" w:eastAsia="zh-CN"/>
                    </w:rPr>
                    <w:t>选用低噪声设备，设备基础减振，设备合理布置，采取厂房隔音等措施降噪</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551" w:type="dxa"/>
                  <w:gridSpan w:val="2"/>
                  <w:vMerge w:val="restart"/>
                  <w:noWrap w:val="0"/>
                  <w:vAlign w:val="center"/>
                </w:tcPr>
                <w:p>
                  <w:pPr>
                    <w:pStyle w:val="43"/>
                    <w:bidi w:val="0"/>
                    <w:rPr>
                      <w:rFonts w:hint="default"/>
                      <w:sz w:val="21"/>
                      <w:szCs w:val="21"/>
                      <w:highlight w:val="none"/>
                      <w:lang w:val="en-US" w:eastAsia="zh-CN"/>
                    </w:rPr>
                  </w:pPr>
                  <w:r>
                    <w:rPr>
                      <w:rFonts w:hint="eastAsia"/>
                      <w:sz w:val="21"/>
                      <w:szCs w:val="21"/>
                      <w:highlight w:val="none"/>
                      <w:lang w:val="en-US" w:eastAsia="zh-CN"/>
                    </w:rPr>
                    <w:t>固废</w:t>
                  </w:r>
                </w:p>
              </w:tc>
              <w:tc>
                <w:tcPr>
                  <w:tcW w:w="905"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布袋除尘灰</w:t>
                  </w:r>
                </w:p>
              </w:tc>
              <w:tc>
                <w:tcPr>
                  <w:tcW w:w="4991"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搅拌工序粉尘经布袋除尘器收集，属于一般工业固体废物，与</w:t>
                  </w:r>
                  <w:r>
                    <w:rPr>
                      <w:rFonts w:hint="eastAsia" w:cs="Times New Roman"/>
                      <w:sz w:val="21"/>
                      <w:szCs w:val="21"/>
                      <w:highlight w:val="none"/>
                      <w:lang w:val="en-US" w:eastAsia="zh-CN"/>
                    </w:rPr>
                    <w:t>车间</w:t>
                  </w:r>
                  <w:r>
                    <w:rPr>
                      <w:rFonts w:hint="eastAsia" w:ascii="Times New Roman" w:hAnsi="Times New Roman" w:eastAsia="宋体" w:cs="Times New Roman"/>
                      <w:sz w:val="21"/>
                      <w:szCs w:val="21"/>
                      <w:highlight w:val="none"/>
                      <w:lang w:val="en-US" w:eastAsia="zh-CN"/>
                    </w:rPr>
                    <w:t>地面收集粉尘一同回用于生产线</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551" w:type="dxa"/>
                  <w:gridSpan w:val="2"/>
                  <w:vMerge w:val="continue"/>
                  <w:noWrap w:val="0"/>
                  <w:vAlign w:val="center"/>
                </w:tcPr>
                <w:p>
                  <w:pPr>
                    <w:pStyle w:val="43"/>
                    <w:bidi w:val="0"/>
                    <w:rPr>
                      <w:rFonts w:hint="eastAsia"/>
                      <w:sz w:val="21"/>
                      <w:szCs w:val="21"/>
                      <w:highlight w:val="none"/>
                      <w:lang w:val="en-US" w:eastAsia="zh-CN"/>
                    </w:rPr>
                  </w:pPr>
                </w:p>
              </w:tc>
              <w:tc>
                <w:tcPr>
                  <w:tcW w:w="905"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废模具</w:t>
                  </w:r>
                </w:p>
              </w:tc>
              <w:tc>
                <w:tcPr>
                  <w:tcW w:w="4991"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脱模生产过程废模具外售钢铁回收单位</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551" w:type="dxa"/>
                  <w:gridSpan w:val="2"/>
                  <w:vMerge w:val="continue"/>
                  <w:noWrap w:val="0"/>
                  <w:vAlign w:val="center"/>
                </w:tcPr>
                <w:p>
                  <w:pPr>
                    <w:pStyle w:val="43"/>
                    <w:bidi w:val="0"/>
                    <w:rPr>
                      <w:rFonts w:hint="eastAsia"/>
                      <w:sz w:val="21"/>
                      <w:szCs w:val="21"/>
                      <w:highlight w:val="none"/>
                      <w:lang w:val="en-US" w:eastAsia="zh-CN"/>
                    </w:rPr>
                  </w:pPr>
                </w:p>
              </w:tc>
              <w:tc>
                <w:tcPr>
                  <w:tcW w:w="905"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不合格产品</w:t>
                  </w:r>
                </w:p>
              </w:tc>
              <w:tc>
                <w:tcPr>
                  <w:tcW w:w="4991"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场内暂存后外售路基填筑材料综合利用</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551" w:type="dxa"/>
                  <w:gridSpan w:val="2"/>
                  <w:vMerge w:val="continue"/>
                  <w:noWrap w:val="0"/>
                  <w:vAlign w:val="center"/>
                </w:tcPr>
                <w:p>
                  <w:pPr>
                    <w:pStyle w:val="43"/>
                    <w:bidi w:val="0"/>
                    <w:rPr>
                      <w:rFonts w:hint="eastAsia"/>
                      <w:sz w:val="21"/>
                      <w:szCs w:val="21"/>
                      <w:highlight w:val="none"/>
                      <w:lang w:val="en-US" w:eastAsia="zh-CN"/>
                    </w:rPr>
                  </w:pPr>
                </w:p>
              </w:tc>
              <w:tc>
                <w:tcPr>
                  <w:tcW w:w="905"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废包装桶</w:t>
                  </w:r>
                </w:p>
              </w:tc>
              <w:tc>
                <w:tcPr>
                  <w:tcW w:w="4991" w:type="dxa"/>
                  <w:noWrap w:val="0"/>
                  <w:vAlign w:val="top"/>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脱模剂采用水性脱模剂，使用过程中废包装桶，为一般工业固体废物，经集中收集后外售资源回收单位综合利用</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719" w:type="dxa"/>
                  <w:vMerge w:val="continue"/>
                  <w:noWrap w:val="0"/>
                  <w:vAlign w:val="center"/>
                </w:tcPr>
                <w:p>
                  <w:pPr>
                    <w:pStyle w:val="43"/>
                    <w:bidi w:val="0"/>
                    <w:rPr>
                      <w:rFonts w:hint="eastAsia"/>
                      <w:sz w:val="21"/>
                      <w:szCs w:val="21"/>
                      <w:highlight w:val="none"/>
                      <w:lang w:val="en-US" w:eastAsia="zh-CN"/>
                    </w:rPr>
                  </w:pPr>
                </w:p>
              </w:tc>
              <w:tc>
                <w:tcPr>
                  <w:tcW w:w="551" w:type="dxa"/>
                  <w:gridSpan w:val="2"/>
                  <w:vMerge w:val="continue"/>
                  <w:noWrap w:val="0"/>
                  <w:vAlign w:val="center"/>
                </w:tcPr>
                <w:p>
                  <w:pPr>
                    <w:pStyle w:val="43"/>
                    <w:bidi w:val="0"/>
                    <w:rPr>
                      <w:rFonts w:hint="eastAsia"/>
                      <w:sz w:val="21"/>
                      <w:szCs w:val="21"/>
                      <w:highlight w:val="none"/>
                      <w:lang w:val="en-US" w:eastAsia="zh-CN"/>
                    </w:rPr>
                  </w:pPr>
                </w:p>
              </w:tc>
              <w:tc>
                <w:tcPr>
                  <w:tcW w:w="905" w:type="dxa"/>
                  <w:noWrap w:val="0"/>
                  <w:vAlign w:val="center"/>
                </w:tcPr>
                <w:p>
                  <w:pPr>
                    <w:pStyle w:val="43"/>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w:t>
                  </w:r>
                  <w:r>
                    <w:rPr>
                      <w:rFonts w:hint="eastAsia" w:cs="Times New Roman"/>
                      <w:sz w:val="21"/>
                      <w:szCs w:val="21"/>
                      <w:highlight w:val="none"/>
                      <w:lang w:val="en-US" w:eastAsia="zh-CN"/>
                    </w:rPr>
                    <w:t>液压</w:t>
                  </w:r>
                  <w:r>
                    <w:rPr>
                      <w:rFonts w:hint="eastAsia" w:ascii="Times New Roman" w:hAnsi="Times New Roman" w:eastAsia="宋体" w:cs="Times New Roman"/>
                      <w:sz w:val="21"/>
                      <w:szCs w:val="21"/>
                      <w:highlight w:val="none"/>
                      <w:lang w:val="en-US" w:eastAsia="zh-CN"/>
                    </w:rPr>
                    <w:t>油、废含油抹布及手套</w:t>
                  </w:r>
                </w:p>
              </w:tc>
              <w:tc>
                <w:tcPr>
                  <w:tcW w:w="4991" w:type="dxa"/>
                  <w:noWrap w:val="0"/>
                  <w:vAlign w:val="center"/>
                </w:tcPr>
                <w:p>
                  <w:pPr>
                    <w:pStyle w:val="43"/>
                    <w:bidi w:val="0"/>
                    <w:rPr>
                      <w:rFonts w:hint="eastAsia" w:ascii="Times New Roman" w:hAnsi="Times New Roman" w:eastAsia="宋体" w:cs="Times New Roman"/>
                      <w:sz w:val="21"/>
                      <w:szCs w:val="21"/>
                      <w:highlight w:val="none"/>
                      <w:lang w:val="en-US" w:eastAsia="en-US"/>
                    </w:rPr>
                  </w:pPr>
                  <w:r>
                    <w:rPr>
                      <w:rFonts w:hint="eastAsia"/>
                      <w:sz w:val="21"/>
                      <w:szCs w:val="21"/>
                      <w:highlight w:val="none"/>
                      <w:lang w:val="en-US" w:eastAsia="zh-CN"/>
                    </w:rPr>
                    <w:t>废液压油、废手套、废抹布属于危险废物，收集后暂存于危废贮存点（3</w:t>
                  </w:r>
                  <w:r>
                    <w:rPr>
                      <w:rFonts w:hint="default"/>
                      <w:sz w:val="21"/>
                      <w:szCs w:val="21"/>
                      <w:highlight w:val="none"/>
                      <w:lang w:val="en-US" w:eastAsia="zh-CN"/>
                    </w:rPr>
                    <w:t>0</w:t>
                  </w:r>
                  <w:r>
                    <w:rPr>
                      <w:rFonts w:hint="eastAsia"/>
                      <w:sz w:val="21"/>
                      <w:szCs w:val="21"/>
                      <w:highlight w:val="none"/>
                      <w:lang w:val="en-US" w:eastAsia="zh-CN"/>
                    </w:rPr>
                    <w:t>m</w:t>
                  </w:r>
                  <w:r>
                    <w:rPr>
                      <w:rFonts w:hint="eastAsia"/>
                      <w:sz w:val="21"/>
                      <w:szCs w:val="21"/>
                      <w:highlight w:val="none"/>
                      <w:vertAlign w:val="superscript"/>
                      <w:lang w:val="en-US" w:eastAsia="zh-CN"/>
                    </w:rPr>
                    <w:t>2</w:t>
                  </w:r>
                  <w:r>
                    <w:rPr>
                      <w:rFonts w:hint="eastAsia"/>
                      <w:sz w:val="21"/>
                      <w:szCs w:val="21"/>
                      <w:highlight w:val="none"/>
                      <w:lang w:val="en-US" w:eastAsia="zh-CN"/>
                    </w:rPr>
                    <w:t>），委托有资质的单位进行处置</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continue"/>
                  <w:noWrap w:val="0"/>
                  <w:vAlign w:val="center"/>
                </w:tcPr>
                <w:p>
                  <w:pPr>
                    <w:pStyle w:val="43"/>
                    <w:bidi w:val="0"/>
                    <w:rPr>
                      <w:sz w:val="21"/>
                      <w:szCs w:val="21"/>
                      <w:highlight w:val="none"/>
                    </w:rPr>
                  </w:pPr>
                </w:p>
              </w:tc>
              <w:tc>
                <w:tcPr>
                  <w:tcW w:w="551" w:type="dxa"/>
                  <w:gridSpan w:val="2"/>
                  <w:vMerge w:val="continue"/>
                  <w:noWrap w:val="0"/>
                  <w:vAlign w:val="center"/>
                </w:tcPr>
                <w:p>
                  <w:pPr>
                    <w:pStyle w:val="43"/>
                    <w:bidi w:val="0"/>
                    <w:rPr>
                      <w:sz w:val="21"/>
                      <w:szCs w:val="21"/>
                      <w:highlight w:val="none"/>
                    </w:rPr>
                  </w:pPr>
                </w:p>
              </w:tc>
              <w:tc>
                <w:tcPr>
                  <w:tcW w:w="905" w:type="dxa"/>
                  <w:noWrap w:val="0"/>
                  <w:vAlign w:val="center"/>
                </w:tcPr>
                <w:p>
                  <w:pPr>
                    <w:pStyle w:val="43"/>
                    <w:bidi w:val="0"/>
                    <w:rPr>
                      <w:sz w:val="21"/>
                      <w:szCs w:val="21"/>
                      <w:highlight w:val="none"/>
                    </w:rPr>
                  </w:pPr>
                  <w:r>
                    <w:rPr>
                      <w:sz w:val="21"/>
                      <w:szCs w:val="21"/>
                      <w:highlight w:val="none"/>
                      <w:lang w:val="en-US" w:eastAsia="en-US"/>
                    </w:rPr>
                    <w:t>生活垃圾</w:t>
                  </w:r>
                </w:p>
              </w:tc>
              <w:tc>
                <w:tcPr>
                  <w:tcW w:w="4991" w:type="dxa"/>
                  <w:noWrap w:val="0"/>
                  <w:vAlign w:val="center"/>
                </w:tcPr>
                <w:p>
                  <w:pPr>
                    <w:pStyle w:val="43"/>
                    <w:bidi w:val="0"/>
                    <w:rPr>
                      <w:rFonts w:hint="eastAsia"/>
                      <w:sz w:val="21"/>
                      <w:szCs w:val="21"/>
                      <w:highlight w:val="none"/>
                      <w:lang w:val="en-US" w:eastAsia="zh-CN"/>
                    </w:rPr>
                  </w:pPr>
                  <w:r>
                    <w:rPr>
                      <w:spacing w:val="5"/>
                      <w:sz w:val="21"/>
                      <w:szCs w:val="21"/>
                    </w:rPr>
                    <w:t>厂区南侧垃圾船集中收集，依托</w:t>
                  </w:r>
                  <w:r>
                    <w:rPr>
                      <w:rFonts w:hint="eastAsia"/>
                      <w:spacing w:val="5"/>
                      <w:sz w:val="21"/>
                      <w:szCs w:val="21"/>
                      <w:lang w:val="en-US" w:eastAsia="zh-CN"/>
                    </w:rPr>
                    <w:t>博湖</w:t>
                  </w:r>
                  <w:r>
                    <w:rPr>
                      <w:spacing w:val="5"/>
                      <w:sz w:val="21"/>
                      <w:szCs w:val="21"/>
                    </w:rPr>
                    <w:t>县</w:t>
                  </w:r>
                  <w:r>
                    <w:rPr>
                      <w:rFonts w:hint="eastAsia"/>
                      <w:spacing w:val="5"/>
                      <w:sz w:val="21"/>
                      <w:szCs w:val="21"/>
                      <w:lang w:val="en-US" w:eastAsia="zh-CN"/>
                    </w:rPr>
                    <w:t>市政</w:t>
                  </w:r>
                  <w:r>
                    <w:rPr>
                      <w:spacing w:val="8"/>
                      <w:sz w:val="21"/>
                      <w:szCs w:val="21"/>
                    </w:rPr>
                    <w:t>环卫部门</w:t>
                  </w:r>
                  <w:r>
                    <w:rPr>
                      <w:rFonts w:hint="eastAsia"/>
                      <w:spacing w:val="8"/>
                      <w:sz w:val="21"/>
                      <w:szCs w:val="21"/>
                      <w:lang w:val="en-US" w:eastAsia="zh-CN"/>
                    </w:rPr>
                    <w:t>定期清运</w:t>
                  </w:r>
                  <w:r>
                    <w:rPr>
                      <w:spacing w:val="8"/>
                      <w:sz w:val="21"/>
                      <w:szCs w:val="21"/>
                    </w:rPr>
                    <w:t>处置</w:t>
                  </w:r>
                </w:p>
              </w:tc>
              <w:tc>
                <w:tcPr>
                  <w:tcW w:w="678" w:type="dxa"/>
                  <w:noWrap w:val="0"/>
                  <w:vAlign w:val="center"/>
                </w:tcPr>
                <w:p>
                  <w:pPr>
                    <w:bidi w:val="0"/>
                    <w:rPr>
                      <w:rFonts w:hint="eastAsia"/>
                      <w:sz w:val="21"/>
                      <w:szCs w:val="21"/>
                      <w:highlight w:val="none"/>
                      <w:lang w:val="en-US" w:eastAsia="zh-CN"/>
                    </w:rPr>
                  </w:pPr>
                  <w:r>
                    <w:rPr>
                      <w:rFonts w:hint="eastAsia"/>
                      <w:sz w:val="21"/>
                      <w:szCs w:val="21"/>
                      <w:highlight w:val="none"/>
                      <w:lang w:val="en-US" w:eastAsia="zh-CN"/>
                    </w:rPr>
                    <w:t>新建</w:t>
                  </w:r>
                </w:p>
              </w:tc>
            </w:tr>
          </w:tbl>
          <w:p>
            <w:pPr>
              <w:pStyle w:val="44"/>
              <w:bidi w:val="0"/>
              <w:rPr>
                <w:rFonts w:hint="eastAsia"/>
                <w:highlight w:val="none"/>
                <w:lang w:val="en-US" w:eastAsia="zh-CN"/>
              </w:rPr>
            </w:pPr>
            <w:r>
              <w:rPr>
                <w:rFonts w:hint="eastAsia"/>
                <w:highlight w:val="none"/>
                <w:lang w:val="en-US" w:eastAsia="zh-CN"/>
              </w:rPr>
              <w:t>本项目技术经济指标详见下表。</w:t>
            </w:r>
          </w:p>
          <w:p>
            <w:pPr>
              <w:pStyle w:val="28"/>
              <w:bidi w:val="0"/>
              <w:jc w:val="center"/>
              <w:rPr>
                <w:rFonts w:hint="eastAsia"/>
                <w:highlight w:val="none"/>
                <w:lang w:val="en-US" w:eastAsia="zh-CN"/>
              </w:rPr>
            </w:pPr>
            <w:r>
              <w:rPr>
                <w:rFonts w:hint="eastAsia" w:ascii="黑体" w:hAnsi="宋体" w:eastAsia="黑体" w:cs="黑体"/>
                <w:color w:val="000000"/>
                <w:kern w:val="0"/>
                <w:sz w:val="24"/>
                <w:szCs w:val="24"/>
                <w:highlight w:val="none"/>
                <w:lang w:val="en-US" w:eastAsia="zh-CN" w:bidi="ar"/>
              </w:rPr>
              <w:t>表2-2  项目技术经济指标</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914"/>
              <w:gridCol w:w="603"/>
              <w:gridCol w:w="1849"/>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序号</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项目名称</w:t>
                  </w:r>
                </w:p>
              </w:tc>
              <w:tc>
                <w:tcPr>
                  <w:tcW w:w="603" w:type="dxa"/>
                  <w:noWrap w:val="0"/>
                  <w:vAlign w:val="center"/>
                </w:tcPr>
                <w:p>
                  <w:pPr>
                    <w:pStyle w:val="43"/>
                    <w:bidi w:val="0"/>
                    <w:rPr>
                      <w:rFonts w:hint="default"/>
                      <w:highlight w:val="none"/>
                      <w:lang w:val="en-US" w:eastAsia="zh-CN"/>
                    </w:rPr>
                  </w:pPr>
                  <w:r>
                    <w:rPr>
                      <w:rFonts w:hint="eastAsia"/>
                      <w:highlight w:val="none"/>
                      <w:lang w:val="en-US" w:eastAsia="zh-CN"/>
                    </w:rPr>
                    <w:t>单位</w:t>
                  </w:r>
                </w:p>
              </w:tc>
              <w:tc>
                <w:tcPr>
                  <w:tcW w:w="3677" w:type="dxa"/>
                  <w:gridSpan w:val="2"/>
                  <w:noWrap w:val="0"/>
                  <w:vAlign w:val="center"/>
                </w:tcPr>
                <w:p>
                  <w:pPr>
                    <w:pStyle w:val="43"/>
                    <w:bidi w:val="0"/>
                    <w:rPr>
                      <w:rFonts w:hint="eastAsia"/>
                      <w:highlight w:val="none"/>
                      <w:lang w:val="en-US" w:eastAsia="zh-CN"/>
                    </w:rPr>
                  </w:pPr>
                  <w:r>
                    <w:rPr>
                      <w:rFonts w:hint="eastAsia"/>
                      <w:highlight w:val="none"/>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一</w:t>
                  </w:r>
                </w:p>
              </w:tc>
              <w:tc>
                <w:tcPr>
                  <w:tcW w:w="7194" w:type="dxa"/>
                  <w:gridSpan w:val="4"/>
                  <w:noWrap w:val="0"/>
                  <w:vAlign w:val="center"/>
                </w:tcPr>
                <w:p>
                  <w:pPr>
                    <w:pStyle w:val="43"/>
                    <w:bidi w:val="0"/>
                    <w:rPr>
                      <w:rFonts w:hint="eastAsia"/>
                      <w:highlight w:val="none"/>
                      <w:lang w:val="en-US" w:eastAsia="zh-CN"/>
                    </w:rPr>
                  </w:pPr>
                  <w:r>
                    <w:rPr>
                      <w:rFonts w:hint="eastAsia"/>
                      <w:highlight w:val="none"/>
                      <w:lang w:val="en-US" w:eastAsia="zh-CN"/>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1.1</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建设用地面积</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3728.6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1.2</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建筑基地面积</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1.3</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总建筑面积</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restart"/>
                  <w:noWrap w:val="0"/>
                  <w:vAlign w:val="center"/>
                </w:tcPr>
                <w:p>
                  <w:pPr>
                    <w:pStyle w:val="43"/>
                    <w:bidi w:val="0"/>
                    <w:rPr>
                      <w:rFonts w:hint="default"/>
                      <w:highlight w:val="none"/>
                      <w:lang w:val="en-US" w:eastAsia="zh-CN"/>
                    </w:rPr>
                  </w:pPr>
                  <w:r>
                    <w:rPr>
                      <w:rFonts w:hint="eastAsia"/>
                      <w:highlight w:val="none"/>
                      <w:lang w:val="en-US" w:eastAsia="zh-CN"/>
                    </w:rPr>
                    <w:t>1.5</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新建建筑</w:t>
                  </w:r>
                </w:p>
              </w:tc>
              <w:tc>
                <w:tcPr>
                  <w:tcW w:w="603" w:type="dxa"/>
                  <w:noWrap w:val="0"/>
                  <w:vAlign w:val="center"/>
                </w:tcPr>
                <w:p>
                  <w:pPr>
                    <w:pStyle w:val="43"/>
                    <w:bidi w:val="0"/>
                    <w:rPr>
                      <w:rFonts w:hint="eastAsia"/>
                      <w:highlight w:val="none"/>
                      <w:lang w:val="en-US" w:eastAsia="zh-CN"/>
                    </w:rPr>
                  </w:pPr>
                </w:p>
              </w:tc>
              <w:tc>
                <w:tcPr>
                  <w:tcW w:w="1849" w:type="dxa"/>
                  <w:noWrap w:val="0"/>
                  <w:vAlign w:val="center"/>
                </w:tcPr>
                <w:p>
                  <w:pPr>
                    <w:pStyle w:val="43"/>
                    <w:bidi w:val="0"/>
                    <w:rPr>
                      <w:rFonts w:hint="default"/>
                      <w:highlight w:val="none"/>
                      <w:lang w:val="en-US" w:eastAsia="zh-CN"/>
                    </w:rPr>
                  </w:pPr>
                  <w:r>
                    <w:rPr>
                      <w:rFonts w:hint="eastAsia"/>
                      <w:highlight w:val="none"/>
                      <w:lang w:val="en-US" w:eastAsia="zh-CN"/>
                    </w:rPr>
                    <w:t>占地面积</w:t>
                  </w:r>
                </w:p>
              </w:tc>
              <w:tc>
                <w:tcPr>
                  <w:tcW w:w="1828" w:type="dxa"/>
                  <w:noWrap w:val="0"/>
                  <w:vAlign w:val="center"/>
                </w:tcPr>
                <w:p>
                  <w:pPr>
                    <w:pStyle w:val="43"/>
                    <w:bidi w:val="0"/>
                    <w:rPr>
                      <w:rFonts w:hint="default"/>
                      <w:highlight w:val="none"/>
                      <w:lang w:val="en-US" w:eastAsia="zh-CN"/>
                    </w:rPr>
                  </w:pPr>
                  <w:r>
                    <w:rPr>
                      <w:rFonts w:hint="eastAsia"/>
                      <w:highlight w:val="none"/>
                      <w:lang w:val="en-US"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continue"/>
                  <w:noWrap w:val="0"/>
                  <w:vAlign w:val="center"/>
                </w:tcPr>
                <w:p>
                  <w:pPr>
                    <w:pStyle w:val="43"/>
                    <w:bidi w:val="0"/>
                    <w:rPr>
                      <w:rFonts w:hint="default"/>
                      <w:highlight w:val="none"/>
                      <w:lang w:val="en-US" w:eastAsia="zh-CN"/>
                    </w:rPr>
                  </w:pPr>
                </w:p>
              </w:tc>
              <w:tc>
                <w:tcPr>
                  <w:tcW w:w="2914" w:type="dxa"/>
                  <w:noWrap w:val="0"/>
                  <w:vAlign w:val="center"/>
                </w:tcPr>
                <w:p>
                  <w:pPr>
                    <w:pStyle w:val="43"/>
                    <w:bidi w:val="0"/>
                    <w:rPr>
                      <w:rFonts w:hint="eastAsia"/>
                      <w:highlight w:val="none"/>
                      <w:lang w:val="en-US" w:eastAsia="zh-CN"/>
                    </w:rPr>
                  </w:pPr>
                  <w:r>
                    <w:rPr>
                      <w:rFonts w:hint="eastAsia"/>
                      <w:highlight w:val="none"/>
                      <w:lang w:val="en-US" w:eastAsia="zh-CN"/>
                    </w:rPr>
                    <w:t>生产车间</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1849" w:type="dxa"/>
                  <w:noWrap w:val="0"/>
                  <w:vAlign w:val="center"/>
                </w:tcPr>
                <w:p>
                  <w:pPr>
                    <w:pStyle w:val="43"/>
                    <w:bidi w:val="0"/>
                    <w:rPr>
                      <w:rFonts w:hint="default"/>
                      <w:highlight w:val="none"/>
                      <w:lang w:val="en-US" w:eastAsia="zh-CN"/>
                    </w:rPr>
                  </w:pPr>
                  <w:r>
                    <w:rPr>
                      <w:rFonts w:hint="eastAsia"/>
                      <w:highlight w:val="none"/>
                      <w:lang w:val="en-US" w:eastAsia="zh-CN"/>
                    </w:rPr>
                    <w:t>765</w:t>
                  </w:r>
                </w:p>
              </w:tc>
              <w:tc>
                <w:tcPr>
                  <w:tcW w:w="1828" w:type="dxa"/>
                  <w:noWrap w:val="0"/>
                  <w:vAlign w:val="center"/>
                </w:tcPr>
                <w:p>
                  <w:pPr>
                    <w:pStyle w:val="43"/>
                    <w:bidi w:val="0"/>
                    <w:rPr>
                      <w:rFonts w:hint="default"/>
                      <w:highlight w:val="none"/>
                      <w:lang w:val="en-US" w:eastAsia="zh-CN"/>
                    </w:rPr>
                  </w:pPr>
                  <w:r>
                    <w:rPr>
                      <w:rFonts w:hint="eastAsia"/>
                      <w:highlight w:val="none"/>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continue"/>
                  <w:noWrap w:val="0"/>
                  <w:vAlign w:val="center"/>
                </w:tcPr>
                <w:p>
                  <w:pPr>
                    <w:pStyle w:val="43"/>
                    <w:bidi w:val="0"/>
                    <w:rPr>
                      <w:rFonts w:hint="eastAsia"/>
                      <w:highlight w:val="none"/>
                      <w:lang w:val="en-US" w:eastAsia="zh-CN"/>
                    </w:rPr>
                  </w:pP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库房</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1849" w:type="dxa"/>
                  <w:noWrap w:val="0"/>
                  <w:vAlign w:val="center"/>
                </w:tcPr>
                <w:p>
                  <w:pPr>
                    <w:pStyle w:val="43"/>
                    <w:bidi w:val="0"/>
                    <w:rPr>
                      <w:rFonts w:hint="default"/>
                      <w:highlight w:val="none"/>
                      <w:lang w:val="en-US" w:eastAsia="zh-CN"/>
                    </w:rPr>
                  </w:pPr>
                  <w:r>
                    <w:rPr>
                      <w:rFonts w:hint="eastAsia"/>
                      <w:highlight w:val="none"/>
                      <w:lang w:val="en-US" w:eastAsia="zh-CN"/>
                    </w:rPr>
                    <w:t>333</w:t>
                  </w:r>
                </w:p>
              </w:tc>
              <w:tc>
                <w:tcPr>
                  <w:tcW w:w="1828" w:type="dxa"/>
                  <w:noWrap w:val="0"/>
                  <w:vAlign w:val="center"/>
                </w:tcPr>
                <w:p>
                  <w:pPr>
                    <w:pStyle w:val="43"/>
                    <w:bidi w:val="0"/>
                    <w:rPr>
                      <w:rFonts w:hint="default"/>
                      <w:highlight w:val="none"/>
                      <w:lang w:val="en-US" w:eastAsia="zh-CN"/>
                    </w:rPr>
                  </w:pPr>
                  <w:r>
                    <w:rPr>
                      <w:rFonts w:hint="eastAsia"/>
                      <w:highlight w:val="none"/>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continue"/>
                  <w:noWrap w:val="0"/>
                  <w:vAlign w:val="center"/>
                </w:tcPr>
                <w:p>
                  <w:pPr>
                    <w:pStyle w:val="43"/>
                    <w:bidi w:val="0"/>
                    <w:rPr>
                      <w:rFonts w:hint="eastAsia"/>
                      <w:highlight w:val="none"/>
                      <w:lang w:val="en-US" w:eastAsia="zh-CN"/>
                    </w:rPr>
                  </w:pPr>
                </w:p>
              </w:tc>
              <w:tc>
                <w:tcPr>
                  <w:tcW w:w="2914" w:type="dxa"/>
                  <w:noWrap w:val="0"/>
                  <w:vAlign w:val="center"/>
                </w:tcPr>
                <w:p>
                  <w:pPr>
                    <w:pStyle w:val="43"/>
                    <w:bidi w:val="0"/>
                    <w:rPr>
                      <w:rFonts w:hint="eastAsia"/>
                      <w:highlight w:val="none"/>
                      <w:lang w:val="en-US" w:eastAsia="zh-CN"/>
                    </w:rPr>
                  </w:pPr>
                  <w:r>
                    <w:rPr>
                      <w:rFonts w:hint="eastAsia"/>
                      <w:highlight w:val="none"/>
                      <w:lang w:val="en-US" w:eastAsia="zh-CN"/>
                    </w:rPr>
                    <w:t>门卫室</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1849" w:type="dxa"/>
                  <w:noWrap w:val="0"/>
                  <w:vAlign w:val="center"/>
                </w:tcPr>
                <w:p>
                  <w:pPr>
                    <w:pStyle w:val="43"/>
                    <w:bidi w:val="0"/>
                    <w:rPr>
                      <w:rFonts w:hint="default"/>
                      <w:highlight w:val="none"/>
                      <w:lang w:val="en-US" w:eastAsia="zh-CN"/>
                    </w:rPr>
                  </w:pPr>
                  <w:r>
                    <w:rPr>
                      <w:rFonts w:hint="eastAsia"/>
                      <w:highlight w:val="none"/>
                      <w:lang w:val="en-US" w:eastAsia="zh-CN"/>
                    </w:rPr>
                    <w:t>20</w:t>
                  </w:r>
                </w:p>
              </w:tc>
              <w:tc>
                <w:tcPr>
                  <w:tcW w:w="1828" w:type="dxa"/>
                  <w:noWrap w:val="0"/>
                  <w:vAlign w:val="center"/>
                </w:tcPr>
                <w:p>
                  <w:pPr>
                    <w:pStyle w:val="43"/>
                    <w:bidi w:val="0"/>
                    <w:rPr>
                      <w:rFonts w:hint="default"/>
                      <w:highlight w:val="none"/>
                      <w:lang w:val="en-US" w:eastAsia="zh-CN"/>
                    </w:rPr>
                  </w:pPr>
                  <w:r>
                    <w:rPr>
                      <w:rFonts w:hint="eastAsia"/>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Merge w:val="continue"/>
                  <w:noWrap w:val="0"/>
                  <w:vAlign w:val="center"/>
                </w:tcPr>
                <w:p>
                  <w:pPr>
                    <w:pStyle w:val="43"/>
                    <w:bidi w:val="0"/>
                    <w:rPr>
                      <w:rFonts w:hint="eastAsia"/>
                      <w:highlight w:val="none"/>
                      <w:lang w:val="en-US" w:eastAsia="zh-CN"/>
                    </w:rPr>
                  </w:pP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质检中心</w:t>
                  </w:r>
                </w:p>
              </w:tc>
              <w:tc>
                <w:tcPr>
                  <w:tcW w:w="603" w:type="dxa"/>
                  <w:noWrap w:val="0"/>
                  <w:vAlign w:val="center"/>
                </w:tcPr>
                <w:p>
                  <w:pPr>
                    <w:pStyle w:val="43"/>
                    <w:bidi w:val="0"/>
                    <w:rPr>
                      <w:rFonts w:hint="eastAsia"/>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1849" w:type="dxa"/>
                  <w:noWrap w:val="0"/>
                  <w:vAlign w:val="center"/>
                </w:tcPr>
                <w:p>
                  <w:pPr>
                    <w:pStyle w:val="43"/>
                    <w:bidi w:val="0"/>
                    <w:rPr>
                      <w:rFonts w:hint="default"/>
                      <w:highlight w:val="none"/>
                      <w:lang w:val="en-US" w:eastAsia="zh-CN"/>
                    </w:rPr>
                  </w:pPr>
                  <w:r>
                    <w:rPr>
                      <w:rFonts w:hint="eastAsia"/>
                      <w:highlight w:val="none"/>
                      <w:lang w:val="en-US" w:eastAsia="zh-CN"/>
                    </w:rPr>
                    <w:t>1165</w:t>
                  </w:r>
                </w:p>
              </w:tc>
              <w:tc>
                <w:tcPr>
                  <w:tcW w:w="1828" w:type="dxa"/>
                  <w:noWrap w:val="0"/>
                  <w:vAlign w:val="center"/>
                </w:tcPr>
                <w:p>
                  <w:pPr>
                    <w:pStyle w:val="43"/>
                    <w:bidi w:val="0"/>
                    <w:rPr>
                      <w:rFonts w:hint="default"/>
                      <w:highlight w:val="none"/>
                      <w:lang w:val="en-US" w:eastAsia="zh-CN"/>
                    </w:rPr>
                  </w:pPr>
                  <w:r>
                    <w:rPr>
                      <w:rFonts w:hint="eastAsia"/>
                      <w:highlight w:val="none"/>
                      <w:lang w:val="en-US" w:eastAsia="zh-CN"/>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二</w:t>
                  </w:r>
                </w:p>
              </w:tc>
              <w:tc>
                <w:tcPr>
                  <w:tcW w:w="7194" w:type="dxa"/>
                  <w:gridSpan w:val="4"/>
                  <w:noWrap w:val="0"/>
                  <w:vAlign w:val="center"/>
                </w:tcPr>
                <w:p>
                  <w:pPr>
                    <w:pStyle w:val="43"/>
                    <w:bidi w:val="0"/>
                    <w:rPr>
                      <w:rFonts w:hint="default"/>
                      <w:highlight w:val="none"/>
                      <w:lang w:val="en-US" w:eastAsia="zh-CN"/>
                    </w:rPr>
                  </w:pPr>
                  <w:r>
                    <w:rPr>
                      <w:rFonts w:hint="eastAsia"/>
                      <w:highlight w:val="none"/>
                      <w:lang w:val="en-US" w:eastAsia="zh-CN"/>
                    </w:rPr>
                    <w:t>规划指标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2.1</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容积率</w:t>
                  </w:r>
                </w:p>
              </w:tc>
              <w:tc>
                <w:tcPr>
                  <w:tcW w:w="603" w:type="dxa"/>
                  <w:noWrap w:val="0"/>
                  <w:vAlign w:val="center"/>
                </w:tcPr>
                <w:p>
                  <w:pPr>
                    <w:pStyle w:val="43"/>
                    <w:bidi w:val="0"/>
                    <w:rPr>
                      <w:rFonts w:hint="default"/>
                      <w:highlight w:val="none"/>
                      <w:lang w:val="en-US" w:eastAsia="zh-CN"/>
                    </w:rPr>
                  </w:pPr>
                  <w:r>
                    <w:rPr>
                      <w:rFonts w:hint="eastAsia"/>
                      <w:highlight w:val="none"/>
                      <w:lang w:val="en-US" w:eastAsia="zh-CN"/>
                    </w:rPr>
                    <w:t>/</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2.2</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绿地面积</w:t>
                  </w:r>
                </w:p>
              </w:tc>
              <w:tc>
                <w:tcPr>
                  <w:tcW w:w="603" w:type="dxa"/>
                  <w:noWrap w:val="0"/>
                  <w:vAlign w:val="center"/>
                </w:tcPr>
                <w:p>
                  <w:pPr>
                    <w:pStyle w:val="43"/>
                    <w:bidi w:val="0"/>
                    <w:rPr>
                      <w:rFonts w:hint="default"/>
                      <w:highlight w:val="none"/>
                      <w:lang w:val="en-US" w:eastAsia="zh-CN"/>
                    </w:rPr>
                  </w:pPr>
                  <w:r>
                    <w:rPr>
                      <w:rFonts w:hint="eastAsia"/>
                      <w:highlight w:val="none"/>
                      <w:lang w:val="en-US" w:eastAsia="zh-CN"/>
                    </w:rPr>
                    <w:t>m</w:t>
                  </w:r>
                  <w:r>
                    <w:rPr>
                      <w:rFonts w:hint="eastAsia"/>
                      <w:highlight w:val="none"/>
                      <w:vertAlign w:val="superscript"/>
                      <w:lang w:val="en-US" w:eastAsia="zh-CN"/>
                    </w:rPr>
                    <w:t>2</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noWrap w:val="0"/>
                  <w:vAlign w:val="center"/>
                </w:tcPr>
                <w:p>
                  <w:pPr>
                    <w:pStyle w:val="43"/>
                    <w:bidi w:val="0"/>
                    <w:rPr>
                      <w:rFonts w:hint="default"/>
                      <w:highlight w:val="none"/>
                      <w:lang w:val="en-US" w:eastAsia="zh-CN"/>
                    </w:rPr>
                  </w:pPr>
                  <w:r>
                    <w:rPr>
                      <w:rFonts w:hint="eastAsia"/>
                      <w:highlight w:val="none"/>
                      <w:lang w:val="en-US" w:eastAsia="zh-CN"/>
                    </w:rPr>
                    <w:t>2.3</w:t>
                  </w:r>
                </w:p>
              </w:tc>
              <w:tc>
                <w:tcPr>
                  <w:tcW w:w="2914" w:type="dxa"/>
                  <w:noWrap w:val="0"/>
                  <w:vAlign w:val="center"/>
                </w:tcPr>
                <w:p>
                  <w:pPr>
                    <w:pStyle w:val="43"/>
                    <w:bidi w:val="0"/>
                    <w:rPr>
                      <w:rFonts w:hint="default"/>
                      <w:highlight w:val="none"/>
                      <w:lang w:val="en-US" w:eastAsia="zh-CN"/>
                    </w:rPr>
                  </w:pPr>
                  <w:r>
                    <w:rPr>
                      <w:rFonts w:hint="eastAsia"/>
                      <w:highlight w:val="none"/>
                      <w:lang w:val="en-US" w:eastAsia="zh-CN"/>
                    </w:rPr>
                    <w:t>绿化率</w:t>
                  </w:r>
                </w:p>
              </w:tc>
              <w:tc>
                <w:tcPr>
                  <w:tcW w:w="603" w:type="dxa"/>
                  <w:noWrap w:val="0"/>
                  <w:vAlign w:val="center"/>
                </w:tcPr>
                <w:p>
                  <w:pPr>
                    <w:pStyle w:val="43"/>
                    <w:bidi w:val="0"/>
                    <w:rPr>
                      <w:rFonts w:hint="default"/>
                      <w:highlight w:val="none"/>
                      <w:lang w:val="en-US" w:eastAsia="zh-CN"/>
                    </w:rPr>
                  </w:pPr>
                  <w:r>
                    <w:rPr>
                      <w:rFonts w:hint="eastAsia"/>
                      <w:highlight w:val="none"/>
                      <w:lang w:val="en-US" w:eastAsia="zh-CN"/>
                    </w:rPr>
                    <w:t>%</w:t>
                  </w:r>
                </w:p>
              </w:tc>
              <w:tc>
                <w:tcPr>
                  <w:tcW w:w="3677" w:type="dxa"/>
                  <w:gridSpan w:val="2"/>
                  <w:noWrap w:val="0"/>
                  <w:vAlign w:val="center"/>
                </w:tcPr>
                <w:p>
                  <w:pPr>
                    <w:pStyle w:val="43"/>
                    <w:bidi w:val="0"/>
                    <w:rPr>
                      <w:rFonts w:hint="default"/>
                      <w:highlight w:val="none"/>
                      <w:lang w:val="en-US" w:eastAsia="zh-CN"/>
                    </w:rPr>
                  </w:pPr>
                  <w:r>
                    <w:rPr>
                      <w:rFonts w:hint="eastAsia"/>
                      <w:highlight w:val="none"/>
                      <w:lang w:val="en-US" w:eastAsia="zh-CN"/>
                    </w:rPr>
                    <w:t>2.63</w:t>
                  </w:r>
                </w:p>
              </w:tc>
            </w:tr>
          </w:tbl>
          <w:p>
            <w:pPr>
              <w:pStyle w:val="44"/>
              <w:bidi w:val="0"/>
              <w:rPr>
                <w:rFonts w:hint="default"/>
                <w:b/>
                <w:bCs/>
                <w:highlight w:val="none"/>
                <w:lang w:val="en-US" w:eastAsia="zh-CN"/>
              </w:rPr>
            </w:pPr>
            <w:r>
              <w:rPr>
                <w:rFonts w:hint="eastAsia"/>
                <w:b/>
                <w:bCs/>
                <w:highlight w:val="none"/>
                <w:lang w:val="en-US" w:eastAsia="zh-CN"/>
              </w:rPr>
              <w:t>3.产品方案</w:t>
            </w:r>
          </w:p>
          <w:p>
            <w:pPr>
              <w:pStyle w:val="44"/>
              <w:bidi w:val="0"/>
              <w:rPr>
                <w:rFonts w:hint="eastAsia"/>
                <w:highlight w:val="none"/>
                <w:lang w:val="en-US" w:eastAsia="zh-CN"/>
              </w:rPr>
            </w:pPr>
            <w:r>
              <w:rPr>
                <w:rFonts w:hint="eastAsia"/>
                <w:highlight w:val="none"/>
                <w:lang w:val="en-US" w:eastAsia="zh-CN"/>
              </w:rPr>
              <w:t>项目主要产品为水泥预制件，包括路缘石、彩砖、水泥盖板、</w:t>
            </w:r>
            <w:r>
              <w:rPr>
                <w:rFonts w:hint="eastAsia"/>
                <w:lang w:val="en-US" w:eastAsia="zh-CN"/>
              </w:rPr>
              <w:t>水泥</w:t>
            </w:r>
            <w:r>
              <w:rPr>
                <w:rFonts w:hint="eastAsia"/>
                <w:highlight w:val="none"/>
                <w:lang w:val="en-US" w:eastAsia="zh-CN"/>
              </w:rPr>
              <w:t>砖等，各类</w:t>
            </w:r>
            <w:r>
              <w:rPr>
                <w:rFonts w:hint="eastAsia"/>
                <w:lang w:val="en-US" w:eastAsia="zh-CN"/>
              </w:rPr>
              <w:t>尺寸规格和客户商议决定，按照最大尺寸折合约2400t/a，</w:t>
            </w:r>
            <w:r>
              <w:rPr>
                <w:rFonts w:hint="eastAsia"/>
                <w:highlight w:val="none"/>
                <w:lang w:val="en-US" w:eastAsia="zh-CN"/>
              </w:rPr>
              <w:t>具体产品方案详见下表。</w:t>
            </w:r>
          </w:p>
          <w:p>
            <w:pPr>
              <w:pStyle w:val="28"/>
              <w:bidi w:val="0"/>
              <w:jc w:val="center"/>
              <w:rPr>
                <w:rFonts w:hint="eastAsia"/>
                <w:highlight w:val="none"/>
                <w:lang w:val="en-US" w:eastAsia="zh-CN"/>
              </w:rPr>
            </w:pPr>
            <w:r>
              <w:rPr>
                <w:rFonts w:hint="eastAsia" w:ascii="黑体" w:hAnsi="宋体" w:eastAsia="黑体" w:cs="黑体"/>
                <w:color w:val="000000"/>
                <w:kern w:val="0"/>
                <w:sz w:val="24"/>
                <w:szCs w:val="24"/>
                <w:highlight w:val="none"/>
                <w:lang w:val="en-US" w:eastAsia="zh-CN" w:bidi="ar"/>
              </w:rPr>
              <w:t>表2-3  产品方案表</w:t>
            </w:r>
          </w:p>
          <w:tbl>
            <w:tblPr>
              <w:tblStyle w:val="22"/>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599"/>
              <w:gridCol w:w="1341"/>
              <w:gridCol w:w="2760"/>
              <w:gridCol w:w="1424"/>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highlight w:val="none"/>
                      <w:lang w:val="en-US" w:eastAsia="zh-CN"/>
                    </w:rPr>
                  </w:pPr>
                  <w:r>
                    <w:rPr>
                      <w:rFonts w:hint="eastAsia"/>
                      <w:highlight w:val="none"/>
                      <w:lang w:val="en-US" w:eastAsia="zh-CN"/>
                    </w:rPr>
                    <w:t>序号</w:t>
                  </w:r>
                </w:p>
              </w:tc>
              <w:tc>
                <w:tcPr>
                  <w:tcW w:w="1230" w:type="pct"/>
                  <w:gridSpan w:val="2"/>
                  <w:noWrap w:val="0"/>
                  <w:vAlign w:val="center"/>
                </w:tcPr>
                <w:p>
                  <w:pPr>
                    <w:pStyle w:val="43"/>
                    <w:bidi w:val="0"/>
                    <w:jc w:val="center"/>
                    <w:rPr>
                      <w:rFonts w:hint="default"/>
                      <w:highlight w:val="none"/>
                      <w:lang w:val="en-US" w:eastAsia="zh-CN"/>
                    </w:rPr>
                  </w:pPr>
                  <w:r>
                    <w:rPr>
                      <w:rFonts w:hint="eastAsia"/>
                      <w:highlight w:val="none"/>
                      <w:lang w:val="en-US" w:eastAsia="zh-CN"/>
                    </w:rPr>
                    <w:t>产品名称</w:t>
                  </w:r>
                </w:p>
              </w:tc>
              <w:tc>
                <w:tcPr>
                  <w:tcW w:w="1750" w:type="pct"/>
                  <w:noWrap w:val="0"/>
                  <w:vAlign w:val="center"/>
                </w:tcPr>
                <w:p>
                  <w:pPr>
                    <w:pStyle w:val="43"/>
                    <w:bidi w:val="0"/>
                    <w:jc w:val="center"/>
                    <w:rPr>
                      <w:rFonts w:hint="default"/>
                      <w:highlight w:val="none"/>
                      <w:lang w:val="en-US" w:eastAsia="zh-CN"/>
                    </w:rPr>
                  </w:pPr>
                  <w:r>
                    <w:rPr>
                      <w:rFonts w:hint="eastAsia"/>
                      <w:highlight w:val="none"/>
                      <w:lang w:val="en-US" w:eastAsia="zh-CN"/>
                    </w:rPr>
                    <w:t>规格</w:t>
                  </w:r>
                </w:p>
              </w:tc>
              <w:tc>
                <w:tcPr>
                  <w:tcW w:w="903" w:type="pct"/>
                  <w:noWrap w:val="0"/>
                  <w:vAlign w:val="center"/>
                </w:tcPr>
                <w:p>
                  <w:pPr>
                    <w:pStyle w:val="43"/>
                    <w:bidi w:val="0"/>
                    <w:jc w:val="center"/>
                    <w:rPr>
                      <w:rFonts w:hint="default"/>
                      <w:highlight w:val="none"/>
                      <w:lang w:val="en-US" w:eastAsia="zh-CN"/>
                    </w:rPr>
                  </w:pPr>
                  <w:r>
                    <w:rPr>
                      <w:rFonts w:hint="eastAsia"/>
                      <w:highlight w:val="none"/>
                      <w:lang w:val="en-US" w:eastAsia="zh-CN"/>
                    </w:rPr>
                    <w:t>产量（t）</w:t>
                  </w:r>
                </w:p>
              </w:tc>
              <w:tc>
                <w:tcPr>
                  <w:tcW w:w="705" w:type="pct"/>
                  <w:noWrap w:val="0"/>
                  <w:vAlign w:val="center"/>
                </w:tcPr>
                <w:p>
                  <w:pPr>
                    <w:pStyle w:val="43"/>
                    <w:bidi w:val="0"/>
                    <w:jc w:val="center"/>
                    <w:rPr>
                      <w:rFonts w:hint="default"/>
                      <w:highlight w:val="none"/>
                      <w:lang w:val="en-US" w:eastAsia="zh-CN"/>
                    </w:rPr>
                  </w:pPr>
                  <w:r>
                    <w:rPr>
                      <w:rFonts w:hint="eastAsia"/>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highlight w:val="none"/>
                      <w:lang w:val="en-US" w:eastAsia="zh-CN"/>
                    </w:rPr>
                  </w:pPr>
                  <w:r>
                    <w:rPr>
                      <w:rFonts w:hint="eastAsia"/>
                      <w:highlight w:val="none"/>
                      <w:lang w:val="en-US" w:eastAsia="zh-CN"/>
                    </w:rPr>
                    <w:t>1</w:t>
                  </w:r>
                </w:p>
              </w:tc>
              <w:tc>
                <w:tcPr>
                  <w:tcW w:w="380" w:type="pct"/>
                  <w:vMerge w:val="restart"/>
                  <w:noWrap w:val="0"/>
                  <w:vAlign w:val="center"/>
                </w:tcPr>
                <w:p>
                  <w:pPr>
                    <w:pStyle w:val="43"/>
                    <w:bidi w:val="0"/>
                    <w:jc w:val="center"/>
                    <w:rPr>
                      <w:rFonts w:hint="default"/>
                      <w:highlight w:val="none"/>
                      <w:lang w:val="en-US" w:eastAsia="zh-CN"/>
                    </w:rPr>
                  </w:pPr>
                  <w:r>
                    <w:rPr>
                      <w:rFonts w:hint="eastAsia"/>
                      <w:highlight w:val="none"/>
                      <w:lang w:val="en-US" w:eastAsia="zh-CN"/>
                    </w:rPr>
                    <w:t>水泥预制件</w:t>
                  </w:r>
                </w:p>
              </w:tc>
              <w:tc>
                <w:tcPr>
                  <w:tcW w:w="850" w:type="pct"/>
                  <w:noWrap w:val="0"/>
                  <w:vAlign w:val="center"/>
                </w:tcPr>
                <w:p>
                  <w:pPr>
                    <w:jc w:val="center"/>
                    <w:rPr>
                      <w:rFonts w:hint="default"/>
                      <w:highlight w:val="none"/>
                      <w:lang w:val="en-US" w:eastAsia="zh-CN"/>
                    </w:rPr>
                  </w:pPr>
                  <w:r>
                    <w:rPr>
                      <w:rFonts w:hint="eastAsia"/>
                      <w:lang w:val="en-US" w:eastAsia="zh-CN"/>
                    </w:rPr>
                    <w:t>路沿石</w:t>
                  </w:r>
                </w:p>
              </w:tc>
              <w:tc>
                <w:tcPr>
                  <w:tcW w:w="1750" w:type="pct"/>
                  <w:noWrap w:val="0"/>
                  <w:vAlign w:val="center"/>
                </w:tcPr>
                <w:p>
                  <w:pPr>
                    <w:jc w:val="center"/>
                    <w:rPr>
                      <w:rFonts w:hint="default"/>
                      <w:highlight w:val="none"/>
                      <w:lang w:val="en-US" w:eastAsia="zh-CN"/>
                    </w:rPr>
                  </w:pPr>
                  <w:r>
                    <w:rPr>
                      <w:rFonts w:hint="eastAsia"/>
                      <w:lang w:val="en-US" w:eastAsia="zh-CN"/>
                    </w:rPr>
                    <w:t>30cm×50cm，10公分厚</w:t>
                  </w:r>
                </w:p>
              </w:tc>
              <w:tc>
                <w:tcPr>
                  <w:tcW w:w="903" w:type="pct"/>
                  <w:noWrap w:val="0"/>
                  <w:vAlign w:val="center"/>
                </w:tcPr>
                <w:p>
                  <w:pPr>
                    <w:jc w:val="center"/>
                    <w:rPr>
                      <w:rFonts w:hint="default"/>
                      <w:highlight w:val="none"/>
                      <w:lang w:val="en-US" w:eastAsia="zh-CN"/>
                    </w:rPr>
                  </w:pPr>
                  <w:r>
                    <w:rPr>
                      <w:rFonts w:hint="eastAsia"/>
                      <w:lang w:val="en-US" w:eastAsia="zh-CN"/>
                    </w:rPr>
                    <w:t>200000（块）</w:t>
                  </w:r>
                </w:p>
              </w:tc>
              <w:tc>
                <w:tcPr>
                  <w:tcW w:w="705" w:type="pct"/>
                  <w:vMerge w:val="restart"/>
                  <w:noWrap w:val="0"/>
                  <w:vAlign w:val="center"/>
                </w:tcPr>
                <w:p>
                  <w:pPr>
                    <w:pStyle w:val="43"/>
                    <w:bidi w:val="0"/>
                    <w:jc w:val="center"/>
                    <w:rPr>
                      <w:rFonts w:hint="default"/>
                      <w:highlight w:val="none"/>
                      <w:lang w:val="en-US" w:eastAsia="zh-CN"/>
                    </w:rPr>
                  </w:pPr>
                  <w:r>
                    <w:rPr>
                      <w:rFonts w:hint="eastAsia"/>
                      <w:highlight w:val="none"/>
                      <w:lang w:val="en-US" w:eastAsia="zh-CN"/>
                    </w:rPr>
                    <w:t>具体尺寸规格和客户商议决定，订单式加工、现销售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410" w:type="pct"/>
                  <w:noWrap w:val="0"/>
                  <w:vAlign w:val="center"/>
                </w:tcPr>
                <w:p>
                  <w:pPr>
                    <w:pStyle w:val="43"/>
                    <w:bidi w:val="0"/>
                    <w:jc w:val="center"/>
                    <w:rPr>
                      <w:rFonts w:hint="default"/>
                      <w:highlight w:val="none"/>
                      <w:lang w:val="en-US" w:eastAsia="zh-CN"/>
                    </w:rPr>
                  </w:pPr>
                  <w:r>
                    <w:rPr>
                      <w:rFonts w:hint="eastAsia"/>
                      <w:highlight w:val="none"/>
                      <w:lang w:val="en-US" w:eastAsia="zh-CN"/>
                    </w:rPr>
                    <w:t>2</w:t>
                  </w:r>
                </w:p>
              </w:tc>
              <w:tc>
                <w:tcPr>
                  <w:tcW w:w="380" w:type="pct"/>
                  <w:vMerge w:val="continue"/>
                  <w:noWrap w:val="0"/>
                  <w:vAlign w:val="center"/>
                </w:tcPr>
                <w:p>
                  <w:pPr>
                    <w:jc w:val="center"/>
                    <w:rPr>
                      <w:rFonts w:hint="eastAsia"/>
                      <w:highlight w:val="none"/>
                      <w:lang w:val="en-US" w:eastAsia="zh-CN"/>
                    </w:rPr>
                  </w:pPr>
                </w:p>
              </w:tc>
              <w:tc>
                <w:tcPr>
                  <w:tcW w:w="850" w:type="pct"/>
                  <w:noWrap w:val="0"/>
                  <w:vAlign w:val="center"/>
                </w:tcPr>
                <w:p>
                  <w:pPr>
                    <w:jc w:val="center"/>
                    <w:rPr>
                      <w:rFonts w:hint="default"/>
                      <w:lang w:val="en-US"/>
                    </w:rPr>
                  </w:pPr>
                  <w:r>
                    <w:rPr>
                      <w:rFonts w:hint="eastAsia"/>
                      <w:lang w:val="en-US" w:eastAsia="zh-CN"/>
                    </w:rPr>
                    <w:t>彩砖</w:t>
                  </w:r>
                </w:p>
              </w:tc>
              <w:tc>
                <w:tcPr>
                  <w:tcW w:w="1750" w:type="pct"/>
                  <w:noWrap w:val="0"/>
                  <w:vAlign w:val="center"/>
                </w:tcPr>
                <w:p>
                  <w:pPr>
                    <w:jc w:val="center"/>
                    <w:rPr>
                      <w:rFonts w:hint="default"/>
                      <w:highlight w:val="none"/>
                      <w:lang w:val="en-US" w:eastAsia="zh-CN"/>
                    </w:rPr>
                  </w:pPr>
                  <w:r>
                    <w:rPr>
                      <w:rFonts w:hint="eastAsia"/>
                      <w:lang w:val="en-US" w:eastAsia="zh-CN"/>
                    </w:rPr>
                    <w:t>15cm×30cm，6公分厚</w:t>
                  </w:r>
                </w:p>
              </w:tc>
              <w:tc>
                <w:tcPr>
                  <w:tcW w:w="903" w:type="pct"/>
                  <w:noWrap w:val="0"/>
                  <w:vAlign w:val="center"/>
                </w:tcPr>
                <w:p>
                  <w:pPr>
                    <w:jc w:val="center"/>
                    <w:rPr>
                      <w:rFonts w:hint="default"/>
                      <w:highlight w:val="none"/>
                      <w:lang w:val="en-US" w:eastAsia="zh-CN"/>
                    </w:rPr>
                  </w:pPr>
                  <w:r>
                    <w:rPr>
                      <w:rFonts w:hint="eastAsia"/>
                      <w:lang w:val="en-US" w:eastAsia="zh-CN"/>
                    </w:rPr>
                    <w:t>210000（块）</w:t>
                  </w:r>
                </w:p>
              </w:tc>
              <w:tc>
                <w:tcPr>
                  <w:tcW w:w="705" w:type="pct"/>
                  <w:vMerge w:val="continue"/>
                  <w:noWrap w:val="0"/>
                  <w:vAlign w:val="center"/>
                </w:tcPr>
                <w:p>
                  <w:pPr>
                    <w:pStyle w:val="43"/>
                    <w:bidi w:val="0"/>
                    <w:jc w:val="center"/>
                    <w:rPr>
                      <w:rFonts w:hint="default"/>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410" w:type="pct"/>
                  <w:noWrap w:val="0"/>
                  <w:vAlign w:val="center"/>
                </w:tcPr>
                <w:p>
                  <w:pPr>
                    <w:pStyle w:val="43"/>
                    <w:bidi w:val="0"/>
                    <w:jc w:val="center"/>
                    <w:rPr>
                      <w:rFonts w:hint="eastAsia" w:ascii="Times New Roman" w:hAnsi="Times New Roman" w:eastAsia="宋体"/>
                      <w:kern w:val="0"/>
                      <w:sz w:val="21"/>
                      <w:szCs w:val="20"/>
                      <w:highlight w:val="none"/>
                      <w:lang w:val="en-US" w:eastAsia="zh-CN" w:bidi="ar-SA"/>
                    </w:rPr>
                  </w:pPr>
                  <w:r>
                    <w:rPr>
                      <w:rFonts w:hint="eastAsia"/>
                      <w:highlight w:val="none"/>
                      <w:lang w:val="en-US" w:eastAsia="zh-CN"/>
                    </w:rPr>
                    <w:t>3</w:t>
                  </w:r>
                </w:p>
              </w:tc>
              <w:tc>
                <w:tcPr>
                  <w:tcW w:w="380" w:type="pct"/>
                  <w:vMerge w:val="continue"/>
                  <w:noWrap w:val="0"/>
                  <w:vAlign w:val="center"/>
                </w:tcPr>
                <w:p>
                  <w:pPr>
                    <w:jc w:val="center"/>
                    <w:rPr>
                      <w:rFonts w:hint="eastAsia"/>
                      <w:highlight w:val="none"/>
                      <w:lang w:val="en-US" w:eastAsia="zh-CN"/>
                    </w:rPr>
                  </w:pPr>
                </w:p>
              </w:tc>
              <w:tc>
                <w:tcPr>
                  <w:tcW w:w="850" w:type="pct"/>
                  <w:noWrap w:val="0"/>
                  <w:vAlign w:val="center"/>
                </w:tcPr>
                <w:p>
                  <w:pPr>
                    <w:jc w:val="center"/>
                  </w:pPr>
                  <w:r>
                    <w:rPr>
                      <w:rFonts w:hint="eastAsia"/>
                      <w:lang w:val="en-US" w:eastAsia="zh-CN"/>
                    </w:rPr>
                    <w:t>工字砖</w:t>
                  </w:r>
                </w:p>
              </w:tc>
              <w:tc>
                <w:tcPr>
                  <w:tcW w:w="1750" w:type="pct"/>
                  <w:noWrap w:val="0"/>
                  <w:vAlign w:val="center"/>
                </w:tcPr>
                <w:p>
                  <w:pPr>
                    <w:jc w:val="center"/>
                    <w:rPr>
                      <w:rFonts w:hint="eastAsia"/>
                      <w:highlight w:val="none"/>
                      <w:lang w:val="en-US" w:eastAsia="zh-CN"/>
                    </w:rPr>
                  </w:pPr>
                  <w:r>
                    <w:rPr>
                      <w:rFonts w:hint="eastAsia"/>
                      <w:lang w:val="en-US" w:eastAsia="zh-CN"/>
                    </w:rPr>
                    <w:t>30cm×50cm，6公分厚</w:t>
                  </w:r>
                </w:p>
              </w:tc>
              <w:tc>
                <w:tcPr>
                  <w:tcW w:w="903" w:type="pct"/>
                  <w:noWrap w:val="0"/>
                  <w:vAlign w:val="center"/>
                </w:tcPr>
                <w:p>
                  <w:pPr>
                    <w:jc w:val="center"/>
                    <w:rPr>
                      <w:rFonts w:hint="eastAsia"/>
                      <w:kern w:val="2"/>
                      <w:sz w:val="21"/>
                      <w:szCs w:val="24"/>
                      <w:highlight w:val="none"/>
                      <w:lang w:val="en-US" w:eastAsia="zh-CN" w:bidi="ar-SA"/>
                    </w:rPr>
                  </w:pPr>
                  <w:r>
                    <w:rPr>
                      <w:rFonts w:hint="eastAsia"/>
                      <w:lang w:val="en-US" w:eastAsia="zh-CN"/>
                    </w:rPr>
                    <w:t>100000（块）</w:t>
                  </w:r>
                </w:p>
              </w:tc>
              <w:tc>
                <w:tcPr>
                  <w:tcW w:w="705" w:type="pct"/>
                  <w:vMerge w:val="continue"/>
                  <w:noWrap w:val="0"/>
                  <w:vAlign w:val="center"/>
                </w:tcPr>
                <w:p>
                  <w:pPr>
                    <w:pStyle w:val="43"/>
                    <w:bidi w:val="0"/>
                    <w:jc w:val="center"/>
                    <w:rPr>
                      <w:rFonts w:hint="eastAsia" w:ascii="Times New Roman" w:hAnsi="Times New Roman" w:eastAsia="宋体"/>
                      <w:kern w:val="0"/>
                      <w:sz w:val="21"/>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4</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八字砖</w:t>
                  </w:r>
                </w:p>
              </w:tc>
              <w:tc>
                <w:tcPr>
                  <w:tcW w:w="1750" w:type="pct"/>
                  <w:noWrap w:val="0"/>
                  <w:vAlign w:val="center"/>
                </w:tcPr>
                <w:p>
                  <w:pPr>
                    <w:jc w:val="center"/>
                    <w:rPr>
                      <w:rFonts w:hint="default"/>
                      <w:highlight w:val="none"/>
                      <w:lang w:val="en-US" w:eastAsia="zh-CN"/>
                    </w:rPr>
                  </w:pPr>
                  <w:r>
                    <w:rPr>
                      <w:rFonts w:hint="eastAsia"/>
                      <w:lang w:val="en-US" w:eastAsia="zh-CN"/>
                    </w:rPr>
                    <w:t>20cm×40cm，6公分厚</w:t>
                  </w:r>
                </w:p>
              </w:tc>
              <w:tc>
                <w:tcPr>
                  <w:tcW w:w="903" w:type="pct"/>
                  <w:noWrap w:val="0"/>
                  <w:vAlign w:val="center"/>
                </w:tcPr>
                <w:p>
                  <w:pPr>
                    <w:jc w:val="center"/>
                    <w:rPr>
                      <w:rFonts w:hint="default"/>
                      <w:highlight w:val="none"/>
                      <w:lang w:val="en-US" w:eastAsia="zh-CN"/>
                    </w:rPr>
                  </w:pPr>
                  <w:r>
                    <w:rPr>
                      <w:rFonts w:hint="eastAsia"/>
                      <w:lang w:val="en-US" w:eastAsia="zh-CN"/>
                    </w:rPr>
                    <w:t>190000（块）</w:t>
                  </w:r>
                </w:p>
              </w:tc>
              <w:tc>
                <w:tcPr>
                  <w:tcW w:w="705" w:type="pct"/>
                  <w:vMerge w:val="continue"/>
                  <w:noWrap w:val="0"/>
                  <w:vAlign w:val="center"/>
                </w:tcPr>
                <w:p>
                  <w:pPr>
                    <w:pStyle w:val="43"/>
                    <w:bidi w:val="0"/>
                    <w:jc w:val="center"/>
                    <w:rPr>
                      <w:rFonts w:hint="default"/>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5</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标砖</w:t>
                  </w:r>
                </w:p>
              </w:tc>
              <w:tc>
                <w:tcPr>
                  <w:tcW w:w="1750" w:type="pct"/>
                  <w:noWrap w:val="0"/>
                  <w:vAlign w:val="center"/>
                </w:tcPr>
                <w:p>
                  <w:pPr>
                    <w:jc w:val="center"/>
                    <w:rPr>
                      <w:rFonts w:hint="default"/>
                      <w:highlight w:val="none"/>
                      <w:lang w:val="en-US" w:eastAsia="zh-CN"/>
                    </w:rPr>
                  </w:pPr>
                  <w:r>
                    <w:rPr>
                      <w:rFonts w:hint="eastAsia"/>
                      <w:lang w:val="en-US" w:eastAsia="zh-CN"/>
                    </w:rPr>
                    <w:t>12cm×24cm，6公分厚</w:t>
                  </w:r>
                </w:p>
              </w:tc>
              <w:tc>
                <w:tcPr>
                  <w:tcW w:w="903" w:type="pct"/>
                  <w:noWrap w:val="0"/>
                  <w:vAlign w:val="center"/>
                </w:tcPr>
                <w:p>
                  <w:pPr>
                    <w:jc w:val="center"/>
                    <w:rPr>
                      <w:rFonts w:hint="default"/>
                      <w:highlight w:val="none"/>
                      <w:lang w:val="en-US" w:eastAsia="zh-CN"/>
                    </w:rPr>
                  </w:pPr>
                  <w:r>
                    <w:rPr>
                      <w:rFonts w:hint="eastAsia"/>
                      <w:lang w:val="en-US" w:eastAsia="zh-CN"/>
                    </w:rPr>
                    <w:t>280000（块）</w:t>
                  </w:r>
                </w:p>
              </w:tc>
              <w:tc>
                <w:tcPr>
                  <w:tcW w:w="705" w:type="pct"/>
                  <w:vMerge w:val="continue"/>
                  <w:noWrap w:val="0"/>
                  <w:vAlign w:val="center"/>
                </w:tcPr>
                <w:p>
                  <w:pPr>
                    <w:pStyle w:val="43"/>
                    <w:bidi w:val="0"/>
                    <w:jc w:val="center"/>
                    <w:rPr>
                      <w:rFonts w:hint="default"/>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6</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面包砖</w:t>
                  </w:r>
                </w:p>
              </w:tc>
              <w:tc>
                <w:tcPr>
                  <w:tcW w:w="1750" w:type="pct"/>
                  <w:noWrap w:val="0"/>
                  <w:vAlign w:val="center"/>
                </w:tcPr>
                <w:p>
                  <w:pPr>
                    <w:jc w:val="center"/>
                    <w:rPr>
                      <w:rFonts w:hint="eastAsia"/>
                      <w:highlight w:val="none"/>
                      <w:lang w:val="en-US" w:eastAsia="zh-CN"/>
                    </w:rPr>
                  </w:pPr>
                  <w:r>
                    <w:rPr>
                      <w:rFonts w:hint="eastAsia"/>
                      <w:lang w:val="en-US" w:eastAsia="zh-CN"/>
                    </w:rPr>
                    <w:t>10cm×20cm，6公分厚</w:t>
                  </w:r>
                </w:p>
              </w:tc>
              <w:tc>
                <w:tcPr>
                  <w:tcW w:w="903" w:type="pct"/>
                  <w:noWrap w:val="0"/>
                  <w:vAlign w:val="center"/>
                </w:tcPr>
                <w:p>
                  <w:pPr>
                    <w:jc w:val="center"/>
                    <w:rPr>
                      <w:rFonts w:hint="eastAsia"/>
                      <w:highlight w:val="none"/>
                      <w:lang w:val="en-US" w:eastAsia="zh-CN"/>
                    </w:rPr>
                  </w:pPr>
                  <w:r>
                    <w:rPr>
                      <w:rFonts w:hint="eastAsia"/>
                      <w:lang w:val="en-US" w:eastAsia="zh-CN"/>
                    </w:rPr>
                    <w:t>150000（块）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7</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八孔砖</w:t>
                  </w:r>
                </w:p>
              </w:tc>
              <w:tc>
                <w:tcPr>
                  <w:tcW w:w="1750" w:type="pct"/>
                  <w:noWrap w:val="0"/>
                  <w:vAlign w:val="center"/>
                </w:tcPr>
                <w:p>
                  <w:pPr>
                    <w:jc w:val="center"/>
                    <w:rPr>
                      <w:rFonts w:hint="eastAsia"/>
                      <w:highlight w:val="none"/>
                      <w:lang w:val="en-US" w:eastAsia="zh-CN"/>
                    </w:rPr>
                  </w:pPr>
                  <w:r>
                    <w:rPr>
                      <w:rFonts w:hint="eastAsia"/>
                      <w:lang w:val="en-US" w:eastAsia="zh-CN"/>
                    </w:rPr>
                    <w:t>12cm×24cm，10公分厚</w:t>
                  </w:r>
                </w:p>
              </w:tc>
              <w:tc>
                <w:tcPr>
                  <w:tcW w:w="903" w:type="pct"/>
                  <w:noWrap w:val="0"/>
                  <w:vAlign w:val="center"/>
                </w:tcPr>
                <w:p>
                  <w:pPr>
                    <w:jc w:val="center"/>
                    <w:rPr>
                      <w:rFonts w:hint="eastAsia"/>
                      <w:highlight w:val="none"/>
                      <w:lang w:val="en-US" w:eastAsia="zh-CN"/>
                    </w:rPr>
                  </w:pPr>
                  <w:r>
                    <w:rPr>
                      <w:rFonts w:hint="eastAsia"/>
                      <w:lang w:val="en-US" w:eastAsia="zh-CN"/>
                    </w:rPr>
                    <w:t>250000（块）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8</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混凝土板</w:t>
                  </w:r>
                </w:p>
              </w:tc>
              <w:tc>
                <w:tcPr>
                  <w:tcW w:w="1750" w:type="pct"/>
                  <w:noWrap w:val="0"/>
                  <w:vAlign w:val="center"/>
                </w:tcPr>
                <w:p>
                  <w:pPr>
                    <w:jc w:val="center"/>
                    <w:rPr>
                      <w:rFonts w:hint="eastAsia"/>
                      <w:highlight w:val="none"/>
                      <w:lang w:val="en-US" w:eastAsia="zh-CN"/>
                    </w:rPr>
                  </w:pPr>
                  <w:r>
                    <w:rPr>
                      <w:rFonts w:hint="eastAsia"/>
                      <w:lang w:val="en-US" w:eastAsia="zh-CN"/>
                    </w:rPr>
                    <w:t>2000cm×600cm，10公分厚</w:t>
                  </w:r>
                </w:p>
              </w:tc>
              <w:tc>
                <w:tcPr>
                  <w:tcW w:w="903" w:type="pct"/>
                  <w:noWrap w:val="0"/>
                  <w:vAlign w:val="center"/>
                </w:tcPr>
                <w:p>
                  <w:pPr>
                    <w:jc w:val="center"/>
                    <w:rPr>
                      <w:rFonts w:hint="eastAsia"/>
                      <w:highlight w:val="none"/>
                      <w:lang w:val="en-US" w:eastAsia="zh-CN"/>
                    </w:rPr>
                  </w:pPr>
                  <w:r>
                    <w:rPr>
                      <w:rFonts w:hint="eastAsia"/>
                      <w:lang w:val="en-US" w:eastAsia="zh-CN"/>
                    </w:rPr>
                    <w:t>1500（块）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9</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预制板</w:t>
                  </w:r>
                </w:p>
              </w:tc>
              <w:tc>
                <w:tcPr>
                  <w:tcW w:w="1750" w:type="pct"/>
                  <w:noWrap w:val="0"/>
                  <w:vAlign w:val="center"/>
                </w:tcPr>
                <w:p>
                  <w:pPr>
                    <w:jc w:val="center"/>
                    <w:rPr>
                      <w:rFonts w:hint="eastAsia"/>
                      <w:highlight w:val="none"/>
                      <w:lang w:val="en-US" w:eastAsia="zh-CN"/>
                    </w:rPr>
                  </w:pPr>
                  <w:r>
                    <w:rPr>
                      <w:rFonts w:hint="eastAsia"/>
                      <w:lang w:val="en-US" w:eastAsia="zh-CN"/>
                    </w:rPr>
                    <w:t>4米×600cm</w:t>
                  </w:r>
                  <w:r>
                    <w:rPr>
                      <w:rFonts w:hint="eastAsia"/>
                      <w:lang w:val="en-US" w:eastAsia="zh-CN"/>
                    </w:rPr>
                    <w:tab/>
                  </w:r>
                  <w:r>
                    <w:rPr>
                      <w:rFonts w:hint="eastAsia"/>
                      <w:lang w:val="en-US" w:eastAsia="zh-CN"/>
                    </w:rPr>
                    <w:t>，12公分厚</w:t>
                  </w:r>
                </w:p>
              </w:tc>
              <w:tc>
                <w:tcPr>
                  <w:tcW w:w="903" w:type="pct"/>
                  <w:noWrap w:val="0"/>
                  <w:vAlign w:val="center"/>
                </w:tcPr>
                <w:p>
                  <w:pPr>
                    <w:jc w:val="center"/>
                    <w:rPr>
                      <w:rFonts w:hint="eastAsia"/>
                      <w:highlight w:val="none"/>
                      <w:lang w:val="en-US" w:eastAsia="zh-CN"/>
                    </w:rPr>
                  </w:pPr>
                  <w:r>
                    <w:rPr>
                      <w:rFonts w:hint="eastAsia"/>
                      <w:lang w:val="en-US" w:eastAsia="zh-CN"/>
                    </w:rPr>
                    <w:t>1000（块）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10</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水泥管道</w:t>
                  </w:r>
                </w:p>
              </w:tc>
              <w:tc>
                <w:tcPr>
                  <w:tcW w:w="1750" w:type="pct"/>
                  <w:noWrap w:val="0"/>
                  <w:vAlign w:val="center"/>
                </w:tcPr>
                <w:p>
                  <w:pPr>
                    <w:jc w:val="center"/>
                    <w:rPr>
                      <w:rFonts w:hint="eastAsia"/>
                      <w:highlight w:val="none"/>
                      <w:lang w:val="en-US" w:eastAsia="zh-CN"/>
                    </w:rPr>
                  </w:pPr>
                  <w:r>
                    <w:rPr>
                      <w:rFonts w:hint="eastAsia"/>
                      <w:lang w:val="en-US" w:eastAsia="zh-CN"/>
                    </w:rPr>
                    <w:t>300×35×3000cm等</w:t>
                  </w:r>
                </w:p>
              </w:tc>
              <w:tc>
                <w:tcPr>
                  <w:tcW w:w="903" w:type="pct"/>
                  <w:noWrap w:val="0"/>
                  <w:vAlign w:val="center"/>
                </w:tcPr>
                <w:p>
                  <w:pPr>
                    <w:jc w:val="center"/>
                    <w:rPr>
                      <w:rFonts w:hint="eastAsia"/>
                      <w:highlight w:val="none"/>
                      <w:lang w:val="en-US" w:eastAsia="zh-CN"/>
                    </w:rPr>
                  </w:pPr>
                  <w:r>
                    <w:rPr>
                      <w:rFonts w:hint="eastAsia"/>
                      <w:lang w:val="en-US" w:eastAsia="zh-CN"/>
                    </w:rPr>
                    <w:t>1200（块）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11</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水泥砖</w:t>
                  </w:r>
                </w:p>
              </w:tc>
              <w:tc>
                <w:tcPr>
                  <w:tcW w:w="1750" w:type="pct"/>
                  <w:noWrap w:val="0"/>
                  <w:vAlign w:val="center"/>
                </w:tcPr>
                <w:p>
                  <w:pPr>
                    <w:jc w:val="center"/>
                    <w:rPr>
                      <w:rFonts w:hint="eastAsia"/>
                      <w:highlight w:val="none"/>
                      <w:lang w:val="en-US" w:eastAsia="zh-CN"/>
                    </w:rPr>
                  </w:pPr>
                  <w:r>
                    <w:rPr>
                      <w:rFonts w:hint="eastAsia"/>
                      <w:lang w:val="en-US" w:eastAsia="zh-CN"/>
                    </w:rPr>
                    <w:t>240×115×53cm</w:t>
                  </w:r>
                </w:p>
              </w:tc>
              <w:tc>
                <w:tcPr>
                  <w:tcW w:w="903" w:type="pct"/>
                  <w:noWrap w:val="0"/>
                  <w:vAlign w:val="center"/>
                </w:tcPr>
                <w:p>
                  <w:pPr>
                    <w:jc w:val="center"/>
                    <w:rPr>
                      <w:rFonts w:hint="eastAsia"/>
                      <w:highlight w:val="none"/>
                      <w:lang w:val="en-US" w:eastAsia="zh-CN"/>
                    </w:rPr>
                  </w:pPr>
                  <w:r>
                    <w:rPr>
                      <w:rFonts w:hint="eastAsia"/>
                      <w:lang w:val="en-US" w:eastAsia="zh-CN"/>
                    </w:rPr>
                    <w:t>1100（块）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ascii="Times New Roman" w:hAnsi="Times New Roman" w:eastAsia="宋体"/>
                      <w:kern w:val="0"/>
                      <w:sz w:val="21"/>
                      <w:szCs w:val="20"/>
                      <w:highlight w:val="none"/>
                      <w:lang w:val="en-US" w:eastAsia="zh-CN" w:bidi="ar-SA"/>
                    </w:rPr>
                  </w:pPr>
                  <w:r>
                    <w:rPr>
                      <w:rFonts w:hint="eastAsia"/>
                      <w:highlight w:val="none"/>
                      <w:lang w:val="en-US" w:eastAsia="zh-CN"/>
                    </w:rPr>
                    <w:t>12</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水泥瓦类</w:t>
                  </w:r>
                </w:p>
              </w:tc>
              <w:tc>
                <w:tcPr>
                  <w:tcW w:w="1750" w:type="pct"/>
                  <w:noWrap w:val="0"/>
                  <w:vAlign w:val="center"/>
                </w:tcPr>
                <w:p>
                  <w:pPr>
                    <w:jc w:val="center"/>
                    <w:rPr>
                      <w:rFonts w:hint="eastAsia"/>
                      <w:highlight w:val="none"/>
                      <w:lang w:val="en-US" w:eastAsia="zh-CN"/>
                    </w:rPr>
                  </w:pPr>
                  <w:r>
                    <w:rPr>
                      <w:rFonts w:hint="eastAsia"/>
                      <w:lang w:val="en-US" w:eastAsia="zh-CN"/>
                    </w:rPr>
                    <w:t>330×255cm</w:t>
                  </w:r>
                </w:p>
              </w:tc>
              <w:tc>
                <w:tcPr>
                  <w:tcW w:w="903" w:type="pct"/>
                  <w:noWrap w:val="0"/>
                  <w:vAlign w:val="center"/>
                </w:tcPr>
                <w:p>
                  <w:pPr>
                    <w:jc w:val="center"/>
                    <w:rPr>
                      <w:rFonts w:hint="eastAsia"/>
                      <w:highlight w:val="none"/>
                      <w:lang w:val="en-US" w:eastAsia="zh-CN"/>
                    </w:rPr>
                  </w:pPr>
                  <w:r>
                    <w:rPr>
                      <w:rFonts w:hint="eastAsia"/>
                      <w:lang w:val="en-US" w:eastAsia="zh-CN"/>
                    </w:rPr>
                    <w:t>1000（块）</w:t>
                  </w:r>
                </w:p>
              </w:tc>
              <w:tc>
                <w:tcPr>
                  <w:tcW w:w="705" w:type="pct"/>
                  <w:vMerge w:val="continue"/>
                  <w:noWrap w:val="0"/>
                  <w:vAlign w:val="center"/>
                </w:tcPr>
                <w:p>
                  <w:pPr>
                    <w:pStyle w:val="43"/>
                    <w:bidi w:val="0"/>
                    <w:jc w:val="center"/>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0" w:type="pct"/>
                  <w:noWrap w:val="0"/>
                  <w:vAlign w:val="center"/>
                </w:tcPr>
                <w:p>
                  <w:pPr>
                    <w:pStyle w:val="43"/>
                    <w:bidi w:val="0"/>
                    <w:jc w:val="center"/>
                    <w:rPr>
                      <w:rFonts w:hint="default"/>
                      <w:highlight w:val="none"/>
                      <w:lang w:val="en-US" w:eastAsia="zh-CN"/>
                    </w:rPr>
                  </w:pPr>
                  <w:r>
                    <w:rPr>
                      <w:rFonts w:hint="eastAsia"/>
                      <w:highlight w:val="none"/>
                      <w:lang w:val="en-US" w:eastAsia="zh-CN"/>
                    </w:rPr>
                    <w:t>13</w:t>
                  </w:r>
                </w:p>
              </w:tc>
              <w:tc>
                <w:tcPr>
                  <w:tcW w:w="380" w:type="pct"/>
                  <w:vMerge w:val="continue"/>
                  <w:noWrap w:val="0"/>
                  <w:vAlign w:val="center"/>
                </w:tcPr>
                <w:p>
                  <w:pPr>
                    <w:pStyle w:val="43"/>
                    <w:bidi w:val="0"/>
                    <w:jc w:val="center"/>
                    <w:rPr>
                      <w:rFonts w:hint="default"/>
                      <w:highlight w:val="none"/>
                      <w:lang w:val="en-US" w:eastAsia="zh-CN"/>
                    </w:rPr>
                  </w:pPr>
                </w:p>
              </w:tc>
              <w:tc>
                <w:tcPr>
                  <w:tcW w:w="850" w:type="pct"/>
                  <w:noWrap w:val="0"/>
                  <w:vAlign w:val="center"/>
                </w:tcPr>
                <w:p>
                  <w:pPr>
                    <w:jc w:val="center"/>
                    <w:rPr>
                      <w:rFonts w:hint="default"/>
                      <w:highlight w:val="none"/>
                      <w:lang w:val="en-US" w:eastAsia="zh-CN"/>
                    </w:rPr>
                  </w:pPr>
                  <w:r>
                    <w:rPr>
                      <w:rFonts w:hint="eastAsia"/>
                      <w:lang w:val="en-US" w:eastAsia="zh-CN"/>
                    </w:rPr>
                    <w:t>水泥盖板类</w:t>
                  </w:r>
                </w:p>
              </w:tc>
              <w:tc>
                <w:tcPr>
                  <w:tcW w:w="1750" w:type="pct"/>
                  <w:noWrap w:val="0"/>
                  <w:vAlign w:val="center"/>
                </w:tcPr>
                <w:p>
                  <w:pPr>
                    <w:jc w:val="center"/>
                    <w:rPr>
                      <w:rFonts w:hint="eastAsia"/>
                      <w:highlight w:val="none"/>
                      <w:lang w:val="en-US" w:eastAsia="zh-CN"/>
                    </w:rPr>
                  </w:pPr>
                  <w:r>
                    <w:rPr>
                      <w:rFonts w:hint="eastAsia"/>
                      <w:lang w:val="en-US" w:eastAsia="zh-CN"/>
                    </w:rPr>
                    <w:t>320×500×50cm等</w:t>
                  </w:r>
                </w:p>
              </w:tc>
              <w:tc>
                <w:tcPr>
                  <w:tcW w:w="903" w:type="pct"/>
                  <w:noWrap w:val="0"/>
                  <w:vAlign w:val="center"/>
                </w:tcPr>
                <w:p>
                  <w:pPr>
                    <w:jc w:val="center"/>
                    <w:rPr>
                      <w:rFonts w:hint="eastAsia"/>
                      <w:highlight w:val="none"/>
                      <w:lang w:val="en-US" w:eastAsia="zh-CN"/>
                    </w:rPr>
                  </w:pPr>
                  <w:r>
                    <w:rPr>
                      <w:rFonts w:hint="eastAsia"/>
                      <w:lang w:val="en-US" w:eastAsia="zh-CN"/>
                    </w:rPr>
                    <w:t>1300（块）</w:t>
                  </w:r>
                </w:p>
              </w:tc>
              <w:tc>
                <w:tcPr>
                  <w:tcW w:w="705" w:type="pct"/>
                  <w:vMerge w:val="continue"/>
                  <w:noWrap w:val="0"/>
                  <w:vAlign w:val="center"/>
                </w:tcPr>
                <w:p>
                  <w:pPr>
                    <w:pStyle w:val="43"/>
                    <w:bidi w:val="0"/>
                    <w:jc w:val="center"/>
                    <w:rPr>
                      <w:rFonts w:hint="eastAsia"/>
                      <w:highlight w:val="none"/>
                      <w:lang w:val="en-US" w:eastAsia="zh-CN"/>
                    </w:rPr>
                  </w:pPr>
                </w:p>
              </w:tc>
            </w:tr>
          </w:tbl>
          <w:p>
            <w:pPr>
              <w:pStyle w:val="28"/>
              <w:bidi w:val="0"/>
              <w:jc w:val="both"/>
              <w:rPr>
                <w:rFonts w:hint="eastAsia"/>
                <w:color w:val="auto"/>
                <w:highlight w:val="none"/>
                <w:lang w:val="en-US" w:eastAsia="zh-CN"/>
              </w:rPr>
            </w:pPr>
          </w:p>
          <w:p>
            <w:pPr>
              <w:pStyle w:val="44"/>
              <w:bidi w:val="0"/>
              <w:rPr>
                <w:rFonts w:hint="default"/>
                <w:b/>
                <w:bCs/>
                <w:highlight w:val="none"/>
                <w:lang w:val="en-US" w:eastAsia="zh-CN"/>
              </w:rPr>
            </w:pPr>
            <w:r>
              <w:rPr>
                <w:rFonts w:hint="eastAsia"/>
                <w:b/>
                <w:bCs/>
                <w:highlight w:val="none"/>
                <w:lang w:val="en-US" w:eastAsia="zh-CN"/>
              </w:rPr>
              <w:t>4.主要生产设备</w:t>
            </w:r>
          </w:p>
          <w:p>
            <w:pPr>
              <w:pStyle w:val="44"/>
              <w:bidi w:val="0"/>
              <w:rPr>
                <w:rFonts w:hint="default"/>
                <w:highlight w:val="none"/>
                <w:lang w:val="en-US" w:eastAsia="zh-CN"/>
              </w:rPr>
            </w:pPr>
            <w:r>
              <w:rPr>
                <w:rFonts w:hint="eastAsia"/>
                <w:highlight w:val="none"/>
                <w:lang w:val="en-US" w:eastAsia="zh-CN"/>
              </w:rPr>
              <w:t>本项目主要生产设备详见下表。</w:t>
            </w:r>
          </w:p>
          <w:p>
            <w:pPr>
              <w:pStyle w:val="28"/>
              <w:bidi w:val="0"/>
              <w:jc w:val="center"/>
              <w:rPr>
                <w:rFonts w:hint="default"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表2-4  主要生产设备一览表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551"/>
              <w:gridCol w:w="2954"/>
              <w:gridCol w:w="78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序号</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设备名称</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规格参数</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数量</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1</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sz w:val="21"/>
                      <w:szCs w:val="21"/>
                      <w:highlight w:val="none"/>
                      <w:lang w:val="en-US" w:eastAsia="zh-CN"/>
                    </w:rPr>
                    <w:t>配料</w:t>
                  </w:r>
                  <w:r>
                    <w:rPr>
                      <w:rFonts w:hint="eastAsia"/>
                      <w:sz w:val="21"/>
                      <w:szCs w:val="21"/>
                      <w:highlight w:val="none"/>
                      <w:lang w:val="en-US" w:eastAsia="zh-CN"/>
                    </w:rPr>
                    <w:t>机</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sz w:val="21"/>
                      <w:szCs w:val="21"/>
                      <w:highlight w:val="none"/>
                      <w:lang w:val="en-US" w:eastAsia="zh-CN"/>
                    </w:rPr>
                    <w:t>B650*2000</w:t>
                  </w:r>
                  <w:r>
                    <w:rPr>
                      <w:rFonts w:hint="eastAsia"/>
                      <w:sz w:val="21"/>
                      <w:szCs w:val="21"/>
                      <w:highlight w:val="none"/>
                      <w:lang w:val="en-US" w:eastAsia="zh-CN"/>
                    </w:rPr>
                    <w:t>计量秤含控制柜</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spacing w:val="-1"/>
                      <w:sz w:val="21"/>
                      <w:szCs w:val="21"/>
                    </w:rPr>
                    <w:t>人工进料，全自动控制，</w:t>
                  </w:r>
                  <w:r>
                    <w:rPr>
                      <w:spacing w:val="2"/>
                      <w:sz w:val="21"/>
                      <w:szCs w:val="21"/>
                    </w:rPr>
                    <w:t>自动称量配比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2</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rFonts w:hint="eastAsia"/>
                      <w:sz w:val="21"/>
                      <w:szCs w:val="21"/>
                      <w:lang w:val="en-US" w:eastAsia="zh-CN"/>
                    </w:rPr>
                    <w:t>液压自动上板</w:t>
                  </w:r>
                  <w:r>
                    <w:rPr>
                      <w:sz w:val="21"/>
                      <w:szCs w:val="21"/>
                    </w:rPr>
                    <w:t>机</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rFonts w:hint="eastAsia"/>
                      <w:sz w:val="21"/>
                      <w:szCs w:val="21"/>
                      <w:highlight w:val="none"/>
                      <w:lang w:val="en-US" w:eastAsia="zh-CN"/>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eastAsia="宋体"/>
                      <w:spacing w:val="-1"/>
                      <w:sz w:val="21"/>
                      <w:szCs w:val="21"/>
                      <w:lang w:val="en-US" w:eastAsia="zh-CN"/>
                    </w:rPr>
                  </w:pPr>
                  <w:r>
                    <w:rPr>
                      <w:rFonts w:hint="eastAsia"/>
                      <w:spacing w:val="-1"/>
                      <w:sz w:val="21"/>
                      <w:szCs w:val="21"/>
                      <w:lang w:val="en-US" w:eastAsia="zh-CN"/>
                    </w:rPr>
                    <w:t>用于半成品传输工序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搅拌机</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highlight w:val="none"/>
                      <w:lang w:val="en-US" w:eastAsia="zh-CN"/>
                    </w:rPr>
                    <w:t>立式混料1800*600</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搅拌过程密闭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4</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sz w:val="21"/>
                      <w:szCs w:val="21"/>
                      <w:highlight w:val="none"/>
                      <w:lang w:val="en-US" w:eastAsia="zh-CN"/>
                    </w:rPr>
                  </w:pPr>
                  <w:r>
                    <w:rPr>
                      <w:rFonts w:hint="eastAsia"/>
                      <w:sz w:val="21"/>
                      <w:szCs w:val="21"/>
                      <w:lang w:val="en-US" w:eastAsia="zh-CN"/>
                    </w:rPr>
                    <w:t>自动叠扳机</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5</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sz w:val="21"/>
                      <w:szCs w:val="21"/>
                      <w:highlight w:val="none"/>
                      <w:lang w:val="en-US" w:eastAsia="zh-CN"/>
                    </w:rPr>
                  </w:pPr>
                  <w:r>
                    <w:rPr>
                      <w:rFonts w:hint="eastAsia"/>
                      <w:sz w:val="21"/>
                      <w:szCs w:val="21"/>
                      <w:lang w:val="en-US" w:eastAsia="zh-CN"/>
                    </w:rPr>
                    <w:t>浸泡机</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新鲜水浸泡，用于砼制品养护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6</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sz w:val="21"/>
                      <w:szCs w:val="21"/>
                      <w:highlight w:val="none"/>
                      <w:lang w:val="en-US" w:eastAsia="zh-CN"/>
                    </w:rPr>
                  </w:pPr>
                  <w:r>
                    <w:rPr>
                      <w:rFonts w:hint="default"/>
                      <w:sz w:val="21"/>
                      <w:szCs w:val="21"/>
                      <w:highlight w:val="none"/>
                      <w:lang w:val="en-US" w:eastAsia="zh-CN"/>
                    </w:rPr>
                    <w:t>全自动砌块成型机</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7</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水泥筒仓</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储料10吨</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2座</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水泥原料储存、仓顶自带脉冲式除尘器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8</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钢筋剪切</w:t>
                  </w:r>
                  <w:r>
                    <w:rPr>
                      <w:rFonts w:hint="eastAsia" w:ascii="Times New Roman" w:hAnsi="Times New Roman" w:eastAsia="宋体"/>
                      <w:kern w:val="0"/>
                      <w:sz w:val="21"/>
                      <w:szCs w:val="21"/>
                      <w:highlight w:val="none"/>
                      <w:lang w:val="en-US" w:eastAsia="zh-CN" w:bidi="ar-SA"/>
                    </w:rPr>
                    <w:t>机</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16 型两头弯箍机（3代）</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9</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电动葫芦门式起重机</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 xml:space="preserve">MH5T-9.5m </w:t>
                  </w:r>
                  <w:r>
                    <w:rPr>
                      <w:rFonts w:hint="eastAsia" w:ascii="Times New Roman" w:hAnsi="Times New Roman" w:eastAsia="宋体"/>
                      <w:kern w:val="0"/>
                      <w:sz w:val="21"/>
                      <w:szCs w:val="21"/>
                      <w:highlight w:val="none"/>
                      <w:lang w:val="en-US" w:eastAsia="zh-CN" w:bidi="ar-SA"/>
                    </w:rPr>
                    <w:t xml:space="preserve"> </w:t>
                  </w:r>
                  <w:r>
                    <w:rPr>
                      <w:rFonts w:hint="default" w:ascii="Times New Roman" w:hAnsi="Times New Roman" w:eastAsia="宋体"/>
                      <w:kern w:val="0"/>
                      <w:sz w:val="21"/>
                      <w:szCs w:val="21"/>
                      <w:highlight w:val="none"/>
                      <w:lang w:val="en-US" w:eastAsia="zh-CN" w:bidi="ar-SA"/>
                    </w:rPr>
                    <w:t>A3</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1台</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10</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default" w:ascii="Times New Roman" w:hAnsi="Times New Roman" w:eastAsia="宋体"/>
                      <w:kern w:val="0"/>
                      <w:sz w:val="21"/>
                      <w:szCs w:val="21"/>
                      <w:highlight w:val="none"/>
                      <w:lang w:val="en-US" w:eastAsia="zh-CN" w:bidi="ar-SA"/>
                    </w:rPr>
                    <w:t>折弯/调直机</w:t>
                  </w:r>
                </w:p>
              </w:tc>
              <w:tc>
                <w:tcPr>
                  <w:tcW w:w="2953"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kern w:val="0"/>
                      <w:sz w:val="21"/>
                      <w:szCs w:val="21"/>
                      <w:highlight w:val="none"/>
                      <w:lang w:val="en-US" w:eastAsia="zh-CN" w:bidi="ar-SA"/>
                    </w:rPr>
                  </w:pPr>
                  <w:r>
                    <w:rPr>
                      <w:sz w:val="21"/>
                      <w:szCs w:val="21"/>
                    </w:rPr>
                    <w:t>/</w:t>
                  </w:r>
                </w:p>
              </w:tc>
              <w:tc>
                <w:tcPr>
                  <w:tcW w:w="780"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1台</w:t>
                  </w:r>
                </w:p>
              </w:tc>
              <w:tc>
                <w:tcPr>
                  <w:tcW w:w="2003"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sz w:val="21"/>
                      <w:szCs w:val="21"/>
                      <w:highlight w:val="none"/>
                      <w:lang w:val="en-US" w:eastAsia="zh-CN"/>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11</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rFonts w:hint="eastAsia"/>
                      <w:sz w:val="21"/>
                      <w:szCs w:val="21"/>
                      <w:lang w:val="en-US" w:eastAsia="zh-CN"/>
                    </w:rPr>
                    <w:t>叉车</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12</w:t>
                  </w:r>
                </w:p>
              </w:tc>
              <w:tc>
                <w:tcPr>
                  <w:tcW w:w="969"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rFonts w:hint="eastAsia"/>
                      <w:sz w:val="21"/>
                      <w:szCs w:val="21"/>
                      <w:lang w:val="en-US" w:eastAsia="zh-CN"/>
                    </w:rPr>
                    <w:t>铲车</w:t>
                  </w:r>
                </w:p>
              </w:tc>
              <w:tc>
                <w:tcPr>
                  <w:tcW w:w="1845"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1台</w:t>
                  </w:r>
                </w:p>
              </w:tc>
              <w:tc>
                <w:tcPr>
                  <w:tcW w:w="1251" w:type="pc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kern w:val="2"/>
                      <w:sz w:val="21"/>
                      <w:szCs w:val="21"/>
                      <w:highlight w:val="none"/>
                      <w:lang w:val="en-US" w:eastAsia="zh-CN" w:bidi="ar-SA"/>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13</w:t>
                  </w:r>
                </w:p>
              </w:tc>
              <w:tc>
                <w:tcPr>
                  <w:tcW w:w="969"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布袋</w:t>
                  </w:r>
                  <w:r>
                    <w:rPr>
                      <w:sz w:val="21"/>
                      <w:szCs w:val="21"/>
                      <w:highlight w:val="none"/>
                      <w:lang w:val="en-US" w:eastAsia="zh-CN"/>
                    </w:rPr>
                    <w:t>除尘器</w:t>
                  </w:r>
                </w:p>
              </w:tc>
              <w:tc>
                <w:tcPr>
                  <w:tcW w:w="1845"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lang w:eastAsia="zh-CN"/>
                    </w:rPr>
                    <w:t>风机风量为</w:t>
                  </w:r>
                  <w:r>
                    <w:rPr>
                      <w:rFonts w:hint="eastAsia"/>
                      <w:sz w:val="21"/>
                      <w:szCs w:val="21"/>
                      <w:lang w:val="en-US" w:eastAsia="zh-CN"/>
                    </w:rPr>
                    <w:t>2000m</w:t>
                  </w:r>
                  <w:r>
                    <w:rPr>
                      <w:rFonts w:hint="eastAsia"/>
                      <w:sz w:val="21"/>
                      <w:szCs w:val="21"/>
                      <w:vertAlign w:val="superscript"/>
                      <w:lang w:val="en-US" w:eastAsia="zh-CN"/>
                    </w:rPr>
                    <w:t>3</w:t>
                  </w:r>
                  <w:r>
                    <w:rPr>
                      <w:rFonts w:hint="eastAsia"/>
                      <w:sz w:val="21"/>
                      <w:szCs w:val="21"/>
                      <w:lang w:val="en-US" w:eastAsia="zh-CN"/>
                    </w:rPr>
                    <w:t>/h</w:t>
                  </w:r>
                  <w:r>
                    <w:rPr>
                      <w:rFonts w:hint="eastAsia"/>
                      <w:sz w:val="21"/>
                      <w:szCs w:val="21"/>
                      <w:lang w:eastAsia="zh-CN"/>
                    </w:rPr>
                    <w:t>，</w:t>
                  </w:r>
                  <w:r>
                    <w:rPr>
                      <w:rFonts w:hint="default" w:ascii="Times New Roman" w:hAnsi="Times New Roman" w:eastAsia="宋体"/>
                      <w:kern w:val="0"/>
                      <w:sz w:val="21"/>
                      <w:szCs w:val="21"/>
                      <w:highlight w:val="none"/>
                      <w:lang w:val="en-US" w:eastAsia="zh-CN" w:bidi="ar-SA"/>
                    </w:rPr>
                    <w:t>除尘率99%</w:t>
                  </w:r>
                </w:p>
              </w:tc>
              <w:tc>
                <w:tcPr>
                  <w:tcW w:w="487"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1套</w:t>
                  </w:r>
                </w:p>
              </w:tc>
              <w:tc>
                <w:tcPr>
                  <w:tcW w:w="1251" w:type="pc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jc w:val="center"/>
                    <w:textAlignment w:val="auto"/>
                    <w:rPr>
                      <w:rFonts w:hint="default"/>
                      <w:sz w:val="21"/>
                      <w:szCs w:val="21"/>
                      <w:highlight w:val="none"/>
                      <w:lang w:val="en-US" w:eastAsia="zh-CN"/>
                    </w:rPr>
                  </w:pPr>
                  <w:r>
                    <w:rPr>
                      <w:rFonts w:hint="eastAsia"/>
                      <w:kern w:val="0"/>
                      <w:sz w:val="21"/>
                      <w:szCs w:val="21"/>
                      <w:highlight w:val="none"/>
                      <w:lang w:val="en-US" w:eastAsia="zh-CN" w:bidi="ar-SA"/>
                    </w:rPr>
                    <w:t>带抽风集气管道</w:t>
                  </w:r>
                </w:p>
              </w:tc>
            </w:tr>
          </w:tbl>
          <w:p>
            <w:pPr>
              <w:pStyle w:val="44"/>
              <w:bidi w:val="0"/>
              <w:rPr>
                <w:rFonts w:hint="default"/>
                <w:b/>
                <w:bCs/>
                <w:highlight w:val="none"/>
                <w:lang w:val="en-US" w:eastAsia="zh-CN"/>
              </w:rPr>
            </w:pPr>
            <w:r>
              <w:rPr>
                <w:rFonts w:hint="eastAsia"/>
                <w:b/>
                <w:bCs/>
                <w:highlight w:val="none"/>
                <w:lang w:val="en-US" w:eastAsia="zh-CN"/>
              </w:rPr>
              <w:t>5.主要原辅材料</w:t>
            </w:r>
          </w:p>
          <w:p>
            <w:pPr>
              <w:pStyle w:val="44"/>
              <w:bidi w:val="0"/>
              <w:rPr>
                <w:rFonts w:hint="eastAsia"/>
                <w:highlight w:val="none"/>
                <w:lang w:val="en-US" w:eastAsia="zh-CN"/>
              </w:rPr>
            </w:pPr>
            <w:r>
              <w:rPr>
                <w:rFonts w:hint="eastAsia"/>
                <w:highlight w:val="none"/>
                <w:lang w:val="en-US" w:eastAsia="zh-CN"/>
              </w:rPr>
              <w:t>本项目主要原辅材料消耗情况详见下表。</w:t>
            </w:r>
          </w:p>
          <w:p>
            <w:pPr>
              <w:pStyle w:val="44"/>
              <w:bidi w:val="0"/>
              <w:spacing w:line="240" w:lineRule="auto"/>
              <w:rPr>
                <w:rFonts w:hint="eastAsia"/>
                <w:highlight w:val="none"/>
                <w:lang w:val="en-US" w:eastAsia="zh-CN"/>
              </w:rPr>
            </w:pPr>
          </w:p>
          <w:p>
            <w:pPr>
              <w:pStyle w:val="28"/>
              <w:bidi w:val="0"/>
              <w:jc w:val="center"/>
              <w:rPr>
                <w:rFonts w:hint="default"/>
                <w:highlight w:val="none"/>
                <w:lang w:val="en-US" w:eastAsia="zh-CN"/>
              </w:rPr>
            </w:pPr>
            <w:r>
              <w:rPr>
                <w:rFonts w:hint="eastAsia" w:ascii="黑体" w:hAnsi="宋体" w:eastAsia="黑体" w:cs="黑体"/>
                <w:color w:val="000000"/>
                <w:kern w:val="0"/>
                <w:sz w:val="24"/>
                <w:szCs w:val="24"/>
                <w:highlight w:val="none"/>
                <w:lang w:val="en-US" w:eastAsia="zh-CN" w:bidi="ar"/>
              </w:rPr>
              <w:t>表2-5  主要原辅材料消耗情况一览表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19"/>
              <w:gridCol w:w="1455"/>
              <w:gridCol w:w="810"/>
              <w:gridCol w:w="1410"/>
              <w:gridCol w:w="462"/>
              <w:gridCol w:w="1504"/>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序号</w:t>
                  </w:r>
                </w:p>
              </w:tc>
              <w:tc>
                <w:tcPr>
                  <w:tcW w:w="819" w:type="dxa"/>
                  <w:noWrap w:val="0"/>
                  <w:vAlign w:val="center"/>
                </w:tcPr>
                <w:p>
                  <w:pPr>
                    <w:pStyle w:val="43"/>
                    <w:bidi w:val="0"/>
                    <w:jc w:val="center"/>
                    <w:rPr>
                      <w:rFonts w:hint="default"/>
                      <w:highlight w:val="none"/>
                      <w:lang w:val="en-US" w:eastAsia="zh-CN"/>
                    </w:rPr>
                  </w:pPr>
                  <w:r>
                    <w:rPr>
                      <w:rFonts w:hint="eastAsia"/>
                      <w:highlight w:val="none"/>
                      <w:lang w:val="en-US" w:eastAsia="zh-CN"/>
                    </w:rPr>
                    <w:t>生产线</w:t>
                  </w:r>
                </w:p>
              </w:tc>
              <w:tc>
                <w:tcPr>
                  <w:tcW w:w="1455" w:type="dxa"/>
                  <w:noWrap w:val="0"/>
                  <w:vAlign w:val="center"/>
                </w:tcPr>
                <w:p>
                  <w:pPr>
                    <w:pStyle w:val="43"/>
                    <w:bidi w:val="0"/>
                    <w:jc w:val="center"/>
                    <w:rPr>
                      <w:rFonts w:hint="default"/>
                      <w:highlight w:val="none"/>
                      <w:lang w:val="en-US" w:eastAsia="zh-CN"/>
                    </w:rPr>
                  </w:pPr>
                  <w:r>
                    <w:rPr>
                      <w:rFonts w:hint="eastAsia"/>
                      <w:highlight w:val="none"/>
                      <w:lang w:val="en-US" w:eastAsia="zh-CN"/>
                    </w:rPr>
                    <w:t>名称</w:t>
                  </w:r>
                </w:p>
              </w:tc>
              <w:tc>
                <w:tcPr>
                  <w:tcW w:w="810" w:type="dxa"/>
                  <w:noWrap w:val="0"/>
                  <w:vAlign w:val="center"/>
                </w:tcPr>
                <w:p>
                  <w:pPr>
                    <w:pStyle w:val="43"/>
                    <w:bidi w:val="0"/>
                    <w:jc w:val="center"/>
                    <w:rPr>
                      <w:rFonts w:hint="default"/>
                      <w:highlight w:val="none"/>
                      <w:lang w:val="en-US" w:eastAsia="zh-CN"/>
                    </w:rPr>
                  </w:pPr>
                  <w:r>
                    <w:rPr>
                      <w:rFonts w:hint="eastAsia"/>
                      <w:highlight w:val="none"/>
                      <w:lang w:val="en-US" w:eastAsia="zh-CN"/>
                    </w:rPr>
                    <w:t>消耗量</w:t>
                  </w:r>
                </w:p>
              </w:tc>
              <w:tc>
                <w:tcPr>
                  <w:tcW w:w="1872" w:type="dxa"/>
                  <w:gridSpan w:val="2"/>
                  <w:noWrap w:val="0"/>
                  <w:vAlign w:val="center"/>
                </w:tcPr>
                <w:p>
                  <w:pPr>
                    <w:pStyle w:val="43"/>
                    <w:bidi w:val="0"/>
                    <w:jc w:val="center"/>
                    <w:rPr>
                      <w:rFonts w:hint="default"/>
                      <w:highlight w:val="none"/>
                      <w:lang w:val="en-US" w:eastAsia="zh-CN"/>
                    </w:rPr>
                  </w:pPr>
                  <w:r>
                    <w:rPr>
                      <w:rFonts w:hint="eastAsia"/>
                      <w:highlight w:val="none"/>
                      <w:lang w:val="en-US" w:eastAsia="zh-CN"/>
                    </w:rPr>
                    <w:t>储存位置</w:t>
                  </w:r>
                </w:p>
              </w:tc>
              <w:tc>
                <w:tcPr>
                  <w:tcW w:w="1504" w:type="dxa"/>
                  <w:noWrap w:val="0"/>
                  <w:vAlign w:val="center"/>
                </w:tcPr>
                <w:p>
                  <w:pPr>
                    <w:pStyle w:val="43"/>
                    <w:bidi w:val="0"/>
                    <w:jc w:val="center"/>
                    <w:rPr>
                      <w:rFonts w:hint="default"/>
                      <w:highlight w:val="none"/>
                      <w:lang w:val="en-US" w:eastAsia="zh-CN"/>
                    </w:rPr>
                  </w:pPr>
                  <w:r>
                    <w:rPr>
                      <w:rFonts w:hint="eastAsia"/>
                      <w:highlight w:val="none"/>
                      <w:lang w:val="en-US" w:eastAsia="zh-CN"/>
                    </w:rPr>
                    <w:t>来源</w:t>
                  </w:r>
                </w:p>
              </w:tc>
              <w:tc>
                <w:tcPr>
                  <w:tcW w:w="909" w:type="dxa"/>
                  <w:noWrap w:val="0"/>
                  <w:vAlign w:val="center"/>
                </w:tcPr>
                <w:p>
                  <w:pPr>
                    <w:pStyle w:val="43"/>
                    <w:bidi w:val="0"/>
                    <w:jc w:val="center"/>
                    <w:rPr>
                      <w:rFonts w:hint="default"/>
                      <w:highlight w:val="none"/>
                      <w:lang w:val="en-US" w:eastAsia="zh-CN"/>
                    </w:rPr>
                  </w:pPr>
                  <w:r>
                    <w:rPr>
                      <w:rFonts w:hint="eastAsia"/>
                      <w:highlight w:val="none"/>
                      <w:lang w:val="en-US" w:eastAsia="zh-CN"/>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1</w:t>
                  </w:r>
                </w:p>
              </w:tc>
              <w:tc>
                <w:tcPr>
                  <w:tcW w:w="819" w:type="dxa"/>
                  <w:vMerge w:val="restart"/>
                  <w:noWrap w:val="0"/>
                  <w:vAlign w:val="center"/>
                </w:tcPr>
                <w:p>
                  <w:pPr>
                    <w:pStyle w:val="43"/>
                    <w:bidi w:val="0"/>
                    <w:jc w:val="center"/>
                    <w:rPr>
                      <w:rFonts w:hint="eastAsia"/>
                      <w:highlight w:val="none"/>
                      <w:lang w:val="en-US" w:eastAsia="zh-CN"/>
                    </w:rPr>
                  </w:pPr>
                  <w:r>
                    <w:rPr>
                      <w:rFonts w:hint="eastAsia"/>
                      <w:highlight w:val="none"/>
                      <w:lang w:val="en-US" w:eastAsia="zh-CN"/>
                    </w:rPr>
                    <w:t>水泥预制件</w:t>
                  </w:r>
                </w:p>
              </w:tc>
              <w:tc>
                <w:tcPr>
                  <w:tcW w:w="1455" w:type="dxa"/>
                  <w:noWrap w:val="0"/>
                  <w:vAlign w:val="center"/>
                </w:tcPr>
                <w:p>
                  <w:pPr>
                    <w:jc w:val="center"/>
                    <w:rPr>
                      <w:rFonts w:hint="eastAsia"/>
                      <w:highlight w:val="none"/>
                      <w:lang w:val="en-US" w:eastAsia="zh-CN"/>
                    </w:rPr>
                  </w:pPr>
                  <w:r>
                    <w:t>沙子</w:t>
                  </w:r>
                </w:p>
              </w:tc>
              <w:tc>
                <w:tcPr>
                  <w:tcW w:w="810" w:type="dxa"/>
                  <w:noWrap w:val="0"/>
                  <w:vAlign w:val="center"/>
                </w:tcPr>
                <w:p>
                  <w:pPr>
                    <w:jc w:val="center"/>
                    <w:rPr>
                      <w:rFonts w:hint="eastAsia"/>
                      <w:highlight w:val="none"/>
                      <w:lang w:val="en-US" w:eastAsia="zh-CN"/>
                    </w:rPr>
                  </w:pPr>
                  <w:r>
                    <w:rPr>
                      <w:rFonts w:hint="eastAsia"/>
                      <w:lang w:val="en-US" w:eastAsia="zh-CN"/>
                    </w:rPr>
                    <w:t>700</w:t>
                  </w:r>
                  <w:r>
                    <w:rPr>
                      <w:rFonts w:hint="eastAsia"/>
                      <w:highlight w:val="none"/>
                      <w:lang w:val="en-US" w:eastAsia="zh-CN"/>
                    </w:rPr>
                    <w:t>t/a</w:t>
                  </w:r>
                </w:p>
              </w:tc>
              <w:tc>
                <w:tcPr>
                  <w:tcW w:w="1872" w:type="dxa"/>
                  <w:gridSpan w:val="2"/>
                  <w:noWrap w:val="0"/>
                  <w:vAlign w:val="center"/>
                </w:tcPr>
                <w:p>
                  <w:pPr>
                    <w:jc w:val="center"/>
                    <w:rPr>
                      <w:rFonts w:hint="eastAsia" w:eastAsia="宋体"/>
                      <w:highlight w:val="none"/>
                      <w:lang w:val="en-US" w:eastAsia="zh-CN"/>
                    </w:rPr>
                  </w:pPr>
                  <w:r>
                    <w:t>全封闭</w:t>
                  </w:r>
                  <w:r>
                    <w:rPr>
                      <w:rFonts w:hint="eastAsia"/>
                      <w:lang w:val="en-US" w:eastAsia="zh-CN"/>
                    </w:rPr>
                    <w:t>库房</w:t>
                  </w:r>
                </w:p>
              </w:tc>
              <w:tc>
                <w:tcPr>
                  <w:tcW w:w="1504" w:type="dxa"/>
                  <w:noWrap w:val="0"/>
                  <w:vAlign w:val="center"/>
                </w:tcPr>
                <w:p>
                  <w:pPr>
                    <w:jc w:val="center"/>
                    <w:rPr>
                      <w:rFonts w:hint="eastAsia"/>
                      <w:highlight w:val="none"/>
                      <w:lang w:val="en-US" w:eastAsia="zh-CN"/>
                    </w:rPr>
                  </w:pPr>
                  <w:r>
                    <w:t>外购</w:t>
                  </w:r>
                </w:p>
              </w:tc>
              <w:tc>
                <w:tcPr>
                  <w:tcW w:w="909" w:type="dxa"/>
                  <w:noWrap w:val="0"/>
                  <w:vAlign w:val="center"/>
                </w:tcPr>
                <w:p>
                  <w:pPr>
                    <w:pStyle w:val="43"/>
                    <w:bidi w:val="0"/>
                    <w:jc w:val="center"/>
                    <w:rPr>
                      <w:rFonts w:hint="eastAsia"/>
                      <w:highlight w:val="none"/>
                      <w:lang w:val="en-US" w:eastAsia="zh-CN"/>
                    </w:rPr>
                  </w:pPr>
                  <w:r>
                    <w:rPr>
                      <w:rFonts w:hint="eastAsia" w:ascii="Times New Roman" w:hAnsi="Times New Roman" w:cs="Times New Roman"/>
                      <w:highlight w:val="none"/>
                      <w:lang w:val="en-US" w:eastAsia="zh-CN"/>
                    </w:rPr>
                    <w:t>50t自卸汽车运输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2</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t>石子</w:t>
                  </w:r>
                </w:p>
              </w:tc>
              <w:tc>
                <w:tcPr>
                  <w:tcW w:w="810" w:type="dxa"/>
                  <w:noWrap w:val="0"/>
                  <w:vAlign w:val="center"/>
                </w:tcPr>
                <w:p>
                  <w:pPr>
                    <w:jc w:val="center"/>
                    <w:rPr>
                      <w:rFonts w:hint="eastAsia"/>
                      <w:highlight w:val="none"/>
                      <w:lang w:val="en-US" w:eastAsia="zh-CN"/>
                    </w:rPr>
                  </w:pPr>
                  <w:r>
                    <w:rPr>
                      <w:rFonts w:hint="eastAsia"/>
                      <w:lang w:val="en-US" w:eastAsia="zh-CN"/>
                    </w:rPr>
                    <w:t>1300</w:t>
                  </w:r>
                  <w:r>
                    <w:rPr>
                      <w:rFonts w:hint="eastAsia"/>
                      <w:highlight w:val="none"/>
                      <w:lang w:val="en-US" w:eastAsia="zh-CN"/>
                    </w:rPr>
                    <w:t>t/a</w:t>
                  </w:r>
                </w:p>
              </w:tc>
              <w:tc>
                <w:tcPr>
                  <w:tcW w:w="1872" w:type="dxa"/>
                  <w:gridSpan w:val="2"/>
                  <w:noWrap w:val="0"/>
                  <w:vAlign w:val="center"/>
                </w:tcPr>
                <w:p>
                  <w:pPr>
                    <w:jc w:val="center"/>
                    <w:rPr>
                      <w:rFonts w:hint="eastAsia"/>
                      <w:highlight w:val="none"/>
                      <w:lang w:val="en-US" w:eastAsia="zh-CN"/>
                    </w:rPr>
                  </w:pPr>
                  <w:r>
                    <w:t>露天堆场</w:t>
                  </w:r>
                </w:p>
              </w:tc>
              <w:tc>
                <w:tcPr>
                  <w:tcW w:w="1504" w:type="dxa"/>
                  <w:noWrap w:val="0"/>
                  <w:vAlign w:val="center"/>
                </w:tcPr>
                <w:p>
                  <w:pPr>
                    <w:jc w:val="center"/>
                    <w:rPr>
                      <w:rFonts w:hint="eastAsia"/>
                      <w:highlight w:val="none"/>
                      <w:lang w:val="en-US" w:eastAsia="zh-CN"/>
                    </w:rPr>
                  </w:pPr>
                  <w:r>
                    <w:t>砂石料厂外购</w:t>
                  </w:r>
                </w:p>
              </w:tc>
              <w:tc>
                <w:tcPr>
                  <w:tcW w:w="909" w:type="dxa"/>
                  <w:noWrap w:val="0"/>
                  <w:vAlign w:val="center"/>
                </w:tcPr>
                <w:p>
                  <w:pPr>
                    <w:pStyle w:val="43"/>
                    <w:bidi w:val="0"/>
                    <w:jc w:val="center"/>
                    <w:rPr>
                      <w:rFonts w:hint="eastAsia"/>
                      <w:highlight w:val="none"/>
                      <w:lang w:val="en-US" w:eastAsia="zh-CN"/>
                    </w:rPr>
                  </w:pPr>
                  <w:r>
                    <w:rPr>
                      <w:rFonts w:hint="eastAsia" w:ascii="Times New Roman" w:hAnsi="Times New Roman" w:cs="Times New Roman"/>
                      <w:highlight w:val="none"/>
                      <w:lang w:val="en-US" w:eastAsia="zh-CN"/>
                    </w:rPr>
                    <w:t>50t自卸汽车运输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3</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t>水泥</w:t>
                  </w:r>
                </w:p>
              </w:tc>
              <w:tc>
                <w:tcPr>
                  <w:tcW w:w="810" w:type="dxa"/>
                  <w:noWrap w:val="0"/>
                  <w:vAlign w:val="center"/>
                </w:tcPr>
                <w:p>
                  <w:pPr>
                    <w:jc w:val="center"/>
                    <w:rPr>
                      <w:rFonts w:hint="eastAsia"/>
                      <w:highlight w:val="none"/>
                      <w:lang w:val="en-US" w:eastAsia="zh-CN"/>
                    </w:rPr>
                  </w:pPr>
                  <w:r>
                    <w:rPr>
                      <w:rFonts w:hint="eastAsia"/>
                      <w:lang w:val="en-US" w:eastAsia="zh-CN"/>
                    </w:rPr>
                    <w:t>400</w:t>
                  </w:r>
                  <w:r>
                    <w:rPr>
                      <w:rFonts w:hint="eastAsia"/>
                      <w:highlight w:val="none"/>
                      <w:lang w:val="en-US" w:eastAsia="zh-CN"/>
                    </w:rPr>
                    <w:t>t/a</w:t>
                  </w:r>
                </w:p>
              </w:tc>
              <w:tc>
                <w:tcPr>
                  <w:tcW w:w="1872" w:type="dxa"/>
                  <w:gridSpan w:val="2"/>
                  <w:noWrap w:val="0"/>
                  <w:vAlign w:val="center"/>
                </w:tcPr>
                <w:p>
                  <w:pPr>
                    <w:jc w:val="center"/>
                    <w:rPr>
                      <w:rFonts w:hint="eastAsia"/>
                      <w:highlight w:val="none"/>
                      <w:lang w:val="en-US" w:eastAsia="zh-CN"/>
                    </w:rPr>
                  </w:pPr>
                  <w:r>
                    <w:t>全封闭</w:t>
                  </w:r>
                  <w:r>
                    <w:rPr>
                      <w:rFonts w:hint="eastAsia"/>
                      <w:lang w:val="en-US" w:eastAsia="zh-CN"/>
                    </w:rPr>
                    <w:t>水泥仓，2座，自带除尘器</w:t>
                  </w:r>
                </w:p>
              </w:tc>
              <w:tc>
                <w:tcPr>
                  <w:tcW w:w="1504" w:type="dxa"/>
                  <w:noWrap w:val="0"/>
                  <w:vAlign w:val="center"/>
                </w:tcPr>
                <w:p>
                  <w:pPr>
                    <w:jc w:val="center"/>
                    <w:rPr>
                      <w:rFonts w:hint="eastAsia"/>
                      <w:highlight w:val="none"/>
                      <w:lang w:val="en-US" w:eastAsia="zh-CN"/>
                    </w:rPr>
                  </w:pPr>
                  <w:r>
                    <w:t>外购</w:t>
                  </w:r>
                  <w:r>
                    <w:rPr>
                      <w:rFonts w:hint="eastAsia"/>
                      <w:lang w:eastAsia="zh-CN"/>
                    </w:rPr>
                    <w:t>，</w:t>
                  </w:r>
                  <w:r>
                    <w:t>通用硅酸盐水泥R0007</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4</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t>氧化铁颜料</w:t>
                  </w:r>
                </w:p>
              </w:tc>
              <w:tc>
                <w:tcPr>
                  <w:tcW w:w="810" w:type="dxa"/>
                  <w:noWrap w:val="0"/>
                  <w:vAlign w:val="center"/>
                </w:tcPr>
                <w:p>
                  <w:pPr>
                    <w:jc w:val="center"/>
                    <w:rPr>
                      <w:rFonts w:hint="eastAsia"/>
                      <w:highlight w:val="none"/>
                      <w:lang w:val="en-US" w:eastAsia="zh-CN"/>
                    </w:rPr>
                  </w:pPr>
                  <w:r>
                    <w:rPr>
                      <w:rFonts w:hint="eastAsia"/>
                      <w:lang w:val="en-US" w:eastAsia="zh-CN"/>
                    </w:rPr>
                    <w:t>1</w:t>
                  </w:r>
                  <w:r>
                    <w:rPr>
                      <w:rFonts w:hint="eastAsia"/>
                      <w:highlight w:val="none"/>
                      <w:lang w:val="en-US" w:eastAsia="zh-CN"/>
                    </w:rPr>
                    <w:t>t/a</w:t>
                  </w:r>
                </w:p>
              </w:tc>
              <w:tc>
                <w:tcPr>
                  <w:tcW w:w="1872" w:type="dxa"/>
                  <w:gridSpan w:val="2"/>
                  <w:noWrap w:val="0"/>
                  <w:vAlign w:val="center"/>
                </w:tcPr>
                <w:p>
                  <w:pPr>
                    <w:jc w:val="center"/>
                    <w:rPr>
                      <w:rFonts w:hint="eastAsia"/>
                      <w:highlight w:val="none"/>
                      <w:lang w:val="en-US" w:eastAsia="zh-CN"/>
                    </w:rPr>
                  </w:pPr>
                  <w:r>
                    <w:t>全封闭</w:t>
                  </w:r>
                  <w:r>
                    <w:rPr>
                      <w:rFonts w:hint="eastAsia"/>
                      <w:lang w:val="en-US" w:eastAsia="zh-CN"/>
                    </w:rPr>
                    <w:t>库房</w:t>
                  </w:r>
                </w:p>
              </w:tc>
              <w:tc>
                <w:tcPr>
                  <w:tcW w:w="1504" w:type="dxa"/>
                  <w:noWrap w:val="0"/>
                  <w:vAlign w:val="center"/>
                </w:tcPr>
                <w:p>
                  <w:pPr>
                    <w:jc w:val="center"/>
                    <w:rPr>
                      <w:rFonts w:hint="eastAsia"/>
                      <w:highlight w:val="none"/>
                      <w:lang w:val="en-US" w:eastAsia="zh-CN"/>
                    </w:rPr>
                  </w:pPr>
                  <w:r>
                    <w:t>外购</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5</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t>钢筋</w:t>
                  </w:r>
                </w:p>
              </w:tc>
              <w:tc>
                <w:tcPr>
                  <w:tcW w:w="810" w:type="dxa"/>
                  <w:noWrap w:val="0"/>
                  <w:vAlign w:val="center"/>
                </w:tcPr>
                <w:p>
                  <w:pPr>
                    <w:jc w:val="center"/>
                    <w:rPr>
                      <w:rFonts w:hint="eastAsia"/>
                      <w:highlight w:val="none"/>
                      <w:lang w:val="en-US" w:eastAsia="zh-CN"/>
                    </w:rPr>
                  </w:pPr>
                  <w:r>
                    <w:rPr>
                      <w:rFonts w:hint="eastAsia"/>
                      <w:lang w:val="en-US" w:eastAsia="zh-CN"/>
                    </w:rPr>
                    <w:t>2</w:t>
                  </w:r>
                  <w:r>
                    <w:rPr>
                      <w:rFonts w:hint="eastAsia"/>
                      <w:highlight w:val="none"/>
                      <w:lang w:val="en-US" w:eastAsia="zh-CN"/>
                    </w:rPr>
                    <w:t>t/a</w:t>
                  </w:r>
                </w:p>
              </w:tc>
              <w:tc>
                <w:tcPr>
                  <w:tcW w:w="1872" w:type="dxa"/>
                  <w:gridSpan w:val="2"/>
                  <w:noWrap w:val="0"/>
                  <w:vAlign w:val="center"/>
                </w:tcPr>
                <w:p>
                  <w:pPr>
                    <w:jc w:val="center"/>
                    <w:rPr>
                      <w:rFonts w:hint="eastAsia"/>
                      <w:highlight w:val="none"/>
                      <w:lang w:val="en-US" w:eastAsia="zh-CN"/>
                    </w:rPr>
                  </w:pPr>
                  <w:r>
                    <w:t>空心板、水泥柱养护区</w:t>
                  </w:r>
                </w:p>
              </w:tc>
              <w:tc>
                <w:tcPr>
                  <w:tcW w:w="1504" w:type="dxa"/>
                  <w:noWrap w:val="0"/>
                  <w:vAlign w:val="center"/>
                </w:tcPr>
                <w:p>
                  <w:pPr>
                    <w:jc w:val="center"/>
                    <w:rPr>
                      <w:rFonts w:hint="eastAsia"/>
                      <w:highlight w:val="none"/>
                      <w:lang w:val="en-US" w:eastAsia="zh-CN"/>
                    </w:rPr>
                  </w:pPr>
                  <w:r>
                    <w:t>外购</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6</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eastAsia="宋体"/>
                      <w:highlight w:val="none"/>
                      <w:lang w:val="en-US" w:eastAsia="zh-CN"/>
                    </w:rPr>
                  </w:pPr>
                  <w:r>
                    <w:t>脱模剂</w:t>
                  </w:r>
                  <w:r>
                    <w:rPr>
                      <w:rFonts w:hint="eastAsia"/>
                      <w:lang w:eastAsia="zh-CN"/>
                    </w:rPr>
                    <w:t>（</w:t>
                  </w:r>
                  <w:r>
                    <w:rPr>
                      <w:rFonts w:hint="eastAsia"/>
                      <w:lang w:val="en-US" w:eastAsia="zh-CN"/>
                    </w:rPr>
                    <w:t>采用水性脱模剂</w:t>
                  </w:r>
                  <w:r>
                    <w:rPr>
                      <w:rFonts w:hint="eastAsia"/>
                      <w:lang w:eastAsia="zh-CN"/>
                    </w:rPr>
                    <w:t>）</w:t>
                  </w:r>
                </w:p>
              </w:tc>
              <w:tc>
                <w:tcPr>
                  <w:tcW w:w="810" w:type="dxa"/>
                  <w:noWrap w:val="0"/>
                  <w:vAlign w:val="center"/>
                </w:tcPr>
                <w:p>
                  <w:pPr>
                    <w:jc w:val="center"/>
                    <w:rPr>
                      <w:rFonts w:hint="eastAsia"/>
                      <w:highlight w:val="none"/>
                      <w:lang w:val="en-US" w:eastAsia="zh-CN"/>
                    </w:rPr>
                  </w:pPr>
                  <w:r>
                    <w:rPr>
                      <w:rFonts w:hint="eastAsia"/>
                      <w:lang w:val="en-US" w:eastAsia="zh-CN"/>
                    </w:rPr>
                    <w:t>0.5</w:t>
                  </w:r>
                  <w:r>
                    <w:rPr>
                      <w:rFonts w:hint="eastAsia"/>
                      <w:highlight w:val="none"/>
                      <w:lang w:val="en-US" w:eastAsia="zh-CN"/>
                    </w:rPr>
                    <w:t>t/a</w:t>
                  </w:r>
                </w:p>
              </w:tc>
              <w:tc>
                <w:tcPr>
                  <w:tcW w:w="1872" w:type="dxa"/>
                  <w:gridSpan w:val="2"/>
                  <w:noWrap w:val="0"/>
                  <w:vAlign w:val="center"/>
                </w:tcPr>
                <w:p>
                  <w:pPr>
                    <w:jc w:val="center"/>
                    <w:rPr>
                      <w:rFonts w:hint="eastAsia"/>
                      <w:highlight w:val="none"/>
                      <w:lang w:val="en-US" w:eastAsia="zh-CN"/>
                    </w:rPr>
                  </w:pPr>
                  <w:r>
                    <w:t>全封闭</w:t>
                  </w:r>
                  <w:r>
                    <w:rPr>
                      <w:rFonts w:hint="eastAsia"/>
                      <w:lang w:val="en-US" w:eastAsia="zh-CN"/>
                    </w:rPr>
                    <w:t>库房</w:t>
                  </w:r>
                </w:p>
              </w:tc>
              <w:tc>
                <w:tcPr>
                  <w:tcW w:w="1504" w:type="dxa"/>
                  <w:noWrap w:val="0"/>
                  <w:vAlign w:val="center"/>
                </w:tcPr>
                <w:p>
                  <w:pPr>
                    <w:jc w:val="center"/>
                    <w:rPr>
                      <w:rFonts w:hint="eastAsia"/>
                      <w:highlight w:val="none"/>
                      <w:lang w:val="en-US" w:eastAsia="zh-CN"/>
                    </w:rPr>
                  </w:pPr>
                  <w:r>
                    <w:t>外购</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7</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t>模具</w:t>
                  </w:r>
                </w:p>
              </w:tc>
              <w:tc>
                <w:tcPr>
                  <w:tcW w:w="810" w:type="dxa"/>
                  <w:noWrap w:val="0"/>
                  <w:vAlign w:val="center"/>
                </w:tcPr>
                <w:p>
                  <w:pPr>
                    <w:jc w:val="center"/>
                    <w:rPr>
                      <w:rFonts w:hint="default"/>
                      <w:highlight w:val="none"/>
                      <w:lang w:val="en-US" w:eastAsia="zh-CN"/>
                    </w:rPr>
                  </w:pPr>
                  <w:r>
                    <w:rPr>
                      <w:rFonts w:hint="eastAsia"/>
                      <w:lang w:val="en-US" w:eastAsia="zh-CN"/>
                    </w:rPr>
                    <w:t>2套</w:t>
                  </w:r>
                </w:p>
              </w:tc>
              <w:tc>
                <w:tcPr>
                  <w:tcW w:w="1872" w:type="dxa"/>
                  <w:gridSpan w:val="2"/>
                  <w:noWrap w:val="0"/>
                  <w:vAlign w:val="center"/>
                </w:tcPr>
                <w:p>
                  <w:pPr>
                    <w:jc w:val="center"/>
                    <w:rPr>
                      <w:rFonts w:hint="eastAsia"/>
                      <w:highlight w:val="none"/>
                      <w:lang w:val="en-US" w:eastAsia="zh-CN"/>
                    </w:rPr>
                  </w:pPr>
                  <w:r>
                    <w:t>成品养护区</w:t>
                  </w:r>
                </w:p>
              </w:tc>
              <w:tc>
                <w:tcPr>
                  <w:tcW w:w="1504" w:type="dxa"/>
                  <w:noWrap w:val="0"/>
                  <w:vAlign w:val="center"/>
                </w:tcPr>
                <w:p>
                  <w:pPr>
                    <w:jc w:val="center"/>
                    <w:rPr>
                      <w:rFonts w:hint="eastAsia"/>
                      <w:highlight w:val="none"/>
                      <w:lang w:val="en-US" w:eastAsia="zh-CN"/>
                    </w:rPr>
                  </w:pPr>
                  <w:r>
                    <w:t>外购、根据客户需求尺寸定做</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8</w:t>
                  </w:r>
                </w:p>
              </w:tc>
              <w:tc>
                <w:tcPr>
                  <w:tcW w:w="819" w:type="dxa"/>
                  <w:vMerge w:val="continue"/>
                  <w:noWrap w:val="0"/>
                  <w:vAlign w:val="center"/>
                </w:tcPr>
                <w:p>
                  <w:pPr>
                    <w:pStyle w:val="43"/>
                    <w:bidi w:val="0"/>
                    <w:jc w:val="center"/>
                    <w:rPr>
                      <w:rFonts w:hint="eastAsia"/>
                      <w:highlight w:val="none"/>
                      <w:lang w:val="en-US" w:eastAsia="zh-CN"/>
                    </w:rPr>
                  </w:pPr>
                </w:p>
              </w:tc>
              <w:tc>
                <w:tcPr>
                  <w:tcW w:w="1455" w:type="dxa"/>
                  <w:noWrap w:val="0"/>
                  <w:vAlign w:val="center"/>
                </w:tcPr>
                <w:p>
                  <w:pPr>
                    <w:jc w:val="center"/>
                    <w:rPr>
                      <w:rFonts w:hint="eastAsia"/>
                      <w:highlight w:val="none"/>
                      <w:lang w:val="en-US" w:eastAsia="zh-CN"/>
                    </w:rPr>
                  </w:pPr>
                  <w:r>
                    <w:rPr>
                      <w:rFonts w:hint="eastAsia"/>
                      <w:lang w:val="en-US" w:eastAsia="zh-CN"/>
                    </w:rPr>
                    <w:t>液压</w:t>
                  </w:r>
                  <w:r>
                    <w:t>油</w:t>
                  </w:r>
                </w:p>
              </w:tc>
              <w:tc>
                <w:tcPr>
                  <w:tcW w:w="810" w:type="dxa"/>
                  <w:noWrap w:val="0"/>
                  <w:vAlign w:val="center"/>
                </w:tcPr>
                <w:p>
                  <w:pPr>
                    <w:jc w:val="center"/>
                    <w:rPr>
                      <w:rFonts w:hint="eastAsia"/>
                      <w:highlight w:val="none"/>
                      <w:lang w:val="en-US" w:eastAsia="zh-CN"/>
                    </w:rPr>
                  </w:pPr>
                  <w:r>
                    <w:rPr>
                      <w:rFonts w:hint="eastAsia"/>
                      <w:lang w:val="en-US" w:eastAsia="zh-CN"/>
                    </w:rPr>
                    <w:t>0.5</w:t>
                  </w:r>
                  <w:r>
                    <w:rPr>
                      <w:rFonts w:hint="eastAsia"/>
                      <w:highlight w:val="none"/>
                      <w:lang w:val="en-US" w:eastAsia="zh-CN"/>
                    </w:rPr>
                    <w:t>t/3a</w:t>
                  </w:r>
                </w:p>
              </w:tc>
              <w:tc>
                <w:tcPr>
                  <w:tcW w:w="1872" w:type="dxa"/>
                  <w:gridSpan w:val="2"/>
                  <w:noWrap w:val="0"/>
                  <w:vAlign w:val="center"/>
                </w:tcPr>
                <w:p>
                  <w:pPr>
                    <w:jc w:val="center"/>
                    <w:rPr>
                      <w:rFonts w:hint="eastAsia"/>
                      <w:highlight w:val="none"/>
                      <w:lang w:val="en-US" w:eastAsia="zh-CN"/>
                    </w:rPr>
                  </w:pPr>
                  <w:r>
                    <w:t>生产车间</w:t>
                  </w:r>
                </w:p>
              </w:tc>
              <w:tc>
                <w:tcPr>
                  <w:tcW w:w="1504" w:type="dxa"/>
                  <w:noWrap w:val="0"/>
                  <w:vAlign w:val="center"/>
                </w:tcPr>
                <w:p>
                  <w:pPr>
                    <w:jc w:val="center"/>
                    <w:rPr>
                      <w:rFonts w:hint="eastAsia"/>
                      <w:highlight w:val="none"/>
                      <w:lang w:val="en-US" w:eastAsia="zh-CN"/>
                    </w:rPr>
                  </w:pPr>
                  <w:r>
                    <w:t>外购，100kg/桶，设备使用</w:t>
                  </w:r>
                </w:p>
              </w:tc>
              <w:tc>
                <w:tcPr>
                  <w:tcW w:w="909" w:type="dxa"/>
                  <w:noWrap w:val="0"/>
                  <w:vAlign w:val="center"/>
                </w:tcPr>
                <w:p>
                  <w:pPr>
                    <w:pStyle w:val="43"/>
                    <w:bidi w:val="0"/>
                    <w:jc w:val="center"/>
                    <w:rPr>
                      <w:rFonts w:hint="eastAsia"/>
                      <w:highlight w:val="none"/>
                      <w:lang w:val="en-US" w:eastAsia="zh-CN"/>
                    </w:rPr>
                  </w:pPr>
                  <w:r>
                    <w:rPr>
                      <w:rFonts w:hint="eastAsia"/>
                      <w:highlight w:val="no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4" w:type="dxa"/>
                  <w:gridSpan w:val="8"/>
                  <w:noWrap w:val="0"/>
                  <w:vAlign w:val="center"/>
                </w:tcPr>
                <w:p>
                  <w:pPr>
                    <w:pStyle w:val="43"/>
                    <w:bidi w:val="0"/>
                    <w:jc w:val="center"/>
                    <w:rPr>
                      <w:rFonts w:hint="default"/>
                      <w:highlight w:val="none"/>
                      <w:lang w:val="en-US" w:eastAsia="zh-CN"/>
                    </w:rPr>
                  </w:pPr>
                  <w:r>
                    <w:rPr>
                      <w:rFonts w:hint="eastAsia"/>
                      <w:highlight w:val="none"/>
                      <w:lang w:val="en-US" w:eastAsia="zh-CN"/>
                    </w:rPr>
                    <w:t>能源及资源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1</w:t>
                  </w:r>
                </w:p>
              </w:tc>
              <w:tc>
                <w:tcPr>
                  <w:tcW w:w="819" w:type="dxa"/>
                  <w:noWrap w:val="0"/>
                  <w:vAlign w:val="center"/>
                </w:tcPr>
                <w:p>
                  <w:pPr>
                    <w:pStyle w:val="43"/>
                    <w:bidi w:val="0"/>
                    <w:jc w:val="center"/>
                    <w:rPr>
                      <w:rFonts w:hint="default"/>
                      <w:highlight w:val="none"/>
                      <w:lang w:val="en-US" w:eastAsia="zh-CN"/>
                    </w:rPr>
                  </w:pPr>
                  <w:r>
                    <w:rPr>
                      <w:rFonts w:hint="eastAsia"/>
                      <w:highlight w:val="none"/>
                      <w:lang w:val="en-US" w:eastAsia="zh-CN"/>
                    </w:rPr>
                    <w:t>水</w:t>
                  </w:r>
                </w:p>
              </w:tc>
              <w:tc>
                <w:tcPr>
                  <w:tcW w:w="3675" w:type="dxa"/>
                  <w:gridSpan w:val="3"/>
                  <w:noWrap w:val="0"/>
                  <w:vAlign w:val="center"/>
                </w:tcPr>
                <w:p>
                  <w:pPr>
                    <w:pStyle w:val="43"/>
                    <w:bidi w:val="0"/>
                    <w:jc w:val="center"/>
                    <w:rPr>
                      <w:rFonts w:hint="default"/>
                      <w:highlight w:val="none"/>
                      <w:lang w:val="en-US" w:eastAsia="zh-CN"/>
                    </w:rPr>
                  </w:pPr>
                  <w:r>
                    <w:rPr>
                      <w:rFonts w:hint="eastAsia"/>
                      <w:highlight w:val="none"/>
                      <w:lang w:val="en-US" w:eastAsia="zh-CN"/>
                    </w:rPr>
                    <w:t>5468.06t/a</w:t>
                  </w:r>
                </w:p>
              </w:tc>
              <w:tc>
                <w:tcPr>
                  <w:tcW w:w="2875" w:type="dxa"/>
                  <w:gridSpan w:val="3"/>
                  <w:noWrap w:val="0"/>
                  <w:vAlign w:val="center"/>
                </w:tcPr>
                <w:p>
                  <w:pPr>
                    <w:pStyle w:val="43"/>
                    <w:bidi w:val="0"/>
                    <w:jc w:val="center"/>
                    <w:rPr>
                      <w:rFonts w:hint="default"/>
                      <w:highlight w:val="none"/>
                      <w:lang w:val="en-US" w:eastAsia="zh-CN"/>
                    </w:rPr>
                  </w:pPr>
                  <w:r>
                    <w:rPr>
                      <w:rFonts w:hint="eastAsia"/>
                      <w:highlight w:val="none"/>
                      <w:lang w:val="en-US" w:eastAsia="zh-CN"/>
                    </w:rPr>
                    <w:t>市政供水系统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noWrap w:val="0"/>
                  <w:vAlign w:val="center"/>
                </w:tcPr>
                <w:p>
                  <w:pPr>
                    <w:pStyle w:val="43"/>
                    <w:bidi w:val="0"/>
                    <w:jc w:val="center"/>
                    <w:rPr>
                      <w:rFonts w:hint="default"/>
                      <w:highlight w:val="none"/>
                      <w:lang w:val="en-US" w:eastAsia="zh-CN"/>
                    </w:rPr>
                  </w:pPr>
                  <w:r>
                    <w:rPr>
                      <w:rFonts w:hint="eastAsia"/>
                      <w:highlight w:val="none"/>
                      <w:lang w:val="en-US" w:eastAsia="zh-CN"/>
                    </w:rPr>
                    <w:t>2</w:t>
                  </w:r>
                </w:p>
              </w:tc>
              <w:tc>
                <w:tcPr>
                  <w:tcW w:w="819" w:type="dxa"/>
                  <w:noWrap w:val="0"/>
                  <w:vAlign w:val="center"/>
                </w:tcPr>
                <w:p>
                  <w:pPr>
                    <w:pStyle w:val="43"/>
                    <w:bidi w:val="0"/>
                    <w:jc w:val="center"/>
                    <w:rPr>
                      <w:rFonts w:hint="default"/>
                      <w:highlight w:val="none"/>
                      <w:lang w:val="en-US" w:eastAsia="zh-CN"/>
                    </w:rPr>
                  </w:pPr>
                  <w:r>
                    <w:rPr>
                      <w:rFonts w:hint="eastAsia"/>
                      <w:highlight w:val="none"/>
                      <w:lang w:val="en-US" w:eastAsia="zh-CN"/>
                    </w:rPr>
                    <w:t>电</w:t>
                  </w:r>
                </w:p>
              </w:tc>
              <w:tc>
                <w:tcPr>
                  <w:tcW w:w="3675" w:type="dxa"/>
                  <w:gridSpan w:val="3"/>
                  <w:noWrap w:val="0"/>
                  <w:vAlign w:val="center"/>
                </w:tcPr>
                <w:p>
                  <w:pPr>
                    <w:pStyle w:val="43"/>
                    <w:bidi w:val="0"/>
                    <w:jc w:val="center"/>
                    <w:rPr>
                      <w:rFonts w:hint="default" w:eastAsia="宋体"/>
                      <w:highlight w:val="none"/>
                      <w:lang w:val="en-US" w:eastAsia="zh-CN"/>
                    </w:rPr>
                  </w:pPr>
                  <w:r>
                    <w:rPr>
                      <w:rFonts w:hint="eastAsia"/>
                      <w:highlight w:val="none"/>
                      <w:lang w:val="en-US" w:eastAsia="zh-CN"/>
                    </w:rPr>
                    <w:t>300</w:t>
                  </w:r>
                  <w:r>
                    <w:rPr>
                      <w:highlight w:val="none"/>
                    </w:rPr>
                    <w:t>万kWh</w:t>
                  </w:r>
                  <w:r>
                    <w:rPr>
                      <w:rFonts w:hint="eastAsia"/>
                      <w:highlight w:val="none"/>
                      <w:lang w:val="en-US" w:eastAsia="zh-CN"/>
                    </w:rPr>
                    <w:t>/a</w:t>
                  </w:r>
                </w:p>
              </w:tc>
              <w:tc>
                <w:tcPr>
                  <w:tcW w:w="2875" w:type="dxa"/>
                  <w:gridSpan w:val="3"/>
                  <w:noWrap w:val="0"/>
                  <w:vAlign w:val="center"/>
                </w:tcPr>
                <w:p>
                  <w:pPr>
                    <w:pStyle w:val="43"/>
                    <w:bidi w:val="0"/>
                    <w:jc w:val="center"/>
                    <w:rPr>
                      <w:rFonts w:hint="eastAsia"/>
                      <w:highlight w:val="none"/>
                      <w:lang w:val="en-US" w:eastAsia="zh-CN"/>
                    </w:rPr>
                  </w:pPr>
                  <w:r>
                    <w:rPr>
                      <w:rFonts w:hint="eastAsia"/>
                      <w:highlight w:val="none"/>
                      <w:lang w:val="en-US" w:eastAsia="zh-CN"/>
                    </w:rPr>
                    <w:t>市政供电系统</w:t>
                  </w:r>
                </w:p>
              </w:tc>
            </w:tr>
          </w:tbl>
          <w:p>
            <w:pPr>
              <w:pStyle w:val="44"/>
              <w:bidi w:val="0"/>
              <w:rPr>
                <w:rFonts w:hint="default"/>
                <w:highlight w:val="none"/>
                <w:lang w:val="en-US" w:eastAsia="zh-CN"/>
              </w:rPr>
            </w:pPr>
          </w:p>
          <w:p>
            <w:pPr>
              <w:pStyle w:val="44"/>
              <w:bidi w:val="0"/>
              <w:rPr>
                <w:rFonts w:hint="default"/>
                <w:highlight w:val="none"/>
                <w:lang w:val="en-US" w:eastAsia="zh-CN"/>
              </w:rPr>
            </w:pPr>
            <w:r>
              <w:rPr>
                <w:rFonts w:hint="default"/>
                <w:highlight w:val="none"/>
                <w:lang w:val="en-US" w:eastAsia="zh-CN"/>
              </w:rPr>
              <w:t>主要原辅料简介：</w:t>
            </w:r>
          </w:p>
          <w:p>
            <w:pPr>
              <w:pStyle w:val="44"/>
              <w:bidi w:val="0"/>
              <w:rPr>
                <w:rFonts w:hint="default"/>
                <w:highlight w:val="none"/>
                <w:lang w:val="en-US" w:eastAsia="zh-CN"/>
              </w:rPr>
            </w:pPr>
            <w:r>
              <w:rPr>
                <w:rFonts w:hint="default"/>
                <w:highlight w:val="none"/>
                <w:lang w:val="en-US" w:eastAsia="zh-CN"/>
              </w:rPr>
              <w:t>（</w:t>
            </w:r>
            <w:r>
              <w:rPr>
                <w:rFonts w:hint="eastAsia"/>
                <w:highlight w:val="none"/>
                <w:lang w:val="en-US" w:eastAsia="zh-CN"/>
              </w:rPr>
              <w:t>1</w:t>
            </w:r>
            <w:r>
              <w:rPr>
                <w:rFonts w:hint="default"/>
                <w:highlight w:val="none"/>
                <w:lang w:val="en-US" w:eastAsia="zh-CN"/>
              </w:rPr>
              <w:t>）水泥：粉状水硬性无机胶凝材料。加水搅拌后成浆体，能在空气中硬化或者在水中更好</w:t>
            </w:r>
            <w:r>
              <w:rPr>
                <w:rFonts w:hint="eastAsia"/>
                <w:highlight w:val="none"/>
                <w:lang w:val="en-US" w:eastAsia="zh-CN"/>
              </w:rPr>
              <w:t>地</w:t>
            </w:r>
            <w:r>
              <w:rPr>
                <w:rFonts w:hint="default"/>
                <w:highlight w:val="none"/>
                <w:lang w:val="en-US" w:eastAsia="zh-CN"/>
              </w:rPr>
              <w:t>硬化，并能把砂、石等材料牢固地胶结在一起。用它胶结碎石制成的混凝土，硬化后不但强度较高，而且还能抵抗淡水或含盐水的侵蚀。</w:t>
            </w:r>
          </w:p>
          <w:p>
            <w:pPr>
              <w:pStyle w:val="44"/>
              <w:bidi w:val="0"/>
              <w:rPr>
                <w:rFonts w:hint="default"/>
                <w:highlight w:val="none"/>
                <w:lang w:val="en-US" w:eastAsia="zh-CN"/>
              </w:rPr>
            </w:pPr>
            <w:r>
              <w:rPr>
                <w:rFonts w:hint="default"/>
                <w:highlight w:val="none"/>
                <w:lang w:val="en-US" w:eastAsia="zh-CN"/>
              </w:rPr>
              <w:t>（</w:t>
            </w:r>
            <w:r>
              <w:rPr>
                <w:rFonts w:hint="eastAsia"/>
                <w:highlight w:val="none"/>
                <w:lang w:val="en-US" w:eastAsia="zh-CN"/>
              </w:rPr>
              <w:t>2</w:t>
            </w:r>
            <w:r>
              <w:rPr>
                <w:rFonts w:hint="default"/>
                <w:highlight w:val="none"/>
                <w:lang w:val="en-US" w:eastAsia="zh-CN"/>
              </w:rPr>
              <w:t>）水性脱模剂：主要成分为甲基硅油的乳白色粘稠液体，密度为0.96</w:t>
            </w:r>
            <w:r>
              <w:rPr>
                <w:rFonts w:hint="eastAsia"/>
                <w:highlight w:val="none"/>
                <w:lang w:val="en-US" w:eastAsia="zh-CN"/>
              </w:rPr>
              <w:t>～</w:t>
            </w:r>
            <w:r>
              <w:rPr>
                <w:rFonts w:hint="default"/>
                <w:highlight w:val="none"/>
                <w:lang w:val="en-US" w:eastAsia="zh-CN"/>
              </w:rPr>
              <w:t>1.04g/mL，pH值6~8（1%水溶液），原液或稀释后的水溶液可长期保持稳定，该脱模剂成膜稳定，表面张力小，无毒、无异味、无腐蚀性、无刺激性、脱模后模具不生锈。</w:t>
            </w:r>
          </w:p>
          <w:p>
            <w:pPr>
              <w:pStyle w:val="44"/>
              <w:bidi w:val="0"/>
              <w:rPr>
                <w:rFonts w:hint="eastAsia"/>
                <w:highlight w:val="none"/>
                <w:lang w:val="en-US" w:eastAsia="zh-CN"/>
              </w:rPr>
            </w:pPr>
            <w:r>
              <w:rPr>
                <w:rFonts w:hint="eastAsia"/>
                <w:highlight w:val="none"/>
                <w:lang w:val="en-US" w:eastAsia="zh-CN"/>
              </w:rPr>
              <w:t>（3）氧化铁颜料：氧化铁颜料主要指以铁的氧化物为基本物质的氧化铁红、铁黄、铁黑和铁棕四类着色颜料，其中以氧化铁红为主。氧化铁是仅次于钛白的第二大无机颜料，也是第一大彩色无机颜料。在全部消费的氧化铁颜料中，70%以上是用化学合成方法制备的，称之为合成氧化铁。合成氧化铁由于其合成纯度高、粒径均匀整齐，且色谱广、颜色多、价廉、无毒，有优良的着色和应用性能，具有吸收紫外线等性能，因而广泛用于建材、涂料、塑料、橡胶等工业领域。氧化铁颜料满足国家标准《氧化铁颜料》（GB/T1863-2008）相关要求。本项目颜料为袋装，每袋25kg。</w:t>
            </w:r>
          </w:p>
          <w:p>
            <w:pPr>
              <w:pStyle w:val="44"/>
              <w:bidi w:val="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5</w:t>
            </w:r>
            <w:r>
              <w:rPr>
                <w:rFonts w:hint="eastAsia" w:ascii="Times New Roman" w:hAnsi="Times New Roman" w:eastAsia="宋体" w:cs="Times New Roman"/>
                <w:b/>
                <w:bCs/>
                <w:highlight w:val="none"/>
                <w:lang w:val="en-US" w:eastAsia="zh-CN"/>
              </w:rPr>
              <w:t>.</w:t>
            </w:r>
            <w:r>
              <w:rPr>
                <w:rFonts w:hint="default" w:ascii="Times New Roman" w:hAnsi="Times New Roman" w:eastAsia="宋体" w:cs="Times New Roman"/>
                <w:b/>
                <w:bCs/>
                <w:highlight w:val="none"/>
                <w:lang w:val="en-US" w:eastAsia="zh-CN"/>
              </w:rPr>
              <w:t>劳动定员与工作制度</w:t>
            </w:r>
          </w:p>
          <w:p>
            <w:pPr>
              <w:pStyle w:val="44"/>
              <w:bidi w:val="0"/>
              <w:rPr>
                <w:rFonts w:hint="default"/>
                <w:highlight w:val="none"/>
                <w:lang w:val="en-US" w:eastAsia="zh-CN"/>
              </w:rPr>
            </w:pPr>
            <w:r>
              <w:rPr>
                <w:rFonts w:hint="default"/>
                <w:highlight w:val="none"/>
                <w:lang w:val="en-US" w:eastAsia="zh-CN"/>
              </w:rPr>
              <w:t>本项目劳动定员15人（其中包括工作人员和管理人员），每班工作8小时，年工作210天，一班制，厂区设职工食堂、值班宿舍。</w:t>
            </w:r>
          </w:p>
          <w:p>
            <w:pPr>
              <w:pStyle w:val="44"/>
              <w:bidi w:val="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6</w:t>
            </w:r>
            <w:r>
              <w:rPr>
                <w:rFonts w:hint="eastAsia" w:ascii="Times New Roman" w:hAnsi="Times New Roman" w:eastAsia="宋体" w:cs="Times New Roman"/>
                <w:b/>
                <w:bCs/>
                <w:highlight w:val="none"/>
                <w:lang w:val="en-US" w:eastAsia="zh-CN"/>
              </w:rPr>
              <w:t>.</w:t>
            </w:r>
            <w:r>
              <w:rPr>
                <w:rFonts w:hint="default" w:ascii="Times New Roman" w:hAnsi="Times New Roman" w:eastAsia="宋体" w:cs="Times New Roman"/>
                <w:b/>
                <w:bCs/>
                <w:highlight w:val="none"/>
                <w:lang w:val="en-US" w:eastAsia="zh-CN"/>
              </w:rPr>
              <w:t>公用工程</w:t>
            </w:r>
          </w:p>
          <w:p>
            <w:pPr>
              <w:pStyle w:val="44"/>
              <w:bidi w:val="0"/>
              <w:rPr>
                <w:rFonts w:hint="default"/>
                <w:highlight w:val="none"/>
                <w:lang w:val="en-US" w:eastAsia="zh-CN"/>
              </w:rPr>
            </w:pPr>
            <w:r>
              <w:rPr>
                <w:rFonts w:hint="default"/>
                <w:highlight w:val="none"/>
                <w:lang w:val="en-US" w:eastAsia="zh-CN"/>
              </w:rPr>
              <w:t>（1）给水、排水</w:t>
            </w:r>
          </w:p>
          <w:p>
            <w:pPr>
              <w:pStyle w:val="44"/>
              <w:bidi w:val="0"/>
              <w:rPr>
                <w:rFonts w:hint="default"/>
                <w:highlight w:val="none"/>
                <w:lang w:val="en-US" w:eastAsia="zh-CN"/>
              </w:rPr>
            </w:pPr>
            <w:r>
              <w:rPr>
                <w:rFonts w:hint="default"/>
                <w:highlight w:val="none"/>
                <w:lang w:val="en-US" w:eastAsia="zh-CN"/>
              </w:rPr>
              <w:t>项目用水由</w:t>
            </w:r>
            <w:r>
              <w:rPr>
                <w:rFonts w:hint="eastAsia"/>
                <w:highlight w:val="none"/>
                <w:lang w:val="en-US" w:eastAsia="zh-CN"/>
              </w:rPr>
              <w:t>博湖</w:t>
            </w:r>
            <w:r>
              <w:rPr>
                <w:rFonts w:hint="default"/>
                <w:highlight w:val="none"/>
                <w:lang w:val="en-US" w:eastAsia="zh-CN"/>
              </w:rPr>
              <w:t>县</w:t>
            </w:r>
            <w:r>
              <w:rPr>
                <w:rFonts w:hint="eastAsia"/>
                <w:highlight w:val="none"/>
                <w:lang w:val="en-US" w:eastAsia="zh-CN"/>
              </w:rPr>
              <w:t>市政</w:t>
            </w:r>
            <w:r>
              <w:rPr>
                <w:rFonts w:hint="default"/>
                <w:highlight w:val="none"/>
                <w:lang w:val="en-US" w:eastAsia="zh-CN"/>
              </w:rPr>
              <w:t>供水管网供给，水质水量完全</w:t>
            </w:r>
            <w:r>
              <w:rPr>
                <w:rFonts w:hint="eastAsia"/>
                <w:highlight w:val="none"/>
                <w:lang w:val="en-US" w:eastAsia="zh-CN"/>
              </w:rPr>
              <w:t>可以</w:t>
            </w:r>
            <w:r>
              <w:rPr>
                <w:rFonts w:hint="default"/>
                <w:highlight w:val="none"/>
                <w:lang w:val="en-US" w:eastAsia="zh-CN"/>
              </w:rPr>
              <w:t>满足项目用水的需求，项目区未接城镇排水管网，生活污水排入场内西北侧防渗</w:t>
            </w:r>
            <w:r>
              <w:rPr>
                <w:rFonts w:hint="eastAsia"/>
                <w:highlight w:val="none"/>
                <w:lang w:val="en-US" w:eastAsia="zh-CN"/>
              </w:rPr>
              <w:t>化粪池（</w:t>
            </w:r>
            <w:r>
              <w:rPr>
                <w:rFonts w:hint="eastAsia"/>
                <w:sz w:val="24"/>
                <w:szCs w:val="24"/>
                <w:lang w:val="en-US" w:eastAsia="zh-CN"/>
              </w:rPr>
              <w:t>30m</w:t>
            </w:r>
            <w:r>
              <w:rPr>
                <w:rFonts w:hint="eastAsia"/>
                <w:sz w:val="24"/>
                <w:szCs w:val="24"/>
                <w:vertAlign w:val="superscript"/>
                <w:lang w:val="en-US" w:eastAsia="zh-CN"/>
              </w:rPr>
              <w:t>3</w:t>
            </w:r>
            <w:r>
              <w:rPr>
                <w:rFonts w:hint="eastAsia"/>
                <w:highlight w:val="none"/>
                <w:lang w:val="en-US" w:eastAsia="zh-CN"/>
              </w:rPr>
              <w:t>）</w:t>
            </w:r>
            <w:r>
              <w:rPr>
                <w:rFonts w:hint="default"/>
                <w:highlight w:val="none"/>
                <w:lang w:val="en-US" w:eastAsia="zh-CN"/>
              </w:rPr>
              <w:t>定期拉运至</w:t>
            </w:r>
            <w:r>
              <w:rPr>
                <w:rFonts w:hint="eastAsia"/>
                <w:highlight w:val="none"/>
                <w:lang w:val="en-US" w:eastAsia="zh-CN"/>
              </w:rPr>
              <w:t>博湖</w:t>
            </w:r>
            <w:r>
              <w:rPr>
                <w:rFonts w:hint="default"/>
                <w:highlight w:val="none"/>
                <w:lang w:val="en-US" w:eastAsia="zh-CN"/>
              </w:rPr>
              <w:t>县污水处理厂。</w:t>
            </w:r>
          </w:p>
          <w:p>
            <w:pPr>
              <w:pStyle w:val="44"/>
              <w:bidi w:val="0"/>
              <w:rPr>
                <w:rFonts w:hint="default"/>
                <w:highlight w:val="none"/>
                <w:lang w:val="en-US" w:eastAsia="zh-CN"/>
              </w:rPr>
            </w:pPr>
            <w:r>
              <w:rPr>
                <w:rFonts w:hint="default"/>
                <w:highlight w:val="none"/>
                <w:lang w:val="en-US" w:eastAsia="zh-CN"/>
              </w:rPr>
              <w:t>①职工生活用水</w:t>
            </w:r>
          </w:p>
          <w:p>
            <w:pPr>
              <w:pStyle w:val="44"/>
              <w:bidi w:val="0"/>
              <w:rPr>
                <w:rFonts w:hint="default"/>
                <w:highlight w:val="none"/>
                <w:lang w:val="en-US" w:eastAsia="zh-CN"/>
              </w:rPr>
            </w:pPr>
            <w:r>
              <w:rPr>
                <w:rFonts w:hint="eastAsia"/>
                <w:highlight w:val="none"/>
                <w:lang w:val="en-US" w:eastAsia="zh-CN"/>
              </w:rPr>
              <w:t>本项目劳动定员为15人，</w:t>
            </w:r>
            <w:r>
              <w:rPr>
                <w:rFonts w:hint="eastAsia"/>
                <w:color w:val="auto"/>
                <w:sz w:val="24"/>
                <w:highlight w:val="none"/>
                <w:lang w:val="en-US" w:eastAsia="zh-CN"/>
              </w:rPr>
              <w:t>参照</w:t>
            </w:r>
            <w:r>
              <w:rPr>
                <w:color w:val="auto"/>
                <w:sz w:val="24"/>
                <w:highlight w:val="none"/>
              </w:rPr>
              <w:t>《新疆维吾尔自治区生活用水定额》生活用水量按</w:t>
            </w:r>
            <w:r>
              <w:rPr>
                <w:rFonts w:hint="eastAsia"/>
                <w:color w:val="auto"/>
                <w:sz w:val="24"/>
                <w:highlight w:val="none"/>
                <w:lang w:val="en-US" w:eastAsia="zh-CN"/>
              </w:rPr>
              <w:t>5</w:t>
            </w:r>
            <w:r>
              <w:rPr>
                <w:color w:val="auto"/>
                <w:sz w:val="24"/>
                <w:highlight w:val="none"/>
              </w:rPr>
              <w:t>0L/d·人计算，则生活用水量为</w:t>
            </w:r>
            <w:r>
              <w:rPr>
                <w:rFonts w:hint="eastAsia"/>
                <w:color w:val="auto"/>
                <w:sz w:val="24"/>
                <w:highlight w:val="none"/>
                <w:lang w:val="en-US" w:eastAsia="zh-CN"/>
              </w:rPr>
              <w:t>0.75</w:t>
            </w:r>
            <w:r>
              <w:rPr>
                <w:color w:val="auto"/>
                <w:sz w:val="24"/>
                <w:highlight w:val="none"/>
              </w:rPr>
              <w:t>m</w:t>
            </w:r>
            <w:r>
              <w:rPr>
                <w:color w:val="auto"/>
                <w:sz w:val="24"/>
                <w:highlight w:val="none"/>
                <w:vertAlign w:val="superscript"/>
              </w:rPr>
              <w:t>3</w:t>
            </w:r>
            <w:r>
              <w:rPr>
                <w:color w:val="auto"/>
                <w:sz w:val="24"/>
                <w:highlight w:val="none"/>
              </w:rPr>
              <w:t>/d，年用水量</w:t>
            </w:r>
            <w:r>
              <w:rPr>
                <w:rFonts w:hint="eastAsia"/>
                <w:color w:val="auto"/>
                <w:sz w:val="24"/>
                <w:highlight w:val="none"/>
                <w:lang w:val="en-US" w:eastAsia="zh-CN"/>
              </w:rPr>
              <w:t>157.5</w:t>
            </w:r>
            <w:r>
              <w:rPr>
                <w:color w:val="auto"/>
                <w:sz w:val="24"/>
                <w:highlight w:val="none"/>
              </w:rPr>
              <w:t>m</w:t>
            </w:r>
            <w:r>
              <w:rPr>
                <w:color w:val="auto"/>
                <w:sz w:val="24"/>
                <w:highlight w:val="none"/>
                <w:vertAlign w:val="superscript"/>
              </w:rPr>
              <w:t>3</w:t>
            </w:r>
            <w:r>
              <w:rPr>
                <w:color w:val="auto"/>
                <w:sz w:val="24"/>
                <w:highlight w:val="none"/>
              </w:rPr>
              <w:t>/a。</w:t>
            </w:r>
            <w:r>
              <w:rPr>
                <w:bCs/>
                <w:color w:val="auto"/>
                <w:sz w:val="24"/>
                <w:highlight w:val="none"/>
              </w:rPr>
              <w:t>排水量</w:t>
            </w:r>
            <w:r>
              <w:rPr>
                <w:color w:val="auto"/>
                <w:sz w:val="24"/>
                <w:highlight w:val="none"/>
              </w:rPr>
              <w:t>按照生活用水量的80%统计，日排污量</w:t>
            </w:r>
            <w:r>
              <w:rPr>
                <w:rFonts w:hint="eastAsia"/>
                <w:color w:val="auto"/>
                <w:sz w:val="24"/>
                <w:highlight w:val="none"/>
                <w:lang w:val="en-US" w:eastAsia="zh-CN"/>
              </w:rPr>
              <w:t>0.6</w:t>
            </w:r>
            <w:r>
              <w:rPr>
                <w:color w:val="auto"/>
                <w:sz w:val="24"/>
                <w:highlight w:val="none"/>
              </w:rPr>
              <w:t>m</w:t>
            </w:r>
            <w:r>
              <w:rPr>
                <w:color w:val="auto"/>
                <w:sz w:val="24"/>
                <w:highlight w:val="none"/>
                <w:vertAlign w:val="superscript"/>
              </w:rPr>
              <w:t>3</w:t>
            </w:r>
            <w:r>
              <w:rPr>
                <w:color w:val="auto"/>
                <w:sz w:val="24"/>
                <w:highlight w:val="none"/>
              </w:rPr>
              <w:t>/d，年排污量</w:t>
            </w:r>
            <w:r>
              <w:rPr>
                <w:rFonts w:hint="eastAsia"/>
                <w:color w:val="auto"/>
                <w:sz w:val="24"/>
                <w:highlight w:val="none"/>
                <w:lang w:val="en-US" w:eastAsia="zh-CN"/>
              </w:rPr>
              <w:t>126</w:t>
            </w:r>
            <w:r>
              <w:rPr>
                <w:color w:val="auto"/>
                <w:sz w:val="24"/>
                <w:highlight w:val="none"/>
              </w:rPr>
              <w:t>m</w:t>
            </w:r>
            <w:r>
              <w:rPr>
                <w:color w:val="auto"/>
                <w:sz w:val="24"/>
                <w:highlight w:val="none"/>
                <w:vertAlign w:val="superscript"/>
              </w:rPr>
              <w:t>3</w:t>
            </w:r>
            <w:r>
              <w:rPr>
                <w:color w:val="auto"/>
                <w:sz w:val="24"/>
                <w:highlight w:val="none"/>
              </w:rPr>
              <w:t>。</w:t>
            </w:r>
          </w:p>
          <w:p>
            <w:pPr>
              <w:pStyle w:val="44"/>
              <w:bidi w:val="0"/>
              <w:rPr>
                <w:rFonts w:hint="default"/>
                <w:highlight w:val="none"/>
                <w:lang w:val="en-US" w:eastAsia="zh-CN"/>
              </w:rPr>
            </w:pPr>
            <w:r>
              <w:rPr>
                <w:rFonts w:hint="default"/>
                <w:highlight w:val="none"/>
                <w:lang w:val="en-US" w:eastAsia="zh-CN"/>
              </w:rPr>
              <w:t>②雾炮降尘用水</w:t>
            </w:r>
          </w:p>
          <w:p>
            <w:pPr>
              <w:pStyle w:val="44"/>
              <w:bidi w:val="0"/>
              <w:rPr>
                <w:rFonts w:hint="default"/>
                <w:highlight w:val="none"/>
                <w:lang w:val="en-US" w:eastAsia="zh-CN"/>
              </w:rPr>
            </w:pPr>
            <w:r>
              <w:rPr>
                <w:rFonts w:hint="default"/>
                <w:highlight w:val="none"/>
                <w:lang w:val="en-US" w:eastAsia="zh-CN"/>
              </w:rPr>
              <w:t>本项目在堆场、配料、装卸料、露天堆场处设置4台雾炮机，单个雾炮机用水需求2L/h，则用水量为0.064m</w:t>
            </w:r>
            <w:r>
              <w:rPr>
                <w:rFonts w:hint="default"/>
                <w:highlight w:val="none"/>
                <w:vertAlign w:val="superscript"/>
                <w:lang w:val="en-US" w:eastAsia="zh-CN"/>
              </w:rPr>
              <w:t>3</w:t>
            </w:r>
            <w:r>
              <w:rPr>
                <w:rFonts w:hint="default"/>
                <w:highlight w:val="none"/>
                <w:lang w:val="en-US" w:eastAsia="zh-CN"/>
              </w:rPr>
              <w:t>/d（13.44m</w:t>
            </w:r>
            <w:r>
              <w:rPr>
                <w:rFonts w:hint="default"/>
                <w:highlight w:val="none"/>
                <w:vertAlign w:val="superscript"/>
                <w:lang w:val="en-US" w:eastAsia="zh-CN"/>
              </w:rPr>
              <w:t>3</w:t>
            </w:r>
            <w:r>
              <w:rPr>
                <w:rFonts w:hint="default"/>
                <w:highlight w:val="none"/>
                <w:lang w:val="en-US" w:eastAsia="zh-CN"/>
              </w:rPr>
              <w:t>/a），通过产品携带以及蒸发损耗，无外排废水。</w:t>
            </w:r>
          </w:p>
          <w:p>
            <w:pPr>
              <w:pStyle w:val="44"/>
              <w:bidi w:val="0"/>
              <w:rPr>
                <w:rFonts w:hint="default"/>
                <w:highlight w:val="none"/>
                <w:lang w:val="en-US" w:eastAsia="zh-CN"/>
              </w:rPr>
            </w:pPr>
            <w:r>
              <w:rPr>
                <w:rFonts w:hint="default"/>
                <w:highlight w:val="none"/>
                <w:lang w:val="en-US" w:eastAsia="zh-CN"/>
              </w:rPr>
              <w:t>③砼预制件配料用水</w:t>
            </w:r>
          </w:p>
          <w:p>
            <w:pPr>
              <w:pStyle w:val="44"/>
              <w:bidi w:val="0"/>
              <w:rPr>
                <w:rFonts w:hint="default"/>
                <w:highlight w:val="none"/>
                <w:lang w:val="en-US" w:eastAsia="zh-CN"/>
              </w:rPr>
            </w:pPr>
            <w:r>
              <w:rPr>
                <w:rFonts w:hint="default"/>
                <w:highlight w:val="none"/>
                <w:lang w:val="en-US" w:eastAsia="zh-CN"/>
              </w:rPr>
              <w:t>本项目泥料预处理工序需加水对泥料进行浸泡，根据《新疆维吾尔自治区生活用水定额》-312砼结构件并结合企业现有生产营运经验，配料用水约占产品8%～10%，配料用水进入产品中。路缘石、彩砖、水泥</w:t>
            </w:r>
            <w:r>
              <w:rPr>
                <w:rFonts w:hint="eastAsia"/>
                <w:highlight w:val="none"/>
                <w:lang w:val="en-US" w:eastAsia="zh-CN"/>
              </w:rPr>
              <w:t>盖板</w:t>
            </w:r>
            <w:r>
              <w:rPr>
                <w:rFonts w:hint="default"/>
                <w:highlight w:val="none"/>
                <w:lang w:val="en-US" w:eastAsia="zh-CN"/>
              </w:rPr>
              <w:t>、</w:t>
            </w:r>
            <w:r>
              <w:rPr>
                <w:rFonts w:hint="eastAsia"/>
                <w:highlight w:val="none"/>
                <w:lang w:val="en-US" w:eastAsia="zh-CN"/>
              </w:rPr>
              <w:t>水泥</w:t>
            </w:r>
            <w:r>
              <w:rPr>
                <w:rFonts w:hint="default"/>
                <w:highlight w:val="none"/>
                <w:lang w:val="en-US" w:eastAsia="zh-CN"/>
              </w:rPr>
              <w:t>砖约配料为0.128m</w:t>
            </w:r>
            <w:r>
              <w:rPr>
                <w:rFonts w:hint="default"/>
                <w:highlight w:val="none"/>
                <w:vertAlign w:val="superscript"/>
                <w:lang w:val="en-US" w:eastAsia="zh-CN"/>
              </w:rPr>
              <w:t>3</w:t>
            </w:r>
            <w:r>
              <w:rPr>
                <w:rFonts w:hint="default"/>
                <w:highlight w:val="none"/>
                <w:lang w:val="en-US" w:eastAsia="zh-CN"/>
              </w:rPr>
              <w:t>/d（46.72m</w:t>
            </w:r>
            <w:r>
              <w:rPr>
                <w:rFonts w:hint="default"/>
                <w:highlight w:val="none"/>
                <w:vertAlign w:val="superscript"/>
                <w:lang w:val="en-US" w:eastAsia="zh-CN"/>
              </w:rPr>
              <w:t>3</w:t>
            </w:r>
            <w:r>
              <w:rPr>
                <w:rFonts w:hint="default"/>
                <w:highlight w:val="none"/>
                <w:lang w:val="en-US" w:eastAsia="zh-CN"/>
              </w:rPr>
              <w:t>/a），无废水外排。</w:t>
            </w:r>
          </w:p>
          <w:p>
            <w:pPr>
              <w:pStyle w:val="44"/>
              <w:bidi w:val="0"/>
              <w:rPr>
                <w:rFonts w:hint="default"/>
                <w:highlight w:val="none"/>
                <w:lang w:val="en-US" w:eastAsia="zh-CN"/>
              </w:rPr>
            </w:pPr>
            <w:r>
              <w:rPr>
                <w:rFonts w:hint="default"/>
                <w:highlight w:val="none"/>
                <w:lang w:val="en-US" w:eastAsia="zh-CN"/>
              </w:rPr>
              <w:t>④养护用水</w:t>
            </w:r>
          </w:p>
          <w:p>
            <w:pPr>
              <w:pStyle w:val="44"/>
              <w:bidi w:val="0"/>
              <w:rPr>
                <w:rFonts w:hint="default"/>
                <w:highlight w:val="none"/>
                <w:lang w:val="en-US" w:eastAsia="zh-CN"/>
              </w:rPr>
            </w:pPr>
            <w:r>
              <w:rPr>
                <w:rFonts w:hint="default"/>
                <w:highlight w:val="none"/>
                <w:lang w:val="en-US" w:eastAsia="zh-CN"/>
              </w:rPr>
              <w:t>本项目预制件产品需加水养护，依据公司营运经验及所在地气候影响，养护用水量约为25m</w:t>
            </w:r>
            <w:r>
              <w:rPr>
                <w:rFonts w:hint="default"/>
                <w:highlight w:val="none"/>
                <w:vertAlign w:val="superscript"/>
                <w:lang w:val="en-US" w:eastAsia="zh-CN"/>
              </w:rPr>
              <w:t>3</w:t>
            </w:r>
            <w:r>
              <w:rPr>
                <w:rFonts w:hint="default"/>
                <w:highlight w:val="none"/>
                <w:lang w:val="en-US" w:eastAsia="zh-CN"/>
              </w:rPr>
              <w:t>/d（5250m</w:t>
            </w:r>
            <w:r>
              <w:rPr>
                <w:rFonts w:hint="default"/>
                <w:highlight w:val="none"/>
                <w:vertAlign w:val="superscript"/>
                <w:lang w:val="en-US" w:eastAsia="zh-CN"/>
              </w:rPr>
              <w:t>3</w:t>
            </w:r>
            <w:r>
              <w:rPr>
                <w:rFonts w:hint="default"/>
                <w:highlight w:val="none"/>
                <w:lang w:val="en-US" w:eastAsia="zh-CN"/>
              </w:rPr>
              <w:t>/a）。</w:t>
            </w:r>
          </w:p>
          <w:p>
            <w:pPr>
              <w:pStyle w:val="44"/>
              <w:bidi w:val="0"/>
              <w:rPr>
                <w:rFonts w:hint="default"/>
                <w:highlight w:val="none"/>
                <w:lang w:val="en-US" w:eastAsia="zh-CN"/>
              </w:rPr>
            </w:pPr>
            <w:r>
              <w:rPr>
                <w:rFonts w:hint="default"/>
                <w:highlight w:val="none"/>
                <w:lang w:val="en-US" w:eastAsia="zh-CN"/>
              </w:rPr>
              <w:t>⑤车辆清洗用水</w:t>
            </w:r>
          </w:p>
          <w:p>
            <w:pPr>
              <w:pStyle w:val="44"/>
              <w:bidi w:val="0"/>
              <w:rPr>
                <w:rFonts w:hint="default"/>
                <w:highlight w:val="none"/>
                <w:lang w:val="en-US" w:eastAsia="zh-CN"/>
              </w:rPr>
            </w:pPr>
            <w:r>
              <w:rPr>
                <w:rFonts w:hint="default"/>
                <w:highlight w:val="none"/>
                <w:lang w:val="en-US" w:eastAsia="zh-CN"/>
              </w:rPr>
              <w:t>本项目每</w:t>
            </w:r>
            <w:r>
              <w:rPr>
                <w:rFonts w:hint="eastAsia"/>
                <w:highlight w:val="none"/>
                <w:lang w:val="en-US" w:eastAsia="zh-CN"/>
              </w:rPr>
              <w:t>周</w:t>
            </w:r>
            <w:r>
              <w:rPr>
                <w:rFonts w:hint="default"/>
                <w:highlight w:val="none"/>
                <w:lang w:val="en-US" w:eastAsia="zh-CN"/>
              </w:rPr>
              <w:t>需运输</w:t>
            </w:r>
            <w:r>
              <w:rPr>
                <w:rFonts w:hint="eastAsia"/>
                <w:highlight w:val="none"/>
                <w:lang w:val="en-US" w:eastAsia="zh-CN"/>
              </w:rPr>
              <w:t>1</w:t>
            </w:r>
            <w:r>
              <w:rPr>
                <w:rFonts w:hint="default"/>
                <w:highlight w:val="none"/>
                <w:lang w:val="en-US" w:eastAsia="zh-CN"/>
              </w:rPr>
              <w:t>次，清洗车辆轮胎水量为0.5m</w:t>
            </w:r>
            <w:r>
              <w:rPr>
                <w:rFonts w:hint="default"/>
                <w:highlight w:val="none"/>
                <w:vertAlign w:val="superscript"/>
                <w:lang w:val="en-US" w:eastAsia="zh-CN"/>
              </w:rPr>
              <w:t>3</w:t>
            </w:r>
            <w:r>
              <w:rPr>
                <w:rFonts w:hint="default"/>
                <w:highlight w:val="none"/>
                <w:lang w:val="en-US" w:eastAsia="zh-CN"/>
              </w:rPr>
              <w:t>/辆</w:t>
            </w:r>
            <w:r>
              <w:rPr>
                <w:rFonts w:hint="default" w:ascii="Times New Roman" w:hAnsi="Times New Roman" w:cs="Times New Roman"/>
                <w:highlight w:val="none"/>
                <w:lang w:val="en-US" w:eastAsia="zh-CN"/>
              </w:rPr>
              <w:t>·</w:t>
            </w:r>
            <w:r>
              <w:rPr>
                <w:rFonts w:hint="default"/>
                <w:highlight w:val="none"/>
                <w:lang w:val="en-US" w:eastAsia="zh-CN"/>
              </w:rPr>
              <w:t>次，则全年合计2</w:t>
            </w:r>
            <w:r>
              <w:rPr>
                <w:rFonts w:hint="eastAsia"/>
                <w:highlight w:val="none"/>
                <w:lang w:val="en-US" w:eastAsia="zh-CN"/>
              </w:rPr>
              <w:t>0</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/a）。洗车废水</w:t>
            </w:r>
            <w:r>
              <w:rPr>
                <w:rFonts w:hint="eastAsia"/>
                <w:highlight w:val="none"/>
                <w:lang w:val="en-US" w:eastAsia="zh-CN"/>
              </w:rPr>
              <w:t>经沉淀池沉淀处理后</w:t>
            </w:r>
            <w:r>
              <w:rPr>
                <w:rFonts w:hint="default"/>
                <w:highlight w:val="none"/>
                <w:lang w:val="en-US" w:eastAsia="zh-CN"/>
              </w:rPr>
              <w:t>循环使用，在此过程中蒸发损耗约20%，则需补充新鲜水0.</w:t>
            </w:r>
            <w:r>
              <w:rPr>
                <w:rFonts w:hint="eastAsia"/>
                <w:highlight w:val="none"/>
                <w:lang w:val="en-US" w:eastAsia="zh-CN"/>
              </w:rPr>
              <w:t>4</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a</w:t>
            </w:r>
            <w:r>
              <w:rPr>
                <w:rFonts w:hint="default"/>
                <w:highlight w:val="none"/>
                <w:lang w:val="en-US" w:eastAsia="zh-CN"/>
              </w:rPr>
              <w:t>。</w:t>
            </w:r>
          </w:p>
          <w:p>
            <w:pPr>
              <w:pStyle w:val="44"/>
              <w:bidi w:val="0"/>
              <w:rPr>
                <w:rFonts w:hint="default"/>
                <w:highlight w:val="none"/>
                <w:lang w:val="en-US" w:eastAsia="zh-CN"/>
              </w:rPr>
            </w:pPr>
            <w:r>
              <w:rPr>
                <w:rFonts w:hint="default"/>
                <w:highlight w:val="none"/>
                <w:lang w:val="en-US" w:eastAsia="zh-CN"/>
              </w:rPr>
              <w:t>车辆洗车用水及降尘水优先使用沉淀后回用水。</w:t>
            </w:r>
          </w:p>
          <w:p>
            <w:pPr>
              <w:pStyle w:val="44"/>
              <w:bidi w:val="0"/>
              <w:rPr>
                <w:rFonts w:hint="eastAsia"/>
                <w:highlight w:val="none"/>
                <w:lang w:val="en-US" w:eastAsia="zh-CN"/>
              </w:rPr>
            </w:pPr>
            <w:r>
              <w:rPr>
                <w:rFonts w:hint="eastAsia"/>
                <w:highlight w:val="none"/>
                <w:lang w:val="en-US" w:eastAsia="zh-CN"/>
              </w:rPr>
              <w:t>本项目水平衡图见下图。</w:t>
            </w:r>
          </w:p>
          <w:p>
            <w:pPr>
              <w:pStyle w:val="44"/>
              <w:bidi w:val="0"/>
              <w:ind w:left="0" w:leftChars="0" w:firstLine="0" w:firstLineChars="0"/>
              <w:jc w:val="center"/>
              <w:rPr>
                <w:rFonts w:hint="eastAsia" w:eastAsia="宋体"/>
                <w:highlight w:val="none"/>
                <w:lang w:val="en-US" w:eastAsia="zh-CN"/>
              </w:rPr>
            </w:pPr>
            <w:r>
              <w:rPr>
                <w:rFonts w:hint="eastAsia" w:eastAsia="宋体"/>
                <w:highlight w:val="none"/>
                <w:lang w:val="en-US" w:eastAsia="zh-CN"/>
              </w:rPr>
              <w:drawing>
                <wp:inline distT="0" distB="0" distL="114300" distR="114300">
                  <wp:extent cx="4963795" cy="2279650"/>
                  <wp:effectExtent l="0" t="0" r="0" b="0"/>
                  <wp:docPr id="11" name="ECB019B1-382A-4266-B25C-5B523AA43C14-1" descr="C:/Users/Administrator/AppData/Local/Temp/wps.OkUBT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C:/Users/Administrator/AppData/Local/Temp/wps.OkUBTdwps"/>
                          <pic:cNvPicPr>
                            <a:picLocks noChangeAspect="1"/>
                          </pic:cNvPicPr>
                        </pic:nvPicPr>
                        <pic:blipFill>
                          <a:blip r:embed="rId13"/>
                          <a:stretch>
                            <a:fillRect/>
                          </a:stretch>
                        </pic:blipFill>
                        <pic:spPr>
                          <a:xfrm>
                            <a:off x="0" y="0"/>
                            <a:ext cx="4963795" cy="2279650"/>
                          </a:xfrm>
                          <a:prstGeom prst="rect">
                            <a:avLst/>
                          </a:prstGeom>
                          <a:noFill/>
                          <a:ln>
                            <a:noFill/>
                          </a:ln>
                        </pic:spPr>
                      </pic:pic>
                    </a:graphicData>
                  </a:graphic>
                </wp:inline>
              </w:drawing>
            </w:r>
          </w:p>
          <w:p>
            <w:pPr>
              <w:pStyle w:val="28"/>
              <w:bidi w:val="0"/>
              <w:rPr>
                <w:rFonts w:hint="default"/>
                <w:b/>
                <w:bCs/>
                <w:highlight w:val="none"/>
                <w:lang w:val="en-US" w:eastAsia="zh-CN"/>
              </w:rPr>
            </w:pPr>
            <w:r>
              <w:rPr>
                <w:rFonts w:hint="eastAsia"/>
                <w:b/>
                <w:bCs/>
                <w:highlight w:val="none"/>
                <w:lang w:val="en-US" w:eastAsia="zh-CN"/>
              </w:rPr>
              <w:t>图2  项目水平衡图（单位：m</w:t>
            </w:r>
            <w:r>
              <w:rPr>
                <w:rFonts w:hint="eastAsia"/>
                <w:b/>
                <w:bCs/>
                <w:highlight w:val="none"/>
                <w:vertAlign w:val="superscript"/>
                <w:lang w:val="en-US" w:eastAsia="zh-CN"/>
              </w:rPr>
              <w:t>3</w:t>
            </w:r>
            <w:r>
              <w:rPr>
                <w:rFonts w:hint="eastAsia"/>
                <w:b/>
                <w:bCs/>
                <w:highlight w:val="none"/>
                <w:lang w:val="en-US" w:eastAsia="zh-CN"/>
              </w:rPr>
              <w:t>/a）</w:t>
            </w:r>
          </w:p>
          <w:p>
            <w:pPr>
              <w:pStyle w:val="44"/>
              <w:bidi w:val="0"/>
              <w:rPr>
                <w:rFonts w:hint="default"/>
                <w:highlight w:val="none"/>
                <w:lang w:val="en-US" w:eastAsia="zh-CN"/>
              </w:rPr>
            </w:pPr>
            <w:r>
              <w:rPr>
                <w:rFonts w:hint="eastAsia"/>
                <w:highlight w:val="none"/>
                <w:lang w:val="en-US" w:eastAsia="zh-CN"/>
              </w:rPr>
              <w:t>（2）</w:t>
            </w:r>
            <w:r>
              <w:rPr>
                <w:rFonts w:hint="default"/>
                <w:highlight w:val="none"/>
                <w:lang w:val="en-US" w:eastAsia="zh-CN"/>
              </w:rPr>
              <w:t>供热</w:t>
            </w:r>
          </w:p>
          <w:p>
            <w:pPr>
              <w:pStyle w:val="44"/>
              <w:bidi w:val="0"/>
              <w:rPr>
                <w:rFonts w:hint="default"/>
                <w:highlight w:val="none"/>
                <w:lang w:val="en-US" w:eastAsia="zh-CN"/>
              </w:rPr>
            </w:pPr>
            <w:r>
              <w:rPr>
                <w:rFonts w:hint="default"/>
                <w:highlight w:val="none"/>
                <w:lang w:val="en-US" w:eastAsia="zh-CN"/>
              </w:rPr>
              <w:t>夏季采用空调制电制冷，冬季不生产，值班人员采暖由电供热。</w:t>
            </w:r>
          </w:p>
          <w:p>
            <w:pPr>
              <w:pStyle w:val="44"/>
              <w:bidi w:val="0"/>
              <w:rPr>
                <w:rFonts w:hint="default"/>
                <w:highlight w:val="none"/>
                <w:lang w:val="en-US" w:eastAsia="zh-CN"/>
              </w:rPr>
            </w:pPr>
            <w:r>
              <w:rPr>
                <w:rFonts w:hint="eastAsia"/>
                <w:highlight w:val="none"/>
                <w:lang w:val="en-US" w:eastAsia="zh-CN"/>
              </w:rPr>
              <w:t>（3）</w:t>
            </w:r>
            <w:r>
              <w:rPr>
                <w:rFonts w:hint="default"/>
                <w:highlight w:val="none"/>
                <w:lang w:val="en-US" w:eastAsia="zh-CN"/>
              </w:rPr>
              <w:t>供电</w:t>
            </w:r>
          </w:p>
          <w:p>
            <w:pPr>
              <w:pStyle w:val="44"/>
              <w:bidi w:val="0"/>
              <w:rPr>
                <w:rFonts w:hint="default"/>
                <w:highlight w:val="none"/>
                <w:lang w:val="en-US" w:eastAsia="zh-CN"/>
              </w:rPr>
            </w:pPr>
            <w:r>
              <w:rPr>
                <w:rFonts w:hint="default"/>
                <w:highlight w:val="none"/>
                <w:lang w:val="en-US" w:eastAsia="zh-CN"/>
              </w:rPr>
              <w:t>由项目区现有北侧10kV电路引入，经架空后引向本站，可满足本项目用电负荷及对供电可靠性的要求。</w:t>
            </w:r>
          </w:p>
          <w:p>
            <w:pPr>
              <w:pStyle w:val="44"/>
              <w:bidi w:val="0"/>
              <w:rPr>
                <w:rFonts w:hint="default"/>
                <w:b/>
                <w:bCs/>
                <w:highlight w:val="none"/>
                <w:lang w:val="en-US" w:eastAsia="zh-CN"/>
              </w:rPr>
            </w:pPr>
            <w:r>
              <w:rPr>
                <w:rFonts w:hint="eastAsia"/>
                <w:b/>
                <w:bCs/>
                <w:highlight w:val="none"/>
                <w:lang w:val="en-US" w:eastAsia="zh-CN"/>
              </w:rPr>
              <w:t>7.总平面布置</w:t>
            </w:r>
          </w:p>
          <w:p>
            <w:pPr>
              <w:pStyle w:val="44"/>
              <w:bidi w:val="0"/>
              <w:rPr>
                <w:rFonts w:hint="default"/>
                <w:highlight w:val="none"/>
                <w:lang w:val="en-US" w:eastAsia="zh-CN"/>
              </w:rPr>
            </w:pPr>
            <w:r>
              <w:rPr>
                <w:rFonts w:hint="eastAsia"/>
                <w:highlight w:val="none"/>
                <w:lang w:val="en-US" w:eastAsia="zh-CN"/>
              </w:rPr>
              <w:t>根据厂区地形、主导风向，结合本项目生产工艺流程，场内由北向南依次为门卫室、密闭原料库房、生产车间，露天养护及成品堆场区位于生产区南侧布置。根据工艺流程和运输、生产养护等要求，在总平面布置时，尽可能力求紧凑、合理、物料输送短捷、流畅。本工程建筑物较少，平面布置简单，厂房内生产设备安装工艺流转次序依次布设。生产厂区平面布置图见附图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956" w:hRule="atLeast"/>
          <w:jc w:val="center"/>
        </w:trPr>
        <w:tc>
          <w:tcPr>
            <w:tcW w:w="823" w:type="dxa"/>
            <w:noWrap w:val="0"/>
            <w:vAlign w:val="center"/>
          </w:tcPr>
          <w:p>
            <w:pPr>
              <w:pStyle w:val="44"/>
              <w:bidi w:val="0"/>
              <w:ind w:left="0" w:leftChars="0" w:firstLine="0" w:firstLineChars="0"/>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工艺流程和产排污环节</w:t>
            </w:r>
          </w:p>
        </w:tc>
        <w:tc>
          <w:tcPr>
            <w:tcW w:w="8161" w:type="dxa"/>
            <w:noWrap w:val="0"/>
            <w:vAlign w:val="center"/>
          </w:tcPr>
          <w:p>
            <w:pPr>
              <w:pStyle w:val="44"/>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highlight w:val="none"/>
                <w:lang w:val="en-US" w:eastAsia="zh-CN"/>
              </w:rPr>
            </w:pPr>
            <w:r>
              <w:rPr>
                <w:rFonts w:hint="eastAsia"/>
                <w:b/>
                <w:bCs/>
                <w:highlight w:val="none"/>
                <w:lang w:val="en-US" w:eastAsia="zh-CN"/>
              </w:rPr>
              <w:t>1.运营期工艺流程及产排污环节</w:t>
            </w:r>
          </w:p>
          <w:p>
            <w:pPr>
              <w:pStyle w:val="44"/>
              <w:bidi w:val="0"/>
              <w:rPr>
                <w:rFonts w:hint="eastAsia"/>
                <w:highlight w:val="none"/>
                <w:lang w:val="en-US" w:eastAsia="zh-CN"/>
              </w:rPr>
            </w:pPr>
            <w:r>
              <w:rPr>
                <w:rFonts w:hint="eastAsia"/>
                <w:highlight w:val="none"/>
                <w:lang w:val="en-US" w:eastAsia="zh-CN"/>
              </w:rPr>
              <w:t>1.1运营期工艺流程</w:t>
            </w:r>
          </w:p>
          <w:p>
            <w:pPr>
              <w:pStyle w:val="44"/>
              <w:bidi w:val="0"/>
              <w:rPr>
                <w:rFonts w:ascii="宋体" w:hAnsi="宋体" w:cs="宋体"/>
                <w:color w:val="000000"/>
                <w:spacing w:val="0"/>
                <w:sz w:val="24"/>
                <w:highlight w:val="none"/>
              </w:rPr>
            </w:pPr>
            <w:r>
              <w:rPr>
                <w:rFonts w:hint="eastAsia"/>
                <w:highlight w:val="none"/>
                <w:lang w:val="en-US" w:eastAsia="zh-CN"/>
              </w:rPr>
              <w:t>本项目</w:t>
            </w:r>
            <w:r>
              <w:rPr>
                <w:rFonts w:hint="eastAsia" w:ascii="宋体" w:hAnsi="宋体" w:eastAsia="宋体" w:cs="宋体"/>
                <w:sz w:val="24"/>
                <w:szCs w:val="24"/>
                <w:highlight w:val="none"/>
                <w:lang w:val="en-US" w:eastAsia="zh-CN"/>
              </w:rPr>
              <w:t>水泥制品</w:t>
            </w:r>
            <w:r>
              <w:rPr>
                <w:rFonts w:ascii="宋体" w:hAnsi="宋体" w:cs="宋体"/>
                <w:color w:val="000000"/>
                <w:spacing w:val="0"/>
                <w:sz w:val="24"/>
                <w:highlight w:val="none"/>
              </w:rPr>
              <w:t>生产工艺流程及产排污环节详见下图。</w:t>
            </w:r>
          </w:p>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p>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082540" cy="4532630"/>
                  <wp:effectExtent l="0" t="0" r="0" b="0"/>
                  <wp:docPr id="12" name="图片 12" descr="kappframework-fcjfH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kappframework-fcjfHz(1)(1)"/>
                          <pic:cNvPicPr>
                            <a:picLocks noChangeAspect="1"/>
                          </pic:cNvPicPr>
                        </pic:nvPicPr>
                        <pic:blipFill>
                          <a:blip r:embed="rId14"/>
                          <a:srcRect t="909" b="7672"/>
                          <a:stretch>
                            <a:fillRect/>
                          </a:stretch>
                        </pic:blipFill>
                        <pic:spPr>
                          <a:xfrm>
                            <a:off x="0" y="0"/>
                            <a:ext cx="5082540" cy="4532630"/>
                          </a:xfrm>
                          <a:prstGeom prst="rect">
                            <a:avLst/>
                          </a:prstGeom>
                        </pic:spPr>
                      </pic:pic>
                    </a:graphicData>
                  </a:graphic>
                </wp:inline>
              </w:drawing>
            </w:r>
          </w:p>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ascii="宋体" w:hAnsi="宋体" w:eastAsia="宋体" w:cs="宋体"/>
                <w:b/>
                <w:bCs/>
                <w:spacing w:val="-2"/>
                <w:sz w:val="21"/>
                <w:szCs w:val="21"/>
              </w:rPr>
              <w:t>图</w:t>
            </w:r>
            <w:r>
              <w:rPr>
                <w:rFonts w:hint="eastAsia" w:ascii="宋体" w:hAnsi="宋体" w:eastAsia="宋体" w:cs="宋体"/>
                <w:b/>
                <w:bCs/>
                <w:spacing w:val="-2"/>
                <w:sz w:val="21"/>
                <w:szCs w:val="21"/>
                <w:lang w:val="en-US" w:eastAsia="zh-CN"/>
              </w:rPr>
              <w:t xml:space="preserve">3  </w:t>
            </w:r>
            <w:r>
              <w:rPr>
                <w:rFonts w:ascii="宋体" w:hAnsi="宋体" w:eastAsia="宋体" w:cs="宋体"/>
                <w:b/>
                <w:bCs/>
                <w:spacing w:val="-2"/>
                <w:sz w:val="21"/>
                <w:szCs w:val="21"/>
              </w:rPr>
              <w:t>营运期工艺流程图</w:t>
            </w:r>
          </w:p>
          <w:p>
            <w:pPr>
              <w:pStyle w:val="44"/>
              <w:bidi w:val="0"/>
              <w:rPr>
                <w:highlight w:val="none"/>
              </w:rPr>
            </w:pPr>
            <w:r>
              <w:rPr>
                <w:highlight w:val="none"/>
              </w:rPr>
              <w:t>工艺流程简述：</w:t>
            </w:r>
          </w:p>
          <w:p>
            <w:pPr>
              <w:pStyle w:val="44"/>
              <w:bidi w:val="0"/>
              <w:rPr>
                <w:highlight w:val="none"/>
              </w:rPr>
            </w:pPr>
            <w:r>
              <w:rPr>
                <w:rFonts w:hint="eastAsia"/>
                <w:highlight w:val="none"/>
                <w:lang w:eastAsia="zh-CN"/>
              </w:rPr>
              <w:t>（1）</w:t>
            </w:r>
            <w:r>
              <w:rPr>
                <w:highlight w:val="none"/>
              </w:rPr>
              <w:t>原料进厂暂存</w:t>
            </w:r>
          </w:p>
          <w:p>
            <w:pPr>
              <w:pStyle w:val="44"/>
              <w:bidi w:val="0"/>
              <w:rPr>
                <w:highlight w:val="none"/>
              </w:rPr>
            </w:pPr>
            <w:r>
              <w:rPr>
                <w:highlight w:val="none"/>
              </w:rPr>
              <w:t>水泥、沙子：水泥为粉料，</w:t>
            </w:r>
            <w:r>
              <w:rPr>
                <w:rFonts w:hint="eastAsia"/>
                <w:highlight w:val="none"/>
                <w:lang w:val="en-US" w:eastAsia="zh-CN"/>
              </w:rPr>
              <w:t>专用罐车运进厂内后水泥筒仓储存</w:t>
            </w:r>
            <w:r>
              <w:rPr>
                <w:highlight w:val="none"/>
              </w:rPr>
              <w:t>，沙子由</w:t>
            </w:r>
            <w:r>
              <w:rPr>
                <w:rFonts w:hint="eastAsia"/>
                <w:highlight w:val="none"/>
                <w:lang w:val="en-US" w:eastAsia="zh-CN"/>
              </w:rPr>
              <w:t>自卸式</w:t>
            </w:r>
            <w:r>
              <w:rPr>
                <w:highlight w:val="none"/>
              </w:rPr>
              <w:t>货车直接装卸，在全封闭式原料仓库内储存。</w:t>
            </w:r>
          </w:p>
          <w:p>
            <w:pPr>
              <w:pStyle w:val="44"/>
              <w:bidi w:val="0"/>
              <w:rPr>
                <w:highlight w:val="none"/>
              </w:rPr>
            </w:pPr>
            <w:r>
              <w:rPr>
                <w:highlight w:val="none"/>
              </w:rPr>
              <w:t>石料堆场：项目设置露天石料堆场，使用汽车运送至厂区石料堆场。</w:t>
            </w:r>
          </w:p>
          <w:p>
            <w:pPr>
              <w:pStyle w:val="44"/>
              <w:bidi w:val="0"/>
              <w:rPr>
                <w:highlight w:val="none"/>
              </w:rPr>
            </w:pPr>
            <w:r>
              <w:rPr>
                <w:rFonts w:hint="eastAsia"/>
                <w:highlight w:val="none"/>
                <w:lang w:eastAsia="zh-CN"/>
              </w:rPr>
              <w:t>（2）</w:t>
            </w:r>
            <w:r>
              <w:rPr>
                <w:highlight w:val="none"/>
              </w:rPr>
              <w:t>搅拌混合</w:t>
            </w:r>
          </w:p>
          <w:p>
            <w:pPr>
              <w:pStyle w:val="44"/>
              <w:bidi w:val="0"/>
              <w:rPr>
                <w:highlight w:val="none"/>
              </w:rPr>
            </w:pPr>
            <w:r>
              <w:rPr>
                <w:highlight w:val="none"/>
              </w:rPr>
              <w:t>砂子、石子经料斗提升至自动配料计量系统内，水泥采用</w:t>
            </w:r>
            <w:r>
              <w:rPr>
                <w:rFonts w:hint="eastAsia"/>
                <w:highlight w:val="none"/>
                <w:lang w:val="en-US" w:eastAsia="zh-CN"/>
              </w:rPr>
              <w:t>密闭管道上料，生产时经密闭管道</w:t>
            </w:r>
            <w:r>
              <w:rPr>
                <w:highlight w:val="none"/>
              </w:rPr>
              <w:t>投入自动配料计量系统内，同时加入水，经计量系统计量后，进入搅拌机内搅拌，经搅拌后的原辅料进入主机料仓内。</w:t>
            </w:r>
          </w:p>
          <w:p>
            <w:pPr>
              <w:pStyle w:val="44"/>
              <w:bidi w:val="0"/>
              <w:rPr>
                <w:highlight w:val="none"/>
              </w:rPr>
            </w:pPr>
            <w:r>
              <w:rPr>
                <w:rFonts w:hint="eastAsia"/>
                <w:highlight w:val="none"/>
                <w:lang w:eastAsia="zh-CN"/>
              </w:rPr>
              <w:t>（3）</w:t>
            </w:r>
            <w:r>
              <w:rPr>
                <w:highlight w:val="none"/>
              </w:rPr>
              <w:t>模具成型</w:t>
            </w:r>
          </w:p>
          <w:p>
            <w:pPr>
              <w:pStyle w:val="44"/>
              <w:bidi w:val="0"/>
              <w:rPr>
                <w:highlight w:val="none"/>
              </w:rPr>
            </w:pPr>
            <w:r>
              <w:rPr>
                <w:highlight w:val="none"/>
              </w:rPr>
              <w:t>进入料仓后的湿料经主机料仓，同时加入钢筋，进入砌块成型机，通过挤压模具内的湿料成型。</w:t>
            </w:r>
          </w:p>
          <w:p>
            <w:pPr>
              <w:pStyle w:val="44"/>
              <w:bidi w:val="0"/>
              <w:rPr>
                <w:highlight w:val="none"/>
              </w:rPr>
            </w:pPr>
            <w:r>
              <w:rPr>
                <w:rFonts w:hint="eastAsia"/>
                <w:highlight w:val="none"/>
                <w:lang w:eastAsia="zh-CN"/>
              </w:rPr>
              <w:t>（4）</w:t>
            </w:r>
            <w:r>
              <w:rPr>
                <w:highlight w:val="none"/>
              </w:rPr>
              <w:t>脱模</w:t>
            </w:r>
          </w:p>
          <w:p>
            <w:pPr>
              <w:pStyle w:val="44"/>
              <w:bidi w:val="0"/>
              <w:rPr>
                <w:highlight w:val="none"/>
              </w:rPr>
            </w:pPr>
            <w:r>
              <w:rPr>
                <w:highlight w:val="none"/>
              </w:rPr>
              <w:t>模具内使用</w:t>
            </w:r>
            <w:r>
              <w:rPr>
                <w:rFonts w:hint="eastAsia"/>
                <w:highlight w:val="none"/>
                <w:lang w:val="en-US" w:eastAsia="zh-CN"/>
              </w:rPr>
              <w:t>水性脱模剂</w:t>
            </w:r>
            <w:r>
              <w:rPr>
                <w:highlight w:val="none"/>
              </w:rPr>
              <w:t>，采用人工脱模。</w:t>
            </w:r>
          </w:p>
          <w:p>
            <w:pPr>
              <w:pStyle w:val="44"/>
              <w:bidi w:val="0"/>
              <w:rPr>
                <w:highlight w:val="none"/>
              </w:rPr>
            </w:pPr>
            <w:r>
              <w:rPr>
                <w:highlight w:val="none"/>
              </w:rPr>
              <w:t>（5）自然养护</w:t>
            </w:r>
          </w:p>
          <w:p>
            <w:pPr>
              <w:pStyle w:val="44"/>
              <w:bidi w:val="0"/>
              <w:rPr>
                <w:highlight w:val="none"/>
              </w:rPr>
            </w:pPr>
            <w:r>
              <w:rPr>
                <w:highlight w:val="none"/>
              </w:rPr>
              <w:t>空心板、水泥柱产品经运输至养护池内，彩砖、空心砖人工搬运至养护区，自然环境下洒水养护4</w:t>
            </w:r>
            <w:r>
              <w:rPr>
                <w:rFonts w:hint="eastAsia"/>
                <w:highlight w:val="none"/>
                <w:lang w:eastAsia="zh-CN"/>
              </w:rPr>
              <w:t>～</w:t>
            </w:r>
            <w:r>
              <w:rPr>
                <w:highlight w:val="none"/>
              </w:rPr>
              <w:t>8d（天气较冷约10</w:t>
            </w:r>
            <w:r>
              <w:rPr>
                <w:rFonts w:hint="eastAsia"/>
                <w:highlight w:val="none"/>
                <w:lang w:eastAsia="zh-CN"/>
              </w:rPr>
              <w:t>～</w:t>
            </w:r>
            <w:r>
              <w:rPr>
                <w:highlight w:val="none"/>
              </w:rPr>
              <w:t>15d），以促进混凝土的水化和凝固，使其达到脱模程度；成型后的胚未达到相关标准，胚需要继续自然晾干才可达到一定强度。</w:t>
            </w:r>
          </w:p>
          <w:p>
            <w:pPr>
              <w:pStyle w:val="44"/>
              <w:bidi w:val="0"/>
              <w:rPr>
                <w:highlight w:val="none"/>
              </w:rPr>
            </w:pPr>
            <w:r>
              <w:rPr>
                <w:highlight w:val="none"/>
              </w:rPr>
              <w:t>（6）成品暂存</w:t>
            </w:r>
          </w:p>
          <w:p>
            <w:pPr>
              <w:pStyle w:val="44"/>
              <w:bidi w:val="0"/>
              <w:rPr>
                <w:highlight w:val="none"/>
              </w:rPr>
            </w:pPr>
            <w:r>
              <w:rPr>
                <w:highlight w:val="none"/>
              </w:rPr>
              <w:t>养护完成即为砼类预制成品，由运输车辆拉运至场外外售。</w:t>
            </w:r>
          </w:p>
          <w:p>
            <w:pPr>
              <w:pStyle w:val="44"/>
              <w:bidi w:val="0"/>
              <w:rPr>
                <w:highlight w:val="none"/>
              </w:rPr>
            </w:pPr>
            <w:r>
              <w:rPr>
                <w:rFonts w:hint="eastAsia"/>
                <w:highlight w:val="none"/>
                <w:lang w:val="en-US" w:eastAsia="zh-CN"/>
              </w:rPr>
              <w:t>1.2</w:t>
            </w:r>
            <w:r>
              <w:rPr>
                <w:highlight w:val="none"/>
              </w:rPr>
              <w:t>运营期产排污环节</w:t>
            </w:r>
          </w:p>
          <w:p>
            <w:pPr>
              <w:pStyle w:val="44"/>
              <w:bidi w:val="0"/>
              <w:rPr>
                <w:highlight w:val="none"/>
              </w:rPr>
            </w:pPr>
            <w:r>
              <w:rPr>
                <w:rFonts w:hint="eastAsia"/>
                <w:highlight w:val="none"/>
                <w:lang w:val="en-US" w:eastAsia="zh-CN"/>
              </w:rPr>
              <w:t>本项目</w:t>
            </w:r>
            <w:r>
              <w:rPr>
                <w:highlight w:val="none"/>
              </w:rPr>
              <w:t>营运期污染工序与污染因子见下表。</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highlight w:val="none"/>
              </w:rPr>
            </w:pPr>
            <w:r>
              <w:rPr>
                <w:rFonts w:hint="eastAsia" w:ascii="黑体" w:hAnsi="宋体" w:eastAsia="黑体" w:cs="黑体"/>
                <w:color w:val="000000"/>
                <w:kern w:val="0"/>
                <w:sz w:val="24"/>
                <w:szCs w:val="24"/>
                <w:highlight w:val="none"/>
                <w:lang w:val="en-US" w:eastAsia="zh-CN" w:bidi="ar"/>
              </w:rPr>
              <w:t>表2-6  项目产排污情况汇总表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792"/>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80"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污染类别</w:t>
                  </w: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sz w:val="21"/>
                      <w:szCs w:val="21"/>
                      <w:highlight w:val="none"/>
                    </w:rPr>
                    <w:t>污染源</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sz w:val="21"/>
                      <w:szCs w:val="21"/>
                      <w:highlight w:val="none"/>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80" w:type="dxa"/>
                  <w:vMerge w:val="restar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废气</w:t>
                  </w:r>
                </w:p>
              </w:tc>
              <w:tc>
                <w:tcPr>
                  <w:tcW w:w="3792" w:type="dxa"/>
                  <w:noWrap w:val="0"/>
                  <w:vAlign w:val="top"/>
                </w:tcPr>
                <w:p>
                  <w:pPr>
                    <w:pStyle w:val="29"/>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①物料输送粉尘；②物料搅拌粉尘；③原料（沙子、石子）装卸、堆场粉尘；④运输扬尘</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p>
              </w:tc>
              <w:tc>
                <w:tcPr>
                  <w:tcW w:w="3792" w:type="dxa"/>
                  <w:noWrap w:val="0"/>
                  <w:vAlign w:val="top"/>
                </w:tcPr>
                <w:p>
                  <w:pPr>
                    <w:pStyle w:val="29"/>
                    <w:keepNext w:val="0"/>
                    <w:keepLines w:val="0"/>
                    <w:pageBreakBefore w:val="0"/>
                    <w:widowControl w:val="0"/>
                    <w:kinsoku/>
                    <w:wordWrap/>
                    <w:overflowPunct/>
                    <w:topLinePunct w:val="0"/>
                    <w:autoSpaceDE/>
                    <w:autoSpaceDN/>
                    <w:bidi w:val="0"/>
                    <w:spacing w:line="320" w:lineRule="exact"/>
                    <w:ind w:left="0" w:right="0" w:firstLine="0"/>
                    <w:jc w:val="center"/>
                    <w:textAlignment w:val="auto"/>
                    <w:rPr>
                      <w:rFonts w:hint="eastAsia"/>
                      <w:sz w:val="21"/>
                      <w:szCs w:val="21"/>
                      <w:highlight w:val="none"/>
                      <w:lang w:val="en-US" w:eastAsia="zh-CN"/>
                    </w:rPr>
                  </w:pPr>
                  <w:r>
                    <w:rPr>
                      <w:rFonts w:hint="eastAsia"/>
                      <w:sz w:val="21"/>
                      <w:szCs w:val="21"/>
                      <w:highlight w:val="none"/>
                      <w:lang w:val="en-US" w:eastAsia="zh-CN"/>
                    </w:rPr>
                    <w:t>⑤食堂油烟废气</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r>
                    <w:rPr>
                      <w:rFonts w:hint="eastAsia"/>
                      <w:sz w:val="21"/>
                      <w:szCs w:val="21"/>
                      <w:highlight w:val="none"/>
                      <w:lang w:val="en-US" w:eastAsia="zh-CN"/>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废水</w:t>
                  </w: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r>
                    <w:rPr>
                      <w:rFonts w:hint="eastAsia"/>
                      <w:sz w:val="21"/>
                      <w:szCs w:val="21"/>
                      <w:highlight w:val="none"/>
                      <w:lang w:val="en-US" w:eastAsia="zh-CN"/>
                    </w:rPr>
                    <w:t>洗车、养护沉淀池</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r>
                    <w:rPr>
                      <w:rFonts w:hint="eastAsia"/>
                      <w:sz w:val="21"/>
                      <w:szCs w:val="21"/>
                      <w:highlight w:val="no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员工生活</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噪声</w:t>
                  </w: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搅拌机、风机等生产设备及运输车辆</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sz w:val="21"/>
                      <w:szCs w:val="21"/>
                      <w:highlight w:val="none"/>
                    </w:rPr>
                  </w:pPr>
                  <w:r>
                    <w:rPr>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eastAsia"/>
                      <w:sz w:val="21"/>
                      <w:szCs w:val="21"/>
                      <w:highlight w:val="none"/>
                      <w:lang w:val="en-US" w:eastAsia="zh-CN"/>
                    </w:rPr>
                    <w:t>固废</w:t>
                  </w: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sz w:val="21"/>
                      <w:szCs w:val="21"/>
                      <w:highlight w:val="none"/>
                      <w:lang w:val="en-US" w:eastAsia="zh-CN"/>
                    </w:rPr>
                  </w:pPr>
                  <w:r>
                    <w:rPr>
                      <w:rFonts w:hint="default"/>
                      <w:sz w:val="21"/>
                      <w:szCs w:val="21"/>
                      <w:highlight w:val="none"/>
                      <w:lang w:val="en-US" w:eastAsia="zh-CN"/>
                    </w:rPr>
                    <w:t>生产</w:t>
                  </w:r>
                  <w:r>
                    <w:rPr>
                      <w:rFonts w:hint="eastAsia"/>
                      <w:sz w:val="21"/>
                      <w:szCs w:val="21"/>
                      <w:highlight w:val="none"/>
                      <w:lang w:val="en-US" w:eastAsia="zh-CN"/>
                    </w:rPr>
                    <w:t>过程</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eastAsia="宋体"/>
                      <w:sz w:val="21"/>
                      <w:szCs w:val="21"/>
                      <w:highlight w:val="none"/>
                      <w:lang w:val="en-US" w:eastAsia="zh-CN"/>
                    </w:rPr>
                  </w:pPr>
                  <w:r>
                    <w:rPr>
                      <w:rFonts w:hint="eastAsia"/>
                      <w:sz w:val="21"/>
                      <w:szCs w:val="21"/>
                      <w:highlight w:val="none"/>
                      <w:lang w:val="en-US" w:eastAsia="zh-CN"/>
                    </w:rPr>
                    <w:t>车间及除尘系统收集的粉尘、</w:t>
                  </w:r>
                  <w:r>
                    <w:rPr>
                      <w:rFonts w:hint="eastAsia" w:ascii="Times New Roman" w:hAnsi="Times New Roman" w:eastAsia="宋体" w:cs="Times New Roman"/>
                      <w:sz w:val="21"/>
                      <w:szCs w:val="21"/>
                      <w:highlight w:val="none"/>
                      <w:lang w:val="en-US" w:eastAsia="zh-CN"/>
                    </w:rPr>
                    <w:t>废模具、不合格产品、废包装桶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设备保养</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废液压油、废含油抹布及手套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sz w:val="21"/>
                      <w:szCs w:val="21"/>
                      <w:highlight w:val="none"/>
                      <w:lang w:val="en-US" w:eastAsia="zh-CN"/>
                    </w:rPr>
                  </w:pPr>
                </w:p>
              </w:tc>
              <w:tc>
                <w:tcPr>
                  <w:tcW w:w="379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default" w:ascii="Times New Roman" w:hAnsi="Times New Roman" w:eastAsia="宋体"/>
                      <w:kern w:val="0"/>
                      <w:sz w:val="21"/>
                      <w:szCs w:val="21"/>
                      <w:highlight w:val="none"/>
                      <w:lang w:val="en-US" w:eastAsia="zh-CN" w:bidi="ar-SA"/>
                    </w:rPr>
                  </w:pPr>
                  <w:r>
                    <w:rPr>
                      <w:rFonts w:hint="eastAsia"/>
                      <w:sz w:val="21"/>
                      <w:szCs w:val="21"/>
                      <w:highlight w:val="none"/>
                      <w:lang w:val="en-US" w:eastAsia="zh-CN"/>
                    </w:rPr>
                    <w:t>员工生活</w:t>
                  </w:r>
                </w:p>
              </w:tc>
              <w:tc>
                <w:tcPr>
                  <w:tcW w:w="2972" w:type="dxa"/>
                  <w:noWrap w:val="0"/>
                  <w:vAlign w:val="center"/>
                </w:tcPr>
                <w:p>
                  <w:pPr>
                    <w:pStyle w:val="43"/>
                    <w:keepNext w:val="0"/>
                    <w:keepLines w:val="0"/>
                    <w:pageBreakBefore w:val="0"/>
                    <w:widowControl w:val="0"/>
                    <w:kinsoku/>
                    <w:wordWrap/>
                    <w:overflowPunct/>
                    <w:topLinePunct w:val="0"/>
                    <w:autoSpaceDE/>
                    <w:autoSpaceDN/>
                    <w:bidi w:val="0"/>
                    <w:spacing w:before="0" w:beforeLines="0" w:after="0" w:afterLines="0" w:line="320" w:lineRule="exact"/>
                    <w:ind w:left="0" w:right="0" w:firstLine="0"/>
                    <w:textAlignment w:val="auto"/>
                    <w:rPr>
                      <w:rFonts w:hint="eastAsia" w:ascii="Times New Roman" w:hAnsi="Times New Roman" w:eastAsia="宋体"/>
                      <w:kern w:val="0"/>
                      <w:sz w:val="21"/>
                      <w:szCs w:val="21"/>
                      <w:highlight w:val="none"/>
                      <w:lang w:val="en-US" w:eastAsia="zh-CN" w:bidi="ar-SA"/>
                    </w:rPr>
                  </w:pPr>
                  <w:r>
                    <w:rPr>
                      <w:rFonts w:hint="eastAsia"/>
                      <w:sz w:val="21"/>
                      <w:szCs w:val="21"/>
                      <w:highlight w:val="none"/>
                      <w:lang w:val="en-US" w:eastAsia="zh-CN"/>
                    </w:rPr>
                    <w:t>生活垃圾</w:t>
                  </w:r>
                </w:p>
              </w:tc>
            </w:tr>
          </w:tbl>
          <w:p>
            <w:pPr>
              <w:pStyle w:val="44"/>
              <w:bidi w:val="0"/>
              <w:ind w:left="0" w:leftChars="0" w:firstLine="0" w:firstLineChars="0"/>
              <w:rPr>
                <w:rFonts w:hint="default" w:ascii="宋体" w:hAnsi="宋体" w:eastAsia="宋体" w:cs="宋体"/>
                <w:sz w:val="24"/>
                <w:szCs w:val="24"/>
                <w:highlight w:val="none"/>
                <w:lang w:val="en-US" w:eastAsia="zh-CN"/>
              </w:rPr>
            </w:pPr>
          </w:p>
          <w:p>
            <w:pPr>
              <w:pStyle w:val="44"/>
              <w:bidi w:val="0"/>
              <w:ind w:left="0" w:leftChars="0" w:firstLine="0" w:firstLineChars="0"/>
              <w:rPr>
                <w:rFonts w:hint="default" w:ascii="宋体" w:hAnsi="宋体" w:eastAsia="宋体" w:cs="宋体"/>
                <w:sz w:val="24"/>
                <w:szCs w:val="24"/>
                <w:highlight w:val="none"/>
                <w:lang w:val="en-US" w:eastAsia="zh-CN"/>
              </w:rPr>
            </w:pPr>
          </w:p>
          <w:p>
            <w:pPr>
              <w:pStyle w:val="44"/>
              <w:bidi w:val="0"/>
              <w:ind w:left="0" w:leftChars="0" w:firstLine="0" w:firstLineChars="0"/>
              <w:rPr>
                <w:rFonts w:hint="default" w:ascii="宋体" w:hAnsi="宋体" w:eastAsia="宋体" w:cs="宋体"/>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156" w:hRule="atLeast"/>
          <w:jc w:val="center"/>
        </w:trPr>
        <w:tc>
          <w:tcPr>
            <w:tcW w:w="823" w:type="dxa"/>
            <w:noWrap w:val="0"/>
            <w:vAlign w:val="center"/>
          </w:tcPr>
          <w:p>
            <w:pPr>
              <w:pStyle w:val="44"/>
              <w:bidi w:val="0"/>
              <w:ind w:left="0" w:leftChars="0" w:firstLine="0" w:firstLineChars="0"/>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与项目有关的原有环境污染问题</w:t>
            </w:r>
          </w:p>
        </w:tc>
        <w:tc>
          <w:tcPr>
            <w:tcW w:w="8161" w:type="dxa"/>
            <w:noWrap w:val="0"/>
            <w:vAlign w:val="center"/>
          </w:tcPr>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本项目为新建项目，</w:t>
            </w:r>
            <w:r>
              <w:rPr>
                <w:rFonts w:hint="eastAsia" w:ascii="Times New Roman" w:hAnsi="Times New Roman" w:cs="Times New Roman"/>
                <w:highlight w:val="none"/>
                <w:lang w:val="en-US" w:eastAsia="zh-CN"/>
              </w:rPr>
              <w:t>不涉及与项目有关的原有环境污染问题。</w:t>
            </w:r>
          </w:p>
        </w:tc>
      </w:tr>
    </w:tbl>
    <w:p>
      <w:pPr>
        <w:pStyle w:val="44"/>
        <w:bidi w:val="0"/>
        <w:rPr>
          <w:rFonts w:hint="default" w:ascii="Times New Roman" w:hAnsi="Times New Roman" w:cs="Times New Roman"/>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14" w:lineRule="auto"/>
        <w:jc w:val="center"/>
        <w:outlineLvl w:val="0"/>
        <w:rPr>
          <w:rFonts w:hint="eastAsia" w:ascii="黑体" w:hAnsi="黑体" w:eastAsia="黑体"/>
          <w:snapToGrid w:val="0"/>
          <w:sz w:val="30"/>
          <w:szCs w:val="30"/>
          <w:highlight w:val="none"/>
        </w:rPr>
      </w:pPr>
    </w:p>
    <w:p>
      <w:pPr>
        <w:pStyle w:val="18"/>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三、区域环境质量现状、环境保护目标及评价标准</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7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800" w:type="dxa"/>
            <w:noWrap w:val="0"/>
            <w:vAlign w:val="center"/>
          </w:tcPr>
          <w:p>
            <w:pPr>
              <w:pStyle w:val="44"/>
              <w:bidi w:val="0"/>
              <w:ind w:left="0" w:leftChars="0" w:firstLine="0" w:firstLineChars="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区域环境质量现状</w:t>
            </w:r>
          </w:p>
        </w:tc>
        <w:tc>
          <w:tcPr>
            <w:tcW w:w="8190" w:type="dxa"/>
            <w:noWrap w:val="0"/>
            <w:vAlign w:val="center"/>
          </w:tcPr>
          <w:p>
            <w:pPr>
              <w:pStyle w:val="44"/>
              <w:bidi w:val="0"/>
              <w:rPr>
                <w:b/>
                <w:bCs/>
                <w:highlight w:val="none"/>
              </w:rPr>
            </w:pPr>
            <w:r>
              <w:rPr>
                <w:b/>
                <w:bCs/>
                <w:highlight w:val="none"/>
              </w:rPr>
              <w:t>1</w:t>
            </w:r>
            <w:r>
              <w:rPr>
                <w:rFonts w:hint="eastAsia"/>
                <w:b/>
                <w:bCs/>
                <w:highlight w:val="none"/>
                <w:lang w:val="en-US" w:eastAsia="zh-CN"/>
              </w:rPr>
              <w:t>.</w:t>
            </w:r>
            <w:r>
              <w:rPr>
                <w:b/>
                <w:bCs/>
                <w:highlight w:val="none"/>
              </w:rPr>
              <w:t>大气环境质量现状</w:t>
            </w:r>
          </w:p>
          <w:p>
            <w:pPr>
              <w:pStyle w:val="44"/>
              <w:bidi w:val="0"/>
              <w:rPr>
                <w:highlight w:val="none"/>
              </w:rPr>
            </w:pPr>
            <w:r>
              <w:rPr>
                <w:rFonts w:hint="eastAsia"/>
                <w:highlight w:val="none"/>
                <w:lang w:val="en-US" w:eastAsia="zh-CN"/>
              </w:rPr>
              <w:t>1</w:t>
            </w:r>
            <w:r>
              <w:rPr>
                <w:highlight w:val="none"/>
              </w:rPr>
              <w:t>.1基本污染物环境质量现状</w:t>
            </w:r>
          </w:p>
          <w:p>
            <w:pPr>
              <w:pStyle w:val="44"/>
              <w:bidi w:val="0"/>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sz w:val="24"/>
                <w:szCs w:val="24"/>
              </w:rPr>
              <w:t>项目区位于新疆巴州</w:t>
            </w:r>
            <w:r>
              <w:rPr>
                <w:rFonts w:hint="eastAsia" w:eastAsia="宋体" w:cs="Times New Roman"/>
                <w:sz w:val="24"/>
                <w:szCs w:val="24"/>
                <w:lang w:val="en-US" w:eastAsia="zh-CN"/>
              </w:rPr>
              <w:t>博湖县</w:t>
            </w:r>
            <w:r>
              <w:rPr>
                <w:rFonts w:hint="default" w:ascii="Times New Roman" w:hAnsi="Times New Roman" w:eastAsia="宋体" w:cs="Times New Roman"/>
                <w:sz w:val="24"/>
                <w:szCs w:val="24"/>
              </w:rPr>
              <w:t>境内，</w:t>
            </w:r>
            <w:r>
              <w:rPr>
                <w:rFonts w:hint="default" w:ascii="Times New Roman" w:hAnsi="Times New Roman" w:cs="Times New Roman"/>
                <w:highlight w:val="none"/>
                <w:lang w:val="en-US" w:eastAsia="zh-CN"/>
              </w:rPr>
              <w:t>项目所在地</w:t>
            </w:r>
            <w:r>
              <w:rPr>
                <w:rFonts w:hint="eastAsia" w:ascii="Times New Roman" w:hAnsi="Times New Roman" w:cs="Times New Roman"/>
                <w:highlight w:val="none"/>
                <w:lang w:val="en-US" w:eastAsia="zh-CN"/>
              </w:rPr>
              <w:t>巴州</w:t>
            </w:r>
            <w:r>
              <w:rPr>
                <w:rFonts w:hint="default" w:ascii="Times New Roman" w:hAnsi="Times New Roman" w:cs="Times New Roman"/>
                <w:highlight w:val="none"/>
                <w:lang w:val="en-US" w:eastAsia="zh-CN"/>
              </w:rPr>
              <w:t>生态环境局</w:t>
            </w:r>
            <w:r>
              <w:rPr>
                <w:rFonts w:hint="eastAsia" w:ascii="Times New Roman" w:hAnsi="Times New Roman" w:cs="Times New Roman"/>
                <w:highlight w:val="none"/>
                <w:lang w:val="en-US" w:eastAsia="zh-CN"/>
              </w:rPr>
              <w:t>博湖县分局</w:t>
            </w:r>
            <w:r>
              <w:rPr>
                <w:rFonts w:hint="default" w:ascii="Times New Roman" w:hAnsi="Times New Roman" w:cs="Times New Roman"/>
                <w:highlight w:val="none"/>
                <w:lang w:val="en-US" w:eastAsia="zh-CN"/>
              </w:rPr>
              <w:t>未发布环境质量报告，</w:t>
            </w:r>
            <w:r>
              <w:rPr>
                <w:rFonts w:hint="default" w:ascii="Times New Roman" w:hAnsi="Times New Roman" w:cs="Times New Roman"/>
                <w:highlight w:val="none"/>
              </w:rPr>
              <w:t>根据《建设项目环境影响报告表编制技术指南（污染影响类）（试行）》</w:t>
            </w:r>
            <w:r>
              <w:rPr>
                <w:rFonts w:hint="default" w:ascii="Times New Roman" w:hAnsi="Times New Roman" w:cs="Times New Roman"/>
                <w:highlight w:val="none"/>
                <w:lang w:val="en-US" w:eastAsia="zh-CN"/>
              </w:rPr>
              <w:t>中</w:t>
            </w:r>
            <w:r>
              <w:rPr>
                <w:rFonts w:hint="default" w:ascii="Times New Roman" w:hAnsi="Times New Roman" w:cs="Times New Roman"/>
                <w:highlight w:val="none"/>
              </w:rPr>
              <w:t>对环境质量现状数据的要求</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eastAsia="宋体" w:cs="Times New Roman"/>
              </w:rPr>
              <w:t>本评价</w:t>
            </w:r>
            <w:r>
              <w:rPr>
                <w:rFonts w:hint="default" w:ascii="Times New Roman" w:hAnsi="Times New Roman" w:eastAsia="宋体" w:cs="Times New Roman"/>
                <w:lang w:val="en-US" w:eastAsia="zh-CN"/>
              </w:rPr>
              <w:t>选择《巴音郭楞蒙古自治州2024年生态环境状况公报》中公示数据</w:t>
            </w:r>
            <w:r>
              <w:rPr>
                <w:rFonts w:hint="default" w:ascii="Times New Roman" w:hAnsi="Times New Roman" w:cs="Times New Roman"/>
                <w:sz w:val="24"/>
                <w:szCs w:val="24"/>
              </w:rPr>
              <w:t>作为</w:t>
            </w:r>
            <w:r>
              <w:rPr>
                <w:rFonts w:hint="default" w:ascii="Times New Roman" w:hAnsi="Times New Roman" w:cs="Times New Roman"/>
                <w:lang w:val="en-US" w:eastAsia="zh-CN"/>
              </w:rPr>
              <w:t>本项目环境空气现状评价基本污染物SO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、PM</w:t>
            </w:r>
            <w:r>
              <w:rPr>
                <w:rFonts w:hint="default" w:ascii="Times New Roman" w:hAnsi="Times New Roman" w:cs="Times New Roman"/>
                <w:vertAlign w:val="subscript"/>
                <w:lang w:val="en-US" w:eastAsia="zh-CN"/>
              </w:rPr>
              <w:t>10</w:t>
            </w:r>
            <w:r>
              <w:rPr>
                <w:rFonts w:hint="default" w:ascii="Times New Roman" w:hAnsi="Times New Roman" w:cs="Times New Roman"/>
                <w:lang w:val="en-US" w:eastAsia="zh-CN"/>
              </w:rPr>
              <w:t>、PM</w:t>
            </w:r>
            <w:r>
              <w:rPr>
                <w:rFonts w:hint="default" w:ascii="Times New Roman" w:hAnsi="Times New Roman" w:cs="Times New Roman"/>
                <w:vertAlign w:val="subscript"/>
                <w:lang w:val="en-US" w:eastAsia="zh-CN"/>
              </w:rPr>
              <w:t>2.5</w:t>
            </w:r>
            <w:r>
              <w:rPr>
                <w:rFonts w:hint="default" w:ascii="Times New Roman" w:hAnsi="Times New Roman" w:cs="Times New Roman"/>
                <w:lang w:val="en-US" w:eastAsia="zh-CN"/>
              </w:rPr>
              <w:t>、CO和O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的数据来源</w:t>
            </w:r>
            <w:r>
              <w:rPr>
                <w:rFonts w:hint="default" w:ascii="Times New Roman" w:hAnsi="Times New Roman" w:cs="Times New Roman"/>
                <w:color w:val="auto"/>
                <w:kern w:val="0"/>
                <w:szCs w:val="21"/>
                <w:highlight w:val="none"/>
                <w:lang w:eastAsia="zh-CN"/>
              </w:rPr>
              <w:t>。</w:t>
            </w:r>
          </w:p>
          <w:p>
            <w:pPr>
              <w:pStyle w:val="44"/>
              <w:bidi w:val="0"/>
              <w:rPr>
                <w:highlight w:val="none"/>
              </w:rPr>
            </w:pPr>
            <w:r>
              <w:rPr>
                <w:rFonts w:hint="default" w:ascii="Times New Roman" w:hAnsi="Times New Roman" w:cs="Times New Roman"/>
                <w:color w:val="auto"/>
                <w:kern w:val="0"/>
                <w:szCs w:val="21"/>
                <w:highlight w:val="none"/>
              </w:rPr>
              <w:t>2024年，全州平均优良天数比例为62%，同比增加15.7%，全州空气质量综合指数为5.22，同比下降7.9%，空气质量明显好于2023年。PM</w:t>
            </w:r>
            <w:r>
              <w:rPr>
                <w:rFonts w:hint="default" w:ascii="Times New Roman" w:hAnsi="Times New Roman" w:cs="Times New Roman"/>
                <w:color w:val="auto"/>
                <w:kern w:val="0"/>
                <w:szCs w:val="21"/>
                <w:highlight w:val="none"/>
                <w:vertAlign w:val="subscript"/>
              </w:rPr>
              <w:t>10</w:t>
            </w:r>
            <w:r>
              <w:rPr>
                <w:rFonts w:hint="default" w:ascii="Times New Roman" w:hAnsi="Times New Roman" w:cs="Times New Roman"/>
                <w:color w:val="auto"/>
                <w:kern w:val="0"/>
                <w:szCs w:val="21"/>
                <w:highlight w:val="none"/>
              </w:rPr>
              <w:t>为首要污染物，未出现PM</w:t>
            </w:r>
            <w:r>
              <w:rPr>
                <w:rFonts w:hint="default" w:ascii="Times New Roman" w:hAnsi="Times New Roman" w:cs="Times New Roman"/>
                <w:color w:val="auto"/>
                <w:kern w:val="0"/>
                <w:szCs w:val="21"/>
                <w:highlight w:val="none"/>
                <w:vertAlign w:val="subscript"/>
              </w:rPr>
              <w:t>2.5</w:t>
            </w:r>
            <w:r>
              <w:rPr>
                <w:rFonts w:hint="default" w:ascii="Times New Roman" w:hAnsi="Times New Roman" w:cs="Times New Roman"/>
                <w:color w:val="auto"/>
                <w:kern w:val="0"/>
                <w:szCs w:val="21"/>
                <w:highlight w:val="none"/>
              </w:rPr>
              <w:t>、O</w:t>
            </w:r>
            <w:r>
              <w:rPr>
                <w:rFonts w:hint="default" w:ascii="Times New Roman" w:hAnsi="Times New Roman" w:cs="Times New Roman"/>
                <w:color w:val="auto"/>
                <w:kern w:val="0"/>
                <w:szCs w:val="21"/>
                <w:highlight w:val="none"/>
                <w:vertAlign w:val="subscript"/>
              </w:rPr>
              <w:t>3</w:t>
            </w:r>
            <w:r>
              <w:rPr>
                <w:rFonts w:hint="default" w:ascii="Times New Roman" w:hAnsi="Times New Roman" w:cs="Times New Roman"/>
                <w:color w:val="auto"/>
                <w:kern w:val="0"/>
                <w:szCs w:val="21"/>
                <w:highlight w:val="none"/>
              </w:rPr>
              <w:t>-8H、SO</w:t>
            </w:r>
            <w:r>
              <w:rPr>
                <w:rFonts w:hint="default" w:ascii="Times New Roman" w:hAnsi="Times New Roman" w:cs="Times New Roman"/>
                <w:color w:val="auto"/>
                <w:kern w:val="0"/>
                <w:szCs w:val="21"/>
                <w:highlight w:val="none"/>
                <w:vertAlign w:val="subscript"/>
              </w:rPr>
              <w:t>2</w:t>
            </w:r>
            <w:r>
              <w:rPr>
                <w:rFonts w:hint="default" w:ascii="Times New Roman" w:hAnsi="Times New Roman" w:cs="Times New Roman"/>
                <w:color w:val="auto"/>
                <w:kern w:val="0"/>
                <w:szCs w:val="21"/>
                <w:highlight w:val="none"/>
              </w:rPr>
              <w:t>、NO</w:t>
            </w:r>
            <w:r>
              <w:rPr>
                <w:rFonts w:hint="default" w:ascii="Times New Roman" w:hAnsi="Times New Roman" w:cs="Times New Roman"/>
                <w:color w:val="auto"/>
                <w:kern w:val="0"/>
                <w:szCs w:val="21"/>
                <w:highlight w:val="none"/>
                <w:vertAlign w:val="subscript"/>
              </w:rPr>
              <w:t>2</w:t>
            </w:r>
            <w:r>
              <w:rPr>
                <w:rFonts w:hint="default" w:ascii="Times New Roman" w:hAnsi="Times New Roman" w:cs="Times New Roman"/>
                <w:color w:val="auto"/>
                <w:kern w:val="0"/>
                <w:szCs w:val="21"/>
                <w:highlight w:val="none"/>
              </w:rPr>
              <w:t>、CO为首要污染物的超标</w:t>
            </w:r>
            <w:r>
              <w:rPr>
                <w:rFonts w:hint="default" w:ascii="Times New Roman" w:hAnsi="Times New Roman" w:cs="Times New Roman"/>
                <w:color w:val="auto"/>
                <w:kern w:val="0"/>
                <w:szCs w:val="21"/>
                <w:highlight w:val="none"/>
                <w:lang w:val="en-US" w:eastAsia="zh-CN"/>
              </w:rPr>
              <w:t>天。</w:t>
            </w:r>
            <w:r>
              <w:rPr>
                <w:rFonts w:hint="default" w:ascii="Times New Roman" w:hAnsi="Times New Roman" w:eastAsia="宋体" w:cs="Times New Roman"/>
              </w:rPr>
              <w:t>项目所在区域为不达标区。超标原因与当地降水量较少、气候较干燥，并受到季节性风沙影响易产生扬尘</w:t>
            </w:r>
            <w:r>
              <w:rPr>
                <w:rFonts w:hint="default" w:ascii="Times New Roman" w:hAnsi="Times New Roman" w:cs="Times New Roman"/>
                <w:sz w:val="24"/>
                <w:szCs w:val="24"/>
              </w:rPr>
              <w:t>有密切关系。</w:t>
            </w:r>
          </w:p>
          <w:p>
            <w:pPr>
              <w:pStyle w:val="44"/>
              <w:bidi w:val="0"/>
              <w:rPr>
                <w:highlight w:val="none"/>
              </w:rPr>
            </w:pPr>
            <w:r>
              <w:rPr>
                <w:rFonts w:hint="eastAsia"/>
                <w:highlight w:val="none"/>
                <w:lang w:val="en-US" w:eastAsia="zh-CN"/>
              </w:rPr>
              <w:t>1.2</w:t>
            </w:r>
            <w:r>
              <w:rPr>
                <w:highlight w:val="none"/>
              </w:rPr>
              <w:t>特征污染物环境质量现状</w:t>
            </w:r>
          </w:p>
          <w:p>
            <w:pPr>
              <w:pStyle w:val="44"/>
              <w:bidi w:val="0"/>
              <w:rPr>
                <w:highlight w:val="none"/>
              </w:rPr>
            </w:pPr>
            <w:r>
              <w:rPr>
                <w:highlight w:val="none"/>
              </w:rPr>
              <w:t>本项目涉及的特征污染物为</w:t>
            </w:r>
            <w:r>
              <w:rPr>
                <w:rFonts w:hint="eastAsia"/>
                <w:highlight w:val="none"/>
                <w:lang w:val="en-US" w:eastAsia="zh-CN"/>
              </w:rPr>
              <w:t>TSP</w:t>
            </w:r>
            <w:r>
              <w:rPr>
                <w:highlight w:val="none"/>
              </w:rPr>
              <w:t>，根据《</w:t>
            </w:r>
            <w:r>
              <w:rPr>
                <w:rFonts w:hint="eastAsia"/>
                <w:highlight w:val="none"/>
              </w:rPr>
              <w:t>建设项目环境影响报告表编制技术指南（污染影响类）（试行）</w:t>
            </w:r>
            <w:r>
              <w:rPr>
                <w:highlight w:val="none"/>
              </w:rPr>
              <w:t>》</w:t>
            </w:r>
            <w:r>
              <w:rPr>
                <w:rFonts w:hint="eastAsia"/>
                <w:highlight w:val="none"/>
                <w:lang w:val="en-US" w:eastAsia="zh-CN"/>
              </w:rPr>
              <w:t>中</w:t>
            </w:r>
            <w:r>
              <w:rPr>
                <w:highlight w:val="none"/>
              </w:rPr>
              <w:t>对环境质量现状数据的要求</w:t>
            </w:r>
            <w:r>
              <w:rPr>
                <w:rFonts w:hint="eastAsia"/>
                <w:highlight w:val="none"/>
                <w:lang w:eastAsia="zh-CN"/>
              </w:rPr>
              <w:t>：“</w:t>
            </w:r>
            <w:r>
              <w:rPr>
                <w:rFonts w:hint="eastAsia"/>
                <w:highlight w:val="none"/>
                <w:lang w:val="en-US" w:eastAsia="zh-CN"/>
              </w:rPr>
              <w:t>排放国家、地方环境空气质量标准中有标准限值要求的特征污染物时，引用建设项目周边5千米范围内近3年的现有监测数据</w:t>
            </w:r>
            <w:r>
              <w:rPr>
                <w:rFonts w:hint="eastAsia"/>
                <w:highlight w:val="none"/>
                <w:lang w:eastAsia="zh-CN"/>
              </w:rPr>
              <w:t>”，</w:t>
            </w:r>
            <w:r>
              <w:rPr>
                <w:highlight w:val="none"/>
              </w:rPr>
              <w:t>本次环评引用《</w:t>
            </w:r>
            <w:r>
              <w:rPr>
                <w:rFonts w:hint="eastAsia"/>
                <w:highlight w:val="none"/>
                <w:lang w:val="en-US" w:eastAsia="zh-CN"/>
              </w:rPr>
              <w:t>焉耆兴和木业有限公司检测报告</w:t>
            </w:r>
            <w:r>
              <w:rPr>
                <w:highlight w:val="none"/>
              </w:rPr>
              <w:t>》中数据</w:t>
            </w:r>
            <w:r>
              <w:rPr>
                <w:rFonts w:hint="eastAsia"/>
                <w:highlight w:val="none"/>
                <w:lang w:eastAsia="zh-CN"/>
              </w:rPr>
              <w:t>（报告编号：ZCQ2025070349-01），</w:t>
            </w:r>
            <w:r>
              <w:rPr>
                <w:rFonts w:hint="eastAsia"/>
                <w:highlight w:val="none"/>
                <w:lang w:val="en-US" w:eastAsia="zh-CN"/>
              </w:rPr>
              <w:t>监测公司为新疆中测测试有限责任公司，本项目与监测对象厂址邻近</w:t>
            </w:r>
            <w:r>
              <w:rPr>
                <w:highlight w:val="none"/>
              </w:rPr>
              <w:t>，位于本项目区</w:t>
            </w:r>
            <w:r>
              <w:rPr>
                <w:rFonts w:hint="eastAsia"/>
                <w:highlight w:val="none"/>
                <w:lang w:val="en-US" w:eastAsia="zh-CN"/>
              </w:rPr>
              <w:t>西北</w:t>
            </w:r>
            <w:r>
              <w:rPr>
                <w:highlight w:val="none"/>
              </w:rPr>
              <w:t>侧约</w:t>
            </w:r>
            <w:r>
              <w:rPr>
                <w:rFonts w:hint="eastAsia"/>
                <w:highlight w:val="none"/>
                <w:lang w:val="en-US" w:eastAsia="zh-CN"/>
              </w:rPr>
              <w:t>1</w:t>
            </w:r>
            <w:r>
              <w:rPr>
                <w:highlight w:val="none"/>
              </w:rPr>
              <w:t>km</w:t>
            </w:r>
            <w:r>
              <w:rPr>
                <w:rFonts w:hint="eastAsia"/>
                <w:highlight w:val="none"/>
                <w:lang w:eastAsia="zh-CN"/>
              </w:rPr>
              <w:t>，</w:t>
            </w:r>
            <w:r>
              <w:rPr>
                <w:rFonts w:hint="eastAsia"/>
                <w:highlight w:val="none"/>
                <w:lang w:val="en-US" w:eastAsia="zh-CN"/>
              </w:rPr>
              <w:t>监测地点属于建设项目周边5千米范围内；</w:t>
            </w:r>
            <w:r>
              <w:rPr>
                <w:highlight w:val="none"/>
              </w:rPr>
              <w:t>监测时间为</w:t>
            </w:r>
            <w:r>
              <w:rPr>
                <w:rFonts w:hint="eastAsia"/>
                <w:highlight w:val="none"/>
                <w:lang w:val="en-US" w:eastAsia="zh-CN"/>
              </w:rPr>
              <w:t>2025</w:t>
            </w:r>
            <w:r>
              <w:rPr>
                <w:highlight w:val="none"/>
              </w:rPr>
              <w:t>年</w:t>
            </w:r>
            <w:r>
              <w:rPr>
                <w:rFonts w:hint="eastAsia"/>
                <w:highlight w:val="none"/>
                <w:lang w:val="en-US" w:eastAsia="zh-CN"/>
              </w:rPr>
              <w:t>7</w:t>
            </w:r>
            <w:r>
              <w:rPr>
                <w:highlight w:val="none"/>
              </w:rPr>
              <w:t>月</w:t>
            </w:r>
            <w:r>
              <w:rPr>
                <w:rFonts w:hint="eastAsia"/>
                <w:highlight w:val="none"/>
                <w:lang w:val="en-US" w:eastAsia="zh-CN"/>
              </w:rPr>
              <w:t>16</w:t>
            </w:r>
            <w:r>
              <w:rPr>
                <w:highlight w:val="none"/>
              </w:rPr>
              <w:t>日</w:t>
            </w:r>
            <w:r>
              <w:rPr>
                <w:rFonts w:hint="eastAsia"/>
                <w:highlight w:val="none"/>
                <w:lang w:eastAsia="zh-CN"/>
              </w:rPr>
              <w:t>—</w:t>
            </w:r>
            <w:r>
              <w:rPr>
                <w:rFonts w:hint="eastAsia"/>
                <w:highlight w:val="none"/>
                <w:lang w:val="en-US" w:eastAsia="zh-CN"/>
              </w:rPr>
              <w:t>7</w:t>
            </w:r>
            <w:r>
              <w:rPr>
                <w:highlight w:val="none"/>
              </w:rPr>
              <w:t>月</w:t>
            </w:r>
            <w:r>
              <w:rPr>
                <w:rFonts w:hint="eastAsia"/>
                <w:highlight w:val="none"/>
                <w:lang w:val="en-US" w:eastAsia="zh-CN"/>
              </w:rPr>
              <w:t>25</w:t>
            </w:r>
            <w:r>
              <w:rPr>
                <w:highlight w:val="none"/>
              </w:rPr>
              <w:t>日</w:t>
            </w:r>
            <w:r>
              <w:rPr>
                <w:rFonts w:hint="eastAsia"/>
                <w:highlight w:val="none"/>
                <w:lang w:eastAsia="zh-CN"/>
              </w:rPr>
              <w:t>，</w:t>
            </w:r>
            <w:r>
              <w:rPr>
                <w:rFonts w:hint="eastAsia"/>
                <w:highlight w:val="none"/>
                <w:lang w:val="en-US" w:eastAsia="zh-CN"/>
              </w:rPr>
              <w:t>监测时间属于近三年的时间范畴，引用监测数据有效可行（引用数据监测点位见附图7）</w:t>
            </w:r>
            <w:r>
              <w:rPr>
                <w:highlight w:val="none"/>
              </w:rPr>
              <w:t>。特征污染物监测结果及评价结果见下表。</w:t>
            </w:r>
          </w:p>
          <w:p>
            <w:pPr>
              <w:pStyle w:val="44"/>
              <w:bidi w:val="0"/>
              <w:rPr>
                <w:highlight w:val="none"/>
              </w:rPr>
            </w:pPr>
          </w:p>
          <w:p>
            <w:pPr>
              <w:pStyle w:val="44"/>
              <w:bidi w:val="0"/>
              <w:spacing w:line="240" w:lineRule="auto"/>
              <w:rPr>
                <w:highlight w:val="none"/>
              </w:rPr>
            </w:pP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default"/>
                <w:highlight w:val="none"/>
                <w:lang w:val="en-US" w:eastAsia="zh-CN"/>
              </w:rPr>
            </w:pPr>
            <w:r>
              <w:rPr>
                <w:rFonts w:hint="eastAsia" w:ascii="黑体" w:hAnsi="宋体" w:eastAsia="黑体" w:cs="黑体"/>
                <w:color w:val="000000"/>
                <w:kern w:val="0"/>
                <w:sz w:val="24"/>
                <w:szCs w:val="24"/>
                <w:highlight w:val="none"/>
                <w:lang w:val="en-US" w:eastAsia="zh-CN" w:bidi="ar"/>
              </w:rPr>
              <w:t>表3-1  特征污染物监测结果一览表</w:t>
            </w:r>
          </w:p>
          <w:tbl>
            <w:tblPr>
              <w:tblStyle w:val="2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319"/>
              <w:gridCol w:w="1217"/>
              <w:gridCol w:w="1275"/>
              <w:gridCol w:w="1227"/>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6" w:type="dxa"/>
                  <w:noWrap w:val="0"/>
                  <w:vAlign w:val="center"/>
                </w:tcPr>
                <w:p>
                  <w:pPr>
                    <w:pStyle w:val="43"/>
                    <w:bidi w:val="0"/>
                    <w:rPr>
                      <w:rFonts w:hint="default"/>
                      <w:highlight w:val="none"/>
                      <w:lang w:val="en-US" w:eastAsia="zh-CN"/>
                    </w:rPr>
                  </w:pPr>
                  <w:r>
                    <w:rPr>
                      <w:rFonts w:hint="eastAsia"/>
                      <w:highlight w:val="none"/>
                      <w:lang w:val="en-US" w:eastAsia="zh-CN"/>
                    </w:rPr>
                    <w:t>监测项目</w:t>
                  </w:r>
                </w:p>
              </w:tc>
              <w:tc>
                <w:tcPr>
                  <w:tcW w:w="1304" w:type="dxa"/>
                  <w:noWrap w:val="0"/>
                  <w:vAlign w:val="center"/>
                </w:tcPr>
                <w:p>
                  <w:pPr>
                    <w:pStyle w:val="43"/>
                    <w:bidi w:val="0"/>
                    <w:rPr>
                      <w:rFonts w:hint="default"/>
                      <w:highlight w:val="none"/>
                      <w:lang w:val="en-US" w:eastAsia="zh-CN"/>
                    </w:rPr>
                  </w:pPr>
                  <w:r>
                    <w:rPr>
                      <w:rFonts w:hint="eastAsia"/>
                      <w:highlight w:val="none"/>
                      <w:lang w:val="en-US" w:eastAsia="zh-CN"/>
                    </w:rPr>
                    <w:t>监测点位</w:t>
                  </w:r>
                </w:p>
              </w:tc>
              <w:tc>
                <w:tcPr>
                  <w:tcW w:w="1230" w:type="dxa"/>
                  <w:noWrap w:val="0"/>
                  <w:vAlign w:val="center"/>
                </w:tcPr>
                <w:p>
                  <w:pPr>
                    <w:pStyle w:val="43"/>
                    <w:bidi w:val="0"/>
                    <w:rPr>
                      <w:rFonts w:hint="default"/>
                      <w:highlight w:val="none"/>
                      <w:lang w:val="en-US" w:eastAsia="zh-CN"/>
                    </w:rPr>
                  </w:pPr>
                  <w:r>
                    <w:rPr>
                      <w:rFonts w:hint="eastAsia"/>
                      <w:highlight w:val="none"/>
                      <w:lang w:val="en-US" w:eastAsia="zh-CN"/>
                    </w:rPr>
                    <w:t>监测时间</w:t>
                  </w:r>
                </w:p>
              </w:tc>
              <w:tc>
                <w:tcPr>
                  <w:tcW w:w="1230" w:type="dxa"/>
                  <w:noWrap w:val="0"/>
                  <w:vAlign w:val="center"/>
                </w:tcPr>
                <w:p>
                  <w:pPr>
                    <w:pStyle w:val="43"/>
                    <w:bidi w:val="0"/>
                    <w:rPr>
                      <w:rFonts w:hint="eastAsia"/>
                      <w:highlight w:val="none"/>
                      <w:lang w:val="en-US" w:eastAsia="zh-CN"/>
                    </w:rPr>
                  </w:pPr>
                  <w:r>
                    <w:rPr>
                      <w:rFonts w:hint="eastAsia"/>
                      <w:highlight w:val="none"/>
                      <w:lang w:val="en-US" w:eastAsia="zh-CN"/>
                    </w:rPr>
                    <w:t>检测结果（mg/m</w:t>
                  </w:r>
                  <w:r>
                    <w:rPr>
                      <w:rFonts w:hint="eastAsia"/>
                      <w:highlight w:val="none"/>
                      <w:vertAlign w:val="superscript"/>
                      <w:lang w:val="en-US" w:eastAsia="zh-CN"/>
                    </w:rPr>
                    <w:t>3</w:t>
                  </w:r>
                  <w:r>
                    <w:rPr>
                      <w:rFonts w:hint="eastAsia"/>
                      <w:highlight w:val="none"/>
                      <w:lang w:val="en-US" w:eastAsia="zh-CN"/>
                    </w:rPr>
                    <w:t>）</w:t>
                  </w:r>
                </w:p>
              </w:tc>
              <w:tc>
                <w:tcPr>
                  <w:tcW w:w="1231" w:type="dxa"/>
                  <w:noWrap w:val="0"/>
                  <w:vAlign w:val="center"/>
                </w:tcPr>
                <w:p>
                  <w:pPr>
                    <w:pStyle w:val="43"/>
                    <w:bidi w:val="0"/>
                    <w:rPr>
                      <w:rFonts w:hint="default"/>
                      <w:highlight w:val="none"/>
                      <w:lang w:val="en-US" w:eastAsia="zh-CN"/>
                    </w:rPr>
                  </w:pPr>
                  <w:r>
                    <w:rPr>
                      <w:rFonts w:hint="eastAsia"/>
                      <w:highlight w:val="none"/>
                      <w:lang w:val="en-US" w:eastAsia="zh-CN"/>
                    </w:rPr>
                    <w:t>占标率/%</w:t>
                  </w:r>
                </w:p>
              </w:tc>
              <w:tc>
                <w:tcPr>
                  <w:tcW w:w="1231" w:type="dxa"/>
                  <w:noWrap w:val="0"/>
                  <w:vAlign w:val="center"/>
                </w:tcPr>
                <w:p>
                  <w:pPr>
                    <w:pStyle w:val="43"/>
                    <w:bidi w:val="0"/>
                    <w:rPr>
                      <w:rFonts w:hint="eastAsia"/>
                      <w:highlight w:val="none"/>
                      <w:lang w:val="en-US" w:eastAsia="zh-CN"/>
                    </w:rPr>
                  </w:pPr>
                  <w:r>
                    <w:rPr>
                      <w:rFonts w:hint="eastAsia"/>
                      <w:highlight w:val="none"/>
                      <w:lang w:val="en-US" w:eastAsia="zh-CN"/>
                    </w:rPr>
                    <w:t>评价标准（mg/m</w:t>
                  </w:r>
                  <w:r>
                    <w:rPr>
                      <w:rFonts w:hint="eastAsia"/>
                      <w:highlight w:val="none"/>
                      <w:vertAlign w:val="superscript"/>
                      <w:lang w:val="en-US" w:eastAsia="zh-CN"/>
                    </w:rPr>
                    <w:t>3</w:t>
                  </w: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6" w:type="dxa"/>
                  <w:noWrap w:val="0"/>
                  <w:vAlign w:val="center"/>
                </w:tcPr>
                <w:p>
                  <w:pPr>
                    <w:pStyle w:val="43"/>
                    <w:bidi w:val="0"/>
                    <w:rPr>
                      <w:rFonts w:hint="default"/>
                      <w:highlight w:val="none"/>
                      <w:lang w:val="en-US" w:eastAsia="zh-CN"/>
                    </w:rPr>
                  </w:pPr>
                  <w:r>
                    <w:rPr>
                      <w:rFonts w:hint="eastAsia"/>
                      <w:highlight w:val="none"/>
                      <w:lang w:val="en-US" w:eastAsia="zh-CN"/>
                    </w:rPr>
                    <w:t>TSP</w:t>
                  </w:r>
                </w:p>
              </w:tc>
              <w:tc>
                <w:tcPr>
                  <w:tcW w:w="1304" w:type="dxa"/>
                  <w:noWrap w:val="0"/>
                  <w:vAlign w:val="center"/>
                </w:tcPr>
                <w:p>
                  <w:pPr>
                    <w:pStyle w:val="43"/>
                    <w:bidi w:val="0"/>
                    <w:rPr>
                      <w:rFonts w:hint="default" w:eastAsia="宋体"/>
                      <w:highlight w:val="none"/>
                      <w:lang w:val="en-US" w:eastAsia="zh-CN"/>
                    </w:rPr>
                  </w:pPr>
                  <w:r>
                    <w:rPr>
                      <w:rFonts w:hint="default" w:eastAsia="宋体"/>
                      <w:highlight w:val="none"/>
                      <w:lang w:val="en-US" w:eastAsia="zh-CN"/>
                    </w:rPr>
                    <w:t>经度86.602242，纬度42.046449</w:t>
                  </w:r>
                </w:p>
              </w:tc>
              <w:tc>
                <w:tcPr>
                  <w:tcW w:w="1230" w:type="dxa"/>
                  <w:noWrap w:val="0"/>
                  <w:vAlign w:val="center"/>
                </w:tcPr>
                <w:p>
                  <w:pPr>
                    <w:pStyle w:val="43"/>
                    <w:bidi w:val="0"/>
                    <w:rPr>
                      <w:rFonts w:hint="default" w:eastAsia="宋体"/>
                      <w:highlight w:val="none"/>
                      <w:lang w:val="en-US" w:eastAsia="zh-CN"/>
                    </w:rPr>
                  </w:pPr>
                  <w:r>
                    <w:rPr>
                      <w:rFonts w:hint="default" w:eastAsia="宋体"/>
                      <w:highlight w:val="none"/>
                      <w:lang w:val="en-US" w:eastAsia="zh-CN"/>
                    </w:rPr>
                    <w:t>2025年7月16日—7月25日</w:t>
                  </w:r>
                </w:p>
              </w:tc>
              <w:tc>
                <w:tcPr>
                  <w:tcW w:w="1230" w:type="dxa"/>
                  <w:noWrap w:val="0"/>
                  <w:vAlign w:val="center"/>
                </w:tcPr>
                <w:p>
                  <w:pPr>
                    <w:pStyle w:val="43"/>
                    <w:bidi w:val="0"/>
                    <w:rPr>
                      <w:rFonts w:hint="default" w:eastAsia="宋体"/>
                      <w:highlight w:val="none"/>
                      <w:lang w:val="en-US" w:eastAsia="zh-CN"/>
                    </w:rPr>
                  </w:pPr>
                  <w:r>
                    <w:rPr>
                      <w:rFonts w:hint="eastAsia"/>
                      <w:highlight w:val="none"/>
                      <w:lang w:val="en-US" w:eastAsia="zh-CN"/>
                    </w:rPr>
                    <w:t>0.208~0.226</w:t>
                  </w:r>
                </w:p>
              </w:tc>
              <w:tc>
                <w:tcPr>
                  <w:tcW w:w="1231" w:type="dxa"/>
                  <w:noWrap w:val="0"/>
                  <w:vAlign w:val="center"/>
                </w:tcPr>
                <w:p>
                  <w:pPr>
                    <w:pStyle w:val="43"/>
                    <w:bidi w:val="0"/>
                    <w:rPr>
                      <w:rFonts w:hint="default" w:eastAsia="宋体"/>
                      <w:highlight w:val="none"/>
                      <w:lang w:val="en-US" w:eastAsia="zh-CN"/>
                    </w:rPr>
                  </w:pPr>
                  <w:r>
                    <w:rPr>
                      <w:rFonts w:hint="eastAsia"/>
                      <w:highlight w:val="none"/>
                      <w:lang w:val="en-US" w:eastAsia="zh-CN"/>
                    </w:rPr>
                    <w:t>69.3~75.3</w:t>
                  </w:r>
                </w:p>
              </w:tc>
              <w:tc>
                <w:tcPr>
                  <w:tcW w:w="1231" w:type="dxa"/>
                  <w:noWrap w:val="0"/>
                  <w:vAlign w:val="center"/>
                </w:tcPr>
                <w:p>
                  <w:pPr>
                    <w:pStyle w:val="43"/>
                    <w:bidi w:val="0"/>
                    <w:rPr>
                      <w:rFonts w:hint="default" w:eastAsia="宋体"/>
                      <w:highlight w:val="none"/>
                      <w:lang w:val="en-US" w:eastAsia="zh-CN"/>
                    </w:rPr>
                  </w:pPr>
                  <w:r>
                    <w:rPr>
                      <w:rFonts w:hint="eastAsia"/>
                      <w:highlight w:val="none"/>
                      <w:lang w:val="en-US" w:eastAsia="zh-CN"/>
                    </w:rPr>
                    <w:t>0.3</w:t>
                  </w:r>
                </w:p>
              </w:tc>
            </w:tr>
          </w:tbl>
          <w:p>
            <w:pPr>
              <w:pStyle w:val="44"/>
              <w:bidi w:val="0"/>
              <w:rPr>
                <w:rFonts w:hint="default" w:ascii="Times New Roman" w:hAnsi="Times New Roman" w:eastAsia="宋体" w:cs="Times New Roman"/>
                <w:color w:val="auto"/>
                <w:sz w:val="24"/>
                <w:highlight w:val="none"/>
              </w:rPr>
            </w:pPr>
            <w:r>
              <w:rPr>
                <w:highlight w:val="none"/>
              </w:rPr>
              <w:t>由监测结果可知，</w:t>
            </w:r>
            <w:r>
              <w:rPr>
                <w:rFonts w:hint="eastAsia"/>
                <w:highlight w:val="none"/>
                <w:lang w:val="en-US" w:eastAsia="zh-CN"/>
              </w:rPr>
              <w:t>监测指标TSP</w:t>
            </w:r>
            <w:r>
              <w:rPr>
                <w:rFonts w:hint="default" w:ascii="Times New Roman" w:hAnsi="Times New Roman" w:eastAsia="宋体" w:cs="Times New Roman"/>
                <w:color w:val="auto"/>
                <w:sz w:val="24"/>
                <w:highlight w:val="none"/>
              </w:rPr>
              <w:t>日均值</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《环境空气质量标准》（GB3095-2012）中二级标准小时值浓度限值要求。</w:t>
            </w:r>
          </w:p>
          <w:p>
            <w:pPr>
              <w:pStyle w:val="44"/>
              <w:bidi w:val="0"/>
              <w:rPr>
                <w:b/>
                <w:bCs/>
                <w:highlight w:val="none"/>
              </w:rPr>
            </w:pPr>
            <w:r>
              <w:rPr>
                <w:rFonts w:hint="eastAsia"/>
                <w:b/>
                <w:bCs/>
                <w:highlight w:val="none"/>
                <w:lang w:val="en-US" w:eastAsia="zh-CN"/>
              </w:rPr>
              <w:t>2.</w:t>
            </w:r>
            <w:r>
              <w:rPr>
                <w:b/>
                <w:bCs/>
                <w:highlight w:val="none"/>
              </w:rPr>
              <w:t>地表水环境质量现状</w:t>
            </w:r>
          </w:p>
          <w:p>
            <w:pPr>
              <w:pStyle w:val="44"/>
              <w:bidi w:val="0"/>
              <w:rPr>
                <w:rFonts w:hint="eastAsia"/>
                <w:highlight w:val="none"/>
                <w:lang w:val="en-US" w:eastAsia="zh-CN"/>
              </w:rPr>
            </w:pPr>
            <w:r>
              <w:rPr>
                <w:highlight w:val="none"/>
              </w:rPr>
              <w:t>本项目无生产废水</w:t>
            </w:r>
            <w:r>
              <w:rPr>
                <w:rFonts w:hint="eastAsia"/>
                <w:highlight w:val="none"/>
                <w:lang w:val="en-US" w:eastAsia="zh-CN"/>
              </w:rPr>
              <w:t>排放</w:t>
            </w:r>
            <w:r>
              <w:rPr>
                <w:highlight w:val="none"/>
              </w:rPr>
              <w:t>；生活污水</w:t>
            </w:r>
            <w:r>
              <w:rPr>
                <w:rFonts w:hint="eastAsia"/>
                <w:highlight w:val="none"/>
                <w:lang w:val="en-US" w:eastAsia="zh-CN"/>
              </w:rPr>
              <w:t>定期清运至博湖县城镇生活污水处理厂进一步处理。根据《建设项目环境影响报告表编制技术指南（生态影响类）（试行）》中“不开展专项评价的环境要素，引用与项目距离近的有效数据和调查资料，包括符合时限要求的规划环境影响评价监测数据和调查资料，国家、地方环境质量监测网数据或生态环境主管部门公开发布的生态环境质量数据等”的规定，本项目不涉及地表水专项评价，地表水环境质量状况引用《巴音郭楞蒙古自治州2024年生态环境状况公报》进行分析。</w:t>
            </w:r>
          </w:p>
          <w:p>
            <w:pPr>
              <w:pStyle w:val="44"/>
              <w:bidi w:val="0"/>
              <w:rPr>
                <w:rFonts w:hint="eastAsia"/>
                <w:highlight w:val="none"/>
                <w:lang w:val="en-US" w:eastAsia="zh-CN"/>
              </w:rPr>
            </w:pPr>
            <w:r>
              <w:rPr>
                <w:rFonts w:hint="eastAsia"/>
                <w:highlight w:val="none"/>
                <w:lang w:val="en-US" w:eastAsia="zh-CN"/>
              </w:rPr>
              <w:t>2024年，全州地表水监测的31个考核断面（点位）中，I~ш类优良水质断面（点位）占比90.3%，无Ⅳ类水质。6条主要河流19个监测断面中I~ш类优良水质断面占100%，3个重要湖泊（水库）12个监测点位中I～ш类优良水质断面占75%，无劣V类水体，湖泊水质影响因子为化学需氧量。</w:t>
            </w:r>
          </w:p>
          <w:p>
            <w:pPr>
              <w:pStyle w:val="44"/>
              <w:bidi w:val="0"/>
              <w:rPr>
                <w:b/>
                <w:bCs/>
                <w:highlight w:val="none"/>
              </w:rPr>
            </w:pPr>
            <w:r>
              <w:rPr>
                <w:rFonts w:hint="eastAsia"/>
                <w:b/>
                <w:bCs/>
                <w:highlight w:val="none"/>
                <w:lang w:val="en-US" w:eastAsia="zh-CN"/>
              </w:rPr>
              <w:t>3.</w:t>
            </w:r>
            <w:r>
              <w:rPr>
                <w:b/>
                <w:bCs/>
                <w:highlight w:val="none"/>
              </w:rPr>
              <w:t>声环境质量现状</w:t>
            </w:r>
          </w:p>
          <w:p>
            <w:pPr>
              <w:pStyle w:val="44"/>
              <w:bidi w:val="0"/>
              <w:rPr>
                <w:rFonts w:hint="default"/>
                <w:highlight w:val="none"/>
                <w:lang w:val="en-US" w:eastAsia="zh-CN"/>
              </w:rPr>
            </w:pPr>
            <w:r>
              <w:rPr>
                <w:highlight w:val="none"/>
              </w:rPr>
              <w:t>依据《建设项目环境影响报告表编制技术指南（污染影响类）</w:t>
            </w:r>
            <w:r>
              <w:rPr>
                <w:rFonts w:hint="eastAsia"/>
                <w:highlight w:val="none"/>
                <w:lang w:eastAsia="zh-CN"/>
              </w:rPr>
              <w:t>（试行）》</w:t>
            </w:r>
            <w:r>
              <w:rPr>
                <w:highlight w:val="none"/>
              </w:rPr>
              <w:t>中区域环境质量现状评价要求：厂界外周边50m范围内存在声环境保护目标的建设项目，应监测保护目标声环境质量现状并评价达标情况。根据现场勘查，项目厂界外周边50m范围内无声环境保护目标，因此本项目可不开展声环境现状调查与评价。</w:t>
            </w:r>
          </w:p>
          <w:p>
            <w:pPr>
              <w:pStyle w:val="44"/>
              <w:bidi w:val="0"/>
              <w:rPr>
                <w:b/>
                <w:bCs/>
                <w:highlight w:val="none"/>
              </w:rPr>
            </w:pPr>
            <w:r>
              <w:rPr>
                <w:rFonts w:hint="eastAsia"/>
                <w:b/>
                <w:bCs/>
                <w:highlight w:val="none"/>
                <w:lang w:val="en-US" w:eastAsia="zh-CN"/>
              </w:rPr>
              <w:t>4.</w:t>
            </w:r>
            <w:r>
              <w:rPr>
                <w:b/>
                <w:bCs/>
                <w:highlight w:val="none"/>
              </w:rPr>
              <w:t>生态环境质量现状</w:t>
            </w:r>
          </w:p>
          <w:p>
            <w:pPr>
              <w:pStyle w:val="44"/>
              <w:bidi w:val="0"/>
              <w:rPr>
                <w:rFonts w:hint="default"/>
                <w:highlight w:val="none"/>
                <w:lang w:val="en-US" w:eastAsia="zh-CN"/>
              </w:rPr>
            </w:pPr>
            <w:r>
              <w:rPr>
                <w:highlight w:val="none"/>
              </w:rPr>
              <w:t>根据《建设项目环境影响报告表编制技术指南（污染影响类）（试行）》，本项目位于</w:t>
            </w:r>
            <w:r>
              <w:rPr>
                <w:rFonts w:hint="eastAsia"/>
                <w:highlight w:val="none"/>
                <w:lang w:val="en-US" w:eastAsia="zh-CN"/>
              </w:rPr>
              <w:t>博湖县本布图镇</w:t>
            </w:r>
            <w:r>
              <w:rPr>
                <w:highlight w:val="none"/>
              </w:rPr>
              <w:t>，土地类型为工业用地，项目区周边无生态环境保护目标，因此不进行生态现状调查。</w:t>
            </w:r>
          </w:p>
          <w:p>
            <w:pPr>
              <w:pStyle w:val="44"/>
              <w:bidi w:val="0"/>
              <w:rPr>
                <w:b/>
                <w:bCs/>
                <w:highlight w:val="none"/>
              </w:rPr>
            </w:pPr>
            <w:r>
              <w:rPr>
                <w:rFonts w:hint="eastAsia"/>
                <w:b/>
                <w:bCs/>
                <w:highlight w:val="none"/>
                <w:lang w:val="en-US" w:eastAsia="zh-CN"/>
              </w:rPr>
              <w:t>5.</w:t>
            </w:r>
            <w:r>
              <w:rPr>
                <w:b/>
                <w:bCs/>
                <w:highlight w:val="none"/>
              </w:rPr>
              <w:t>地下水、土壤环境质量现状</w:t>
            </w:r>
          </w:p>
          <w:p>
            <w:pPr>
              <w:pStyle w:val="44"/>
              <w:bidi w:val="0"/>
              <w:rPr>
                <w:highlight w:val="none"/>
              </w:rPr>
            </w:pPr>
            <w:r>
              <w:rPr>
                <w:highlight w:val="none"/>
              </w:rPr>
              <w:t>根据《建设项目环境影响报告表编制技术指南（污染影响类）（试行）》中相关要求：原则上不开展环境质量现状调查。建设项目存在地下水环境污染途径的，应结合污染源、保护目标分布情况开展现状调查以留作背景值。本项目运营期不存在地下水环境污染途径，不开展现状调查。根据《环境影响评价技术导则</w:t>
            </w:r>
            <w:r>
              <w:rPr>
                <w:rFonts w:hint="eastAsia"/>
                <w:highlight w:val="none"/>
                <w:lang w:val="en-US" w:eastAsia="zh-CN"/>
              </w:rPr>
              <w:t>·</w:t>
            </w:r>
            <w:r>
              <w:rPr>
                <w:highlight w:val="none"/>
              </w:rPr>
              <w:t>地下水环境》（HJ610-2016）中附录A地下水环境影响评价行业分类表，本项目属于附录A中</w:t>
            </w:r>
            <w:r>
              <w:rPr>
                <w:rFonts w:hint="eastAsia"/>
                <w:highlight w:val="none"/>
                <w:lang w:eastAsia="zh-CN"/>
              </w:rPr>
              <w:t>“</w:t>
            </w:r>
            <w:r>
              <w:rPr>
                <w:highlight w:val="none"/>
              </w:rPr>
              <w:t>J 非金属矿采选及制品制造-60、砼结构构件制造、商品混凝土加工</w:t>
            </w:r>
            <w:r>
              <w:rPr>
                <w:rFonts w:hint="eastAsia"/>
                <w:highlight w:val="none"/>
                <w:lang w:eastAsia="zh-CN"/>
              </w:rPr>
              <w:t>”</w:t>
            </w:r>
            <w:r>
              <w:rPr>
                <w:highlight w:val="none"/>
              </w:rPr>
              <w:t>Ⅳ类项目，不开展地下水环境影响评价。</w:t>
            </w:r>
          </w:p>
          <w:p>
            <w:pPr>
              <w:pStyle w:val="44"/>
              <w:bidi w:val="0"/>
              <w:rPr>
                <w:highlight w:val="none"/>
              </w:rPr>
            </w:pPr>
            <w:r>
              <w:rPr>
                <w:highlight w:val="none"/>
              </w:rPr>
              <w:t>根据《环境影响评价技术导则</w:t>
            </w:r>
            <w:r>
              <w:rPr>
                <w:rFonts w:hint="eastAsia"/>
                <w:highlight w:val="none"/>
                <w:lang w:eastAsia="zh-CN"/>
              </w:rPr>
              <w:t>－</w:t>
            </w:r>
            <w:r>
              <w:rPr>
                <w:highlight w:val="none"/>
              </w:rPr>
              <w:t>土壤环境</w:t>
            </w:r>
            <w:r>
              <w:rPr>
                <w:rFonts w:hint="eastAsia"/>
                <w:highlight w:val="none"/>
                <w:lang w:eastAsia="zh-CN"/>
              </w:rPr>
              <w:t>（试行）》</w:t>
            </w:r>
            <w:r>
              <w:rPr>
                <w:highlight w:val="none"/>
              </w:rPr>
              <w:t>附录A中表A.1土壤环境影响评价项目类别，本项目属于非金属矿物制品业</w:t>
            </w:r>
            <w:r>
              <w:rPr>
                <w:rFonts w:hint="eastAsia"/>
                <w:highlight w:val="none"/>
                <w:lang w:eastAsia="zh-CN"/>
              </w:rPr>
              <w:t>—</w:t>
            </w:r>
            <w:r>
              <w:rPr>
                <w:highlight w:val="none"/>
              </w:rPr>
              <w:t>石膏、水泥制品及类似制品制造</w:t>
            </w:r>
            <w:r>
              <w:rPr>
                <w:rFonts w:hint="eastAsia"/>
                <w:highlight w:val="none"/>
                <w:lang w:eastAsia="zh-CN"/>
              </w:rPr>
              <w:t>—</w:t>
            </w:r>
            <w:r>
              <w:rPr>
                <w:highlight w:val="none"/>
              </w:rPr>
              <w:t>砼结构构件制造，本项目土壤环境影响评价项目类别为</w:t>
            </w:r>
            <w:r>
              <w:rPr>
                <w:rFonts w:hint="eastAsia"/>
                <w:highlight w:val="none"/>
                <w:lang w:eastAsia="zh-CN"/>
              </w:rPr>
              <w:t>Ⅲ</w:t>
            </w:r>
            <w:r>
              <w:rPr>
                <w:highlight w:val="none"/>
              </w:rPr>
              <w:t>类。本项目为污染影响型项目，建设地点位于工业</w:t>
            </w:r>
            <w:r>
              <w:rPr>
                <w:rFonts w:hint="eastAsia"/>
                <w:highlight w:val="none"/>
                <w:lang w:val="en-US" w:eastAsia="zh-CN"/>
              </w:rPr>
              <w:t>用地</w:t>
            </w:r>
            <w:r>
              <w:rPr>
                <w:highlight w:val="none"/>
              </w:rPr>
              <w:t>内，周边无敏感目标，敏感程度为不敏感，故可不开展土壤环境影响评价工作。</w:t>
            </w: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rFonts w:hint="default"/>
                <w:highlight w:val="none"/>
                <w:lang w:val="en-US" w:eastAsia="zh-CN"/>
              </w:rPr>
            </w:pPr>
          </w:p>
          <w:p>
            <w:pPr>
              <w:pStyle w:val="44"/>
              <w:bidi w:val="0"/>
              <w:rPr>
                <w:rFonts w:hint="default"/>
                <w:highlight w:val="none"/>
                <w:lang w:val="en-US" w:eastAsia="zh-CN"/>
              </w:rPr>
            </w:pPr>
          </w:p>
          <w:p>
            <w:pPr>
              <w:pStyle w:val="44"/>
              <w:bidi w:val="0"/>
              <w:rPr>
                <w:rFonts w:hint="default"/>
                <w:highlight w:val="none"/>
                <w:lang w:val="en-US" w:eastAsia="zh-CN"/>
              </w:rPr>
            </w:pPr>
          </w:p>
          <w:p>
            <w:pPr>
              <w:pStyle w:val="44"/>
              <w:bidi w:val="0"/>
              <w:rPr>
                <w:rFonts w:hint="default"/>
                <w:highlight w:val="none"/>
                <w:lang w:val="en-US" w:eastAsia="zh-CN"/>
              </w:rPr>
            </w:pPr>
          </w:p>
          <w:p>
            <w:pPr>
              <w:pStyle w:val="44"/>
              <w:bidi w:val="0"/>
              <w:rPr>
                <w:rFonts w:hint="default"/>
                <w:highlight w:val="none"/>
                <w:lang w:val="en-US" w:eastAsia="zh-CN"/>
              </w:rPr>
            </w:pPr>
          </w:p>
          <w:p>
            <w:pPr>
              <w:pStyle w:val="44"/>
              <w:bidi w:val="0"/>
              <w:rPr>
                <w:rFonts w:hint="default"/>
                <w:highlight w:val="none"/>
                <w:lang w:val="en-US" w:eastAsia="zh-CN"/>
              </w:rPr>
            </w:pPr>
          </w:p>
          <w:p>
            <w:pPr>
              <w:pStyle w:val="44"/>
              <w:bidi w:val="0"/>
              <w:rPr>
                <w:rFonts w:hint="default"/>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0" w:type="dxa"/>
            <w:noWrap w:val="0"/>
            <w:vAlign w:val="center"/>
          </w:tcPr>
          <w:p>
            <w:pPr>
              <w:pStyle w:val="44"/>
              <w:bidi w:val="0"/>
              <w:ind w:left="0" w:leftChars="0" w:firstLine="0" w:firstLineChars="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环境保护目标</w:t>
            </w:r>
          </w:p>
        </w:tc>
        <w:tc>
          <w:tcPr>
            <w:tcW w:w="8190" w:type="dxa"/>
            <w:noWrap w:val="0"/>
            <w:vAlign w:val="center"/>
          </w:tcPr>
          <w:p>
            <w:pPr>
              <w:pStyle w:val="44"/>
              <w:bidi w:val="0"/>
              <w:rPr>
                <w:b/>
                <w:bCs/>
                <w:highlight w:val="none"/>
              </w:rPr>
            </w:pPr>
            <w:r>
              <w:rPr>
                <w:rFonts w:hint="eastAsia"/>
                <w:b/>
                <w:bCs/>
                <w:highlight w:val="none"/>
                <w:lang w:val="en-US" w:eastAsia="zh-CN"/>
              </w:rPr>
              <w:t>1.</w:t>
            </w:r>
            <w:r>
              <w:rPr>
                <w:b/>
                <w:bCs/>
                <w:highlight w:val="none"/>
              </w:rPr>
              <w:t>大气环境</w:t>
            </w:r>
          </w:p>
          <w:p>
            <w:pPr>
              <w:pStyle w:val="44"/>
              <w:bidi w:val="0"/>
              <w:rPr>
                <w:highlight w:val="none"/>
              </w:rPr>
            </w:pPr>
            <w:r>
              <w:rPr>
                <w:highlight w:val="none"/>
              </w:rPr>
              <w:t>本项目厂界外500米范围内无自然保护区、风景名胜区、居住区、文化区和农村地区中人群较集中的区域等保护目标。</w:t>
            </w:r>
          </w:p>
          <w:p>
            <w:pPr>
              <w:pStyle w:val="44"/>
              <w:bidi w:val="0"/>
              <w:rPr>
                <w:b/>
                <w:bCs/>
                <w:highlight w:val="none"/>
              </w:rPr>
            </w:pPr>
            <w:r>
              <w:rPr>
                <w:b/>
                <w:bCs/>
                <w:highlight w:val="none"/>
              </w:rPr>
              <w:t>2声环境</w:t>
            </w:r>
          </w:p>
          <w:p>
            <w:pPr>
              <w:pStyle w:val="44"/>
              <w:bidi w:val="0"/>
              <w:rPr>
                <w:highlight w:val="none"/>
              </w:rPr>
            </w:pPr>
            <w:r>
              <w:rPr>
                <w:highlight w:val="none"/>
              </w:rPr>
              <w:t>本项目厂界外50米范围内无声环境保护目标。</w:t>
            </w:r>
          </w:p>
          <w:p>
            <w:pPr>
              <w:pStyle w:val="44"/>
              <w:bidi w:val="0"/>
              <w:rPr>
                <w:b/>
                <w:bCs/>
                <w:highlight w:val="none"/>
              </w:rPr>
            </w:pPr>
            <w:r>
              <w:rPr>
                <w:b/>
                <w:bCs/>
                <w:highlight w:val="none"/>
              </w:rPr>
              <w:t>3地下水环境</w:t>
            </w:r>
          </w:p>
          <w:p>
            <w:pPr>
              <w:pStyle w:val="44"/>
              <w:bidi w:val="0"/>
              <w:rPr>
                <w:highlight w:val="none"/>
              </w:rPr>
            </w:pPr>
            <w:r>
              <w:rPr>
                <w:highlight w:val="none"/>
              </w:rPr>
              <w:t>本项目厂界外500米范围内无地下水集中式饮用水水源地和热水、矿泉水、温泉等特殊地下水资源。</w:t>
            </w:r>
          </w:p>
          <w:p>
            <w:pPr>
              <w:pStyle w:val="44"/>
              <w:bidi w:val="0"/>
              <w:rPr>
                <w:b/>
                <w:bCs/>
                <w:highlight w:val="none"/>
              </w:rPr>
            </w:pPr>
            <w:r>
              <w:rPr>
                <w:b/>
                <w:bCs/>
                <w:highlight w:val="none"/>
              </w:rPr>
              <w:t>4生态环境</w:t>
            </w:r>
          </w:p>
          <w:p>
            <w:pPr>
              <w:pStyle w:val="44"/>
              <w:bidi w:val="0"/>
              <w:rPr>
                <w:highlight w:val="none"/>
              </w:rPr>
            </w:pPr>
            <w:r>
              <w:rPr>
                <w:highlight w:val="none"/>
              </w:rPr>
              <w:t>本项目位于</w:t>
            </w:r>
            <w:r>
              <w:rPr>
                <w:rFonts w:hint="eastAsia"/>
                <w:highlight w:val="none"/>
                <w:lang w:val="en-US" w:eastAsia="zh-CN"/>
              </w:rPr>
              <w:t>博湖县本布图镇</w:t>
            </w:r>
            <w:r>
              <w:rPr>
                <w:highlight w:val="none"/>
              </w:rPr>
              <w:t>，</w:t>
            </w:r>
            <w:r>
              <w:rPr>
                <w:rFonts w:hint="eastAsia"/>
                <w:highlight w:val="none"/>
                <w:lang w:val="en-US" w:eastAsia="zh-CN"/>
              </w:rPr>
              <w:t>用地性质为工业用地，项目所在区域不处在国家法律、法规、行政规章及规划确定或县级以上人民政府批准的饮用水水源保护区、自然保护区、风景名胜区、生态功能保护区等需要特殊保护的地区范围内，其评价范围内无珍稀动植物资源，</w:t>
            </w:r>
            <w:r>
              <w:rPr>
                <w:highlight w:val="none"/>
              </w:rPr>
              <w:t>不涉及生态环境保护目标。</w:t>
            </w: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highlight w:val="none"/>
              </w:rPr>
            </w:pPr>
          </w:p>
          <w:p>
            <w:pPr>
              <w:pStyle w:val="44"/>
              <w:bidi w:val="0"/>
              <w:rPr>
                <w:rFonts w:hint="eastAsia"/>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0" w:type="dxa"/>
            <w:noWrap w:val="0"/>
            <w:tcMar>
              <w:left w:w="28" w:type="dxa"/>
              <w:right w:w="28" w:type="dxa"/>
            </w:tcMar>
            <w:vAlign w:val="center"/>
          </w:tcPr>
          <w:p>
            <w:pPr>
              <w:pStyle w:val="44"/>
              <w:bidi w:val="0"/>
              <w:ind w:left="0" w:leftChars="0" w:firstLine="0" w:firstLineChars="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污染物排放控制标准</w:t>
            </w:r>
          </w:p>
        </w:tc>
        <w:tc>
          <w:tcPr>
            <w:tcW w:w="8190" w:type="dxa"/>
            <w:noWrap w:val="0"/>
            <w:vAlign w:val="center"/>
          </w:tcPr>
          <w:p>
            <w:pPr>
              <w:pStyle w:val="44"/>
              <w:bidi w:val="0"/>
              <w:rPr>
                <w:b/>
                <w:bCs/>
                <w:highlight w:val="none"/>
              </w:rPr>
            </w:pPr>
            <w:r>
              <w:rPr>
                <w:rFonts w:hint="eastAsia"/>
                <w:b/>
                <w:bCs/>
                <w:highlight w:val="none"/>
                <w:lang w:val="en-US" w:eastAsia="zh-CN"/>
              </w:rPr>
              <w:t>1.</w:t>
            </w:r>
            <w:r>
              <w:rPr>
                <w:b/>
                <w:bCs/>
                <w:highlight w:val="none"/>
              </w:rPr>
              <w:t>废气污染物排放标准</w:t>
            </w:r>
          </w:p>
          <w:p>
            <w:pPr>
              <w:pStyle w:val="44"/>
              <w:bidi w:val="0"/>
              <w:rPr>
                <w:highlight w:val="none"/>
              </w:rPr>
            </w:pPr>
            <w:r>
              <w:rPr>
                <w:rFonts w:hint="eastAsia"/>
                <w:highlight w:val="none"/>
                <w:lang w:val="en-US" w:eastAsia="zh-CN"/>
              </w:rPr>
              <w:t>①本项目颗粒物有组织排放执行《水泥工业大气污染物排放标准》（GB4915-2013）表1现有与新建企业大气污染物排放限值要求；无组织颗粒物排放执行《水泥工业大气污染物排放标准》（GB4915-2013）表3大气污染物无组织排放限值要求，</w:t>
            </w:r>
            <w:r>
              <w:rPr>
                <w:rFonts w:hint="eastAsia"/>
                <w:highlight w:val="none"/>
              </w:rPr>
              <w:t>标准值详见下表。</w:t>
            </w:r>
          </w:p>
          <w:p>
            <w:pPr>
              <w:pStyle w:val="28"/>
              <w:bidi w:val="0"/>
              <w:jc w:val="right"/>
              <w:rPr>
                <w:rFonts w:hint="default" w:ascii="Times New Roman" w:hAnsi="Times New Roman" w:eastAsia="宋体" w:cs="Times New Roman"/>
                <w:highlight w:val="none"/>
                <w:lang w:val="en-US" w:eastAsia="zh-CN"/>
              </w:rPr>
            </w:pPr>
            <w:r>
              <w:rPr>
                <w:rFonts w:hint="eastAsia" w:ascii="黑体" w:hAnsi="宋体" w:eastAsia="黑体" w:cs="黑体"/>
                <w:color w:val="000000"/>
                <w:kern w:val="0"/>
                <w:sz w:val="24"/>
                <w:szCs w:val="24"/>
                <w:highlight w:val="none"/>
                <w:lang w:val="en-US" w:eastAsia="zh-CN" w:bidi="ar"/>
              </w:rPr>
              <w:t>表3-2  本项目颗粒物排放限值         单位：</w:t>
            </w:r>
            <w:r>
              <w:rPr>
                <w:rFonts w:hint="eastAsia"/>
                <w:highlight w:val="none"/>
                <w:lang w:val="en-US" w:eastAsia="zh-CN"/>
              </w:rPr>
              <w:t>mg/</w:t>
            </w:r>
            <w:r>
              <w:rPr>
                <w:rFonts w:hint="default"/>
                <w:highlight w:val="none"/>
                <w:lang w:val="en-US" w:eastAsia="zh-CN"/>
              </w:rPr>
              <w:t>m</w:t>
            </w:r>
            <w:r>
              <w:rPr>
                <w:rFonts w:hint="default"/>
                <w:highlight w:val="none"/>
                <w:vertAlign w:val="superscript"/>
                <w:lang w:val="en-US" w:eastAsia="zh-CN"/>
              </w:rPr>
              <w:t>3</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000"/>
              <w:gridCol w:w="1431"/>
              <w:gridCol w:w="1246"/>
              <w:gridCol w:w="876"/>
              <w:gridCol w:w="77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5" w:type="pct"/>
                  <w:vMerge w:val="restart"/>
                  <w:noWrap w:val="0"/>
                  <w:vAlign w:val="center"/>
                </w:tcPr>
                <w:p>
                  <w:pPr>
                    <w:pStyle w:val="43"/>
                    <w:bidi w:val="0"/>
                    <w:rPr>
                      <w:rFonts w:hint="default"/>
                      <w:highlight w:val="none"/>
                      <w:lang w:val="en-US" w:eastAsia="zh-CN"/>
                    </w:rPr>
                  </w:pPr>
                  <w:r>
                    <w:rPr>
                      <w:rFonts w:hint="eastAsia"/>
                      <w:highlight w:val="none"/>
                      <w:lang w:val="en-US" w:eastAsia="zh-CN"/>
                    </w:rPr>
                    <w:t>生产过程</w:t>
                  </w:r>
                </w:p>
              </w:tc>
              <w:tc>
                <w:tcPr>
                  <w:tcW w:w="661" w:type="pct"/>
                  <w:vMerge w:val="restart"/>
                  <w:noWrap w:val="0"/>
                  <w:vAlign w:val="center"/>
                </w:tcPr>
                <w:p>
                  <w:pPr>
                    <w:pStyle w:val="43"/>
                    <w:bidi w:val="0"/>
                    <w:rPr>
                      <w:rFonts w:hint="eastAsia"/>
                      <w:highlight w:val="none"/>
                      <w:lang w:val="en-US" w:eastAsia="zh-CN"/>
                    </w:rPr>
                  </w:pPr>
                  <w:r>
                    <w:rPr>
                      <w:rFonts w:hint="default"/>
                      <w:highlight w:val="none"/>
                      <w:lang w:val="en-US" w:eastAsia="zh-CN"/>
                    </w:rPr>
                    <w:t>生产设备</w:t>
                  </w:r>
                </w:p>
              </w:tc>
              <w:tc>
                <w:tcPr>
                  <w:tcW w:w="1770" w:type="pct"/>
                  <w:gridSpan w:val="2"/>
                  <w:noWrap w:val="0"/>
                  <w:vAlign w:val="center"/>
                </w:tcPr>
                <w:p>
                  <w:pPr>
                    <w:pStyle w:val="43"/>
                    <w:bidi w:val="0"/>
                    <w:rPr>
                      <w:rFonts w:hint="default"/>
                      <w:highlight w:val="none"/>
                      <w:lang w:val="en-US" w:eastAsia="zh-CN"/>
                    </w:rPr>
                  </w:pPr>
                  <w:r>
                    <w:rPr>
                      <w:rFonts w:hint="eastAsia"/>
                      <w:highlight w:val="none"/>
                      <w:lang w:val="en-US" w:eastAsia="zh-CN"/>
                    </w:rPr>
                    <w:t>GB4915-2013</w:t>
                  </w:r>
                  <w:r>
                    <w:rPr>
                      <w:rFonts w:hint="default"/>
                      <w:highlight w:val="none"/>
                      <w:lang w:val="en-US" w:eastAsia="zh-CN"/>
                    </w:rPr>
                    <w:t>现有与新建企业大气污染物排放限值</w:t>
                  </w:r>
                </w:p>
              </w:tc>
              <w:tc>
                <w:tcPr>
                  <w:tcW w:w="2063" w:type="pct"/>
                  <w:gridSpan w:val="3"/>
                  <w:noWrap w:val="0"/>
                  <w:vAlign w:val="center"/>
                </w:tcPr>
                <w:p>
                  <w:pPr>
                    <w:pStyle w:val="43"/>
                    <w:bidi w:val="0"/>
                    <w:rPr>
                      <w:rFonts w:hint="default"/>
                      <w:highlight w:val="none"/>
                      <w:lang w:val="en-US" w:eastAsia="zh-CN"/>
                    </w:rPr>
                  </w:pPr>
                  <w:r>
                    <w:rPr>
                      <w:rFonts w:hint="eastAsia"/>
                      <w:highlight w:val="none"/>
                      <w:lang w:val="en-US" w:eastAsia="zh-CN"/>
                    </w:rPr>
                    <w:t>GB4915-2013</w:t>
                  </w:r>
                  <w:r>
                    <w:rPr>
                      <w:rFonts w:hint="default"/>
                      <w:highlight w:val="none"/>
                      <w:lang w:val="en-US" w:eastAsia="zh-CN"/>
                    </w:rPr>
                    <w:t>大气污染物无组织排放限值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5" w:type="pct"/>
                  <w:vMerge w:val="continue"/>
                  <w:noWrap w:val="0"/>
                  <w:vAlign w:val="center"/>
                </w:tcPr>
                <w:p>
                  <w:pPr>
                    <w:pStyle w:val="43"/>
                    <w:bidi w:val="0"/>
                    <w:rPr>
                      <w:rFonts w:hint="default"/>
                      <w:highlight w:val="none"/>
                      <w:lang w:val="en-US" w:eastAsia="zh-CN"/>
                    </w:rPr>
                  </w:pPr>
                </w:p>
              </w:tc>
              <w:tc>
                <w:tcPr>
                  <w:tcW w:w="661" w:type="pct"/>
                  <w:vMerge w:val="continue"/>
                  <w:noWrap w:val="0"/>
                  <w:vAlign w:val="center"/>
                </w:tcPr>
                <w:p>
                  <w:pPr>
                    <w:pStyle w:val="43"/>
                    <w:bidi w:val="0"/>
                    <w:rPr>
                      <w:rFonts w:hint="default"/>
                      <w:highlight w:val="none"/>
                      <w:lang w:val="en-US" w:eastAsia="zh-CN"/>
                    </w:rPr>
                  </w:pPr>
                </w:p>
              </w:tc>
              <w:tc>
                <w:tcPr>
                  <w:tcW w:w="946" w:type="pct"/>
                  <w:noWrap w:val="0"/>
                  <w:vAlign w:val="center"/>
                </w:tcPr>
                <w:p>
                  <w:pPr>
                    <w:pStyle w:val="43"/>
                    <w:bidi w:val="0"/>
                    <w:rPr>
                      <w:rFonts w:hint="default"/>
                      <w:highlight w:val="none"/>
                      <w:lang w:val="en-US" w:eastAsia="zh-CN"/>
                    </w:rPr>
                  </w:pPr>
                  <w:r>
                    <w:rPr>
                      <w:rFonts w:hint="eastAsia"/>
                      <w:highlight w:val="none"/>
                      <w:lang w:val="en-US" w:eastAsia="zh-CN"/>
                    </w:rPr>
                    <w:t>污染物项目</w:t>
                  </w:r>
                </w:p>
              </w:tc>
              <w:tc>
                <w:tcPr>
                  <w:tcW w:w="823" w:type="pct"/>
                  <w:noWrap w:val="0"/>
                  <w:vAlign w:val="center"/>
                </w:tcPr>
                <w:p>
                  <w:pPr>
                    <w:pStyle w:val="43"/>
                    <w:bidi w:val="0"/>
                    <w:rPr>
                      <w:rFonts w:hint="default"/>
                      <w:highlight w:val="none"/>
                      <w:lang w:val="en-US" w:eastAsia="zh-CN"/>
                    </w:rPr>
                  </w:pPr>
                  <w:r>
                    <w:rPr>
                      <w:rFonts w:hint="eastAsia"/>
                      <w:highlight w:val="none"/>
                      <w:lang w:val="en-US" w:eastAsia="zh-CN"/>
                    </w:rPr>
                    <w:t>限值</w:t>
                  </w:r>
                </w:p>
              </w:tc>
              <w:tc>
                <w:tcPr>
                  <w:tcW w:w="579" w:type="pct"/>
                  <w:noWrap w:val="0"/>
                  <w:vAlign w:val="center"/>
                </w:tcPr>
                <w:p>
                  <w:pPr>
                    <w:pStyle w:val="43"/>
                    <w:bidi w:val="0"/>
                    <w:rPr>
                      <w:rFonts w:hint="default"/>
                      <w:highlight w:val="none"/>
                      <w:lang w:val="en-US" w:eastAsia="zh-CN"/>
                    </w:rPr>
                  </w:pPr>
                  <w:r>
                    <w:rPr>
                      <w:rFonts w:hint="eastAsia"/>
                      <w:highlight w:val="none"/>
                      <w:lang w:val="en-US" w:eastAsia="zh-CN"/>
                    </w:rPr>
                    <w:t>污染物项目</w:t>
                  </w:r>
                </w:p>
              </w:tc>
              <w:tc>
                <w:tcPr>
                  <w:tcW w:w="509" w:type="pct"/>
                  <w:noWrap w:val="0"/>
                  <w:vAlign w:val="center"/>
                </w:tcPr>
                <w:p>
                  <w:pPr>
                    <w:pStyle w:val="43"/>
                    <w:bidi w:val="0"/>
                    <w:rPr>
                      <w:rFonts w:hint="default"/>
                      <w:highlight w:val="none"/>
                      <w:lang w:val="en-US" w:eastAsia="zh-CN"/>
                    </w:rPr>
                  </w:pPr>
                  <w:r>
                    <w:rPr>
                      <w:rFonts w:hint="eastAsia"/>
                      <w:highlight w:val="none"/>
                      <w:lang w:val="en-US" w:eastAsia="zh-CN"/>
                    </w:rPr>
                    <w:t>限值</w:t>
                  </w:r>
                </w:p>
              </w:tc>
              <w:tc>
                <w:tcPr>
                  <w:tcW w:w="974" w:type="pct"/>
                  <w:noWrap w:val="0"/>
                  <w:vAlign w:val="center"/>
                </w:tcPr>
                <w:p>
                  <w:pPr>
                    <w:pStyle w:val="43"/>
                    <w:bidi w:val="0"/>
                    <w:rPr>
                      <w:rFonts w:hint="eastAsia"/>
                      <w:highlight w:val="none"/>
                      <w:lang w:val="en-US" w:eastAsia="zh-CN"/>
                    </w:rPr>
                  </w:pPr>
                  <w:r>
                    <w:rPr>
                      <w:rFonts w:hint="eastAsia"/>
                      <w:highlight w:val="no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5" w:type="pct"/>
                  <w:noWrap w:val="0"/>
                  <w:vAlign w:val="center"/>
                </w:tcPr>
                <w:p>
                  <w:pPr>
                    <w:pStyle w:val="43"/>
                    <w:bidi w:val="0"/>
                    <w:rPr>
                      <w:rFonts w:hint="default"/>
                      <w:highlight w:val="none"/>
                      <w:lang w:val="en-US" w:eastAsia="zh-CN"/>
                    </w:rPr>
                  </w:pPr>
                  <w:r>
                    <w:rPr>
                      <w:rFonts w:hint="default"/>
                      <w:highlight w:val="none"/>
                      <w:lang w:val="en-US" w:eastAsia="zh-CN"/>
                    </w:rPr>
                    <w:t>水泥制品生产</w:t>
                  </w:r>
                </w:p>
              </w:tc>
              <w:tc>
                <w:tcPr>
                  <w:tcW w:w="661" w:type="pct"/>
                  <w:noWrap w:val="0"/>
                  <w:vAlign w:val="center"/>
                </w:tcPr>
                <w:p>
                  <w:pPr>
                    <w:pStyle w:val="43"/>
                    <w:bidi w:val="0"/>
                    <w:rPr>
                      <w:rFonts w:hint="default"/>
                      <w:highlight w:val="none"/>
                      <w:lang w:val="en-US" w:eastAsia="zh-CN"/>
                    </w:rPr>
                  </w:pPr>
                  <w:r>
                    <w:rPr>
                      <w:rFonts w:hint="default"/>
                      <w:highlight w:val="none"/>
                      <w:lang w:val="en-US" w:eastAsia="zh-CN"/>
                    </w:rPr>
                    <w:t>水泥仓及其他通风生产设备</w:t>
                  </w:r>
                </w:p>
              </w:tc>
              <w:tc>
                <w:tcPr>
                  <w:tcW w:w="946" w:type="pct"/>
                  <w:noWrap w:val="0"/>
                  <w:vAlign w:val="center"/>
                </w:tcPr>
                <w:p>
                  <w:pPr>
                    <w:pStyle w:val="43"/>
                    <w:bidi w:val="0"/>
                    <w:rPr>
                      <w:rFonts w:hint="default"/>
                      <w:highlight w:val="none"/>
                      <w:lang w:val="en-US" w:eastAsia="zh-CN"/>
                    </w:rPr>
                  </w:pPr>
                  <w:r>
                    <w:rPr>
                      <w:rFonts w:hint="eastAsia"/>
                      <w:highlight w:val="none"/>
                      <w:lang w:val="en-US" w:eastAsia="zh-CN"/>
                    </w:rPr>
                    <w:t>颗粒物</w:t>
                  </w:r>
                </w:p>
              </w:tc>
              <w:tc>
                <w:tcPr>
                  <w:tcW w:w="823" w:type="pct"/>
                  <w:noWrap w:val="0"/>
                  <w:vAlign w:val="center"/>
                </w:tcPr>
                <w:p>
                  <w:pPr>
                    <w:pStyle w:val="43"/>
                    <w:bidi w:val="0"/>
                    <w:rPr>
                      <w:rFonts w:hint="default"/>
                      <w:highlight w:val="none"/>
                      <w:lang w:val="en-US" w:eastAsia="zh-CN"/>
                    </w:rPr>
                  </w:pPr>
                  <w:r>
                    <w:rPr>
                      <w:rFonts w:hint="eastAsia"/>
                      <w:highlight w:val="none"/>
                      <w:lang w:val="en-US" w:eastAsia="zh-CN"/>
                    </w:rPr>
                    <w:t>20</w:t>
                  </w:r>
                </w:p>
              </w:tc>
              <w:tc>
                <w:tcPr>
                  <w:tcW w:w="579" w:type="pct"/>
                  <w:noWrap w:val="0"/>
                  <w:vAlign w:val="center"/>
                </w:tcPr>
                <w:p>
                  <w:pPr>
                    <w:pStyle w:val="43"/>
                    <w:bidi w:val="0"/>
                    <w:rPr>
                      <w:rFonts w:hint="eastAsia"/>
                      <w:highlight w:val="none"/>
                      <w:lang w:val="en-US" w:eastAsia="zh-CN"/>
                    </w:rPr>
                  </w:pPr>
                  <w:r>
                    <w:rPr>
                      <w:rFonts w:hint="eastAsia"/>
                      <w:highlight w:val="none"/>
                      <w:lang w:val="en-US" w:eastAsia="zh-CN"/>
                    </w:rPr>
                    <w:t>颗粒物</w:t>
                  </w:r>
                </w:p>
              </w:tc>
              <w:tc>
                <w:tcPr>
                  <w:tcW w:w="509" w:type="pct"/>
                  <w:noWrap w:val="0"/>
                  <w:vAlign w:val="center"/>
                </w:tcPr>
                <w:p>
                  <w:pPr>
                    <w:pStyle w:val="43"/>
                    <w:bidi w:val="0"/>
                    <w:rPr>
                      <w:rFonts w:hint="default"/>
                      <w:highlight w:val="none"/>
                      <w:lang w:val="en-US" w:eastAsia="zh-CN"/>
                    </w:rPr>
                  </w:pPr>
                  <w:r>
                    <w:rPr>
                      <w:rFonts w:hint="eastAsia"/>
                      <w:highlight w:val="none"/>
                      <w:lang w:val="en-US" w:eastAsia="zh-CN"/>
                    </w:rPr>
                    <w:t>0.5</w:t>
                  </w:r>
                </w:p>
              </w:tc>
              <w:tc>
                <w:tcPr>
                  <w:tcW w:w="974" w:type="pct"/>
                  <w:noWrap w:val="0"/>
                  <w:vAlign w:val="center"/>
                </w:tcPr>
                <w:p>
                  <w:pPr>
                    <w:pStyle w:val="43"/>
                    <w:bidi w:val="0"/>
                    <w:rPr>
                      <w:rFonts w:hint="eastAsia"/>
                      <w:highlight w:val="none"/>
                      <w:lang w:val="en-US" w:eastAsia="zh-CN"/>
                    </w:rPr>
                  </w:pPr>
                  <w:r>
                    <w:rPr>
                      <w:rFonts w:hint="eastAsia"/>
                      <w:highlight w:val="none"/>
                      <w:lang w:val="en-US" w:eastAsia="zh-CN"/>
                    </w:rPr>
                    <w:t>厂界外20m处上风向设参照点，下风向设监控点</w:t>
                  </w:r>
                </w:p>
              </w:tc>
            </w:tr>
          </w:tbl>
          <w:p>
            <w:pPr>
              <w:pStyle w:val="44"/>
              <w:bidi w:val="0"/>
              <w:rPr>
                <w:rFonts w:hint="eastAsia"/>
                <w:highlight w:val="none"/>
              </w:rPr>
            </w:pPr>
            <w:r>
              <w:rPr>
                <w:rFonts w:hint="eastAsia"/>
                <w:highlight w:val="none"/>
                <w:lang w:val="en-US" w:eastAsia="zh-CN"/>
              </w:rPr>
              <w:t>②本项目职工食堂设1个灶头，执行《饮食业油烟排放标准》（GB18483-2001）（试行）中规定（试行）小型标准要求。</w:t>
            </w:r>
          </w:p>
          <w:p>
            <w:pPr>
              <w:pStyle w:val="28"/>
              <w:bidi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表3-3  饮食业油烟排放标准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340"/>
              <w:gridCol w:w="2646"/>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5" w:type="pct"/>
                  <w:vMerge w:val="restart"/>
                  <w:noWrap w:val="0"/>
                  <w:vAlign w:val="center"/>
                </w:tcPr>
                <w:p>
                  <w:pPr>
                    <w:pStyle w:val="43"/>
                    <w:bidi w:val="0"/>
                    <w:rPr>
                      <w:rFonts w:hint="default"/>
                      <w:highlight w:val="none"/>
                      <w:lang w:val="en-US" w:eastAsia="zh-CN"/>
                    </w:rPr>
                  </w:pPr>
                  <w:r>
                    <w:rPr>
                      <w:rFonts w:hint="eastAsia"/>
                      <w:highlight w:val="none"/>
                      <w:lang w:val="en-US" w:eastAsia="zh-CN"/>
                    </w:rPr>
                    <w:t>序号</w:t>
                  </w:r>
                </w:p>
              </w:tc>
              <w:tc>
                <w:tcPr>
                  <w:tcW w:w="886" w:type="pct"/>
                  <w:vMerge w:val="restart"/>
                  <w:noWrap w:val="0"/>
                  <w:vAlign w:val="center"/>
                </w:tcPr>
                <w:p>
                  <w:pPr>
                    <w:pStyle w:val="43"/>
                    <w:bidi w:val="0"/>
                    <w:rPr>
                      <w:rFonts w:hint="default"/>
                      <w:highlight w:val="none"/>
                      <w:lang w:val="en-US" w:eastAsia="zh-CN"/>
                    </w:rPr>
                  </w:pPr>
                  <w:r>
                    <w:rPr>
                      <w:rFonts w:hint="eastAsia"/>
                      <w:highlight w:val="none"/>
                      <w:lang w:val="en-US" w:eastAsia="zh-CN"/>
                    </w:rPr>
                    <w:t>炉窑类别</w:t>
                  </w:r>
                </w:p>
              </w:tc>
              <w:tc>
                <w:tcPr>
                  <w:tcW w:w="3568" w:type="pct"/>
                  <w:gridSpan w:val="2"/>
                  <w:noWrap w:val="0"/>
                  <w:vAlign w:val="center"/>
                </w:tcPr>
                <w:p>
                  <w:pPr>
                    <w:pStyle w:val="43"/>
                    <w:bidi w:val="0"/>
                    <w:rPr>
                      <w:rFonts w:hint="default"/>
                      <w:highlight w:val="none"/>
                      <w:lang w:val="en-US" w:eastAsia="zh-CN"/>
                    </w:rPr>
                  </w:pPr>
                  <w:r>
                    <w:rPr>
                      <w:rFonts w:hint="eastAsia"/>
                      <w:highlight w:val="none"/>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5" w:type="pct"/>
                  <w:vMerge w:val="continue"/>
                  <w:noWrap w:val="0"/>
                  <w:vAlign w:val="center"/>
                </w:tcPr>
                <w:p>
                  <w:pPr>
                    <w:pStyle w:val="43"/>
                    <w:bidi w:val="0"/>
                    <w:rPr>
                      <w:rFonts w:hint="default"/>
                      <w:highlight w:val="none"/>
                      <w:lang w:val="en-US" w:eastAsia="zh-CN"/>
                    </w:rPr>
                  </w:pPr>
                </w:p>
              </w:tc>
              <w:tc>
                <w:tcPr>
                  <w:tcW w:w="886" w:type="pct"/>
                  <w:vMerge w:val="continue"/>
                  <w:noWrap w:val="0"/>
                  <w:vAlign w:val="center"/>
                </w:tcPr>
                <w:p>
                  <w:pPr>
                    <w:pStyle w:val="43"/>
                    <w:bidi w:val="0"/>
                    <w:rPr>
                      <w:rFonts w:hint="default"/>
                      <w:highlight w:val="none"/>
                      <w:lang w:val="en-US" w:eastAsia="zh-CN"/>
                    </w:rPr>
                  </w:pPr>
                </w:p>
              </w:tc>
              <w:tc>
                <w:tcPr>
                  <w:tcW w:w="1749" w:type="pct"/>
                  <w:noWrap w:val="0"/>
                  <w:vAlign w:val="center"/>
                </w:tcPr>
                <w:p>
                  <w:pPr>
                    <w:pStyle w:val="43"/>
                    <w:bidi w:val="0"/>
                    <w:rPr>
                      <w:rFonts w:hint="default"/>
                      <w:highlight w:val="none"/>
                      <w:lang w:val="en-US" w:eastAsia="zh-CN"/>
                    </w:rPr>
                  </w:pPr>
                  <w:r>
                    <w:rPr>
                      <w:rFonts w:hint="eastAsia"/>
                      <w:highlight w:val="none"/>
                      <w:lang w:val="en-US" w:eastAsia="zh-CN"/>
                    </w:rPr>
                    <w:t>最高允许排放浓度mg/</w:t>
                  </w:r>
                  <w:r>
                    <w:rPr>
                      <w:rFonts w:hint="default"/>
                      <w:highlight w:val="none"/>
                      <w:lang w:val="en-US" w:eastAsia="zh-CN"/>
                    </w:rPr>
                    <w:t>m</w:t>
                  </w:r>
                  <w:r>
                    <w:rPr>
                      <w:rFonts w:hint="default"/>
                      <w:highlight w:val="none"/>
                      <w:vertAlign w:val="superscript"/>
                      <w:lang w:val="en-US" w:eastAsia="zh-CN"/>
                    </w:rPr>
                    <w:t>3</w:t>
                  </w:r>
                </w:p>
              </w:tc>
              <w:tc>
                <w:tcPr>
                  <w:tcW w:w="1819" w:type="pct"/>
                  <w:noWrap w:val="0"/>
                  <w:vAlign w:val="center"/>
                </w:tcPr>
                <w:p>
                  <w:pPr>
                    <w:pStyle w:val="43"/>
                    <w:bidi w:val="0"/>
                    <w:rPr>
                      <w:rFonts w:hint="default"/>
                      <w:highlight w:val="none"/>
                      <w:lang w:val="en-US" w:eastAsia="zh-CN"/>
                    </w:rPr>
                  </w:pPr>
                  <w:r>
                    <w:rPr>
                      <w:rFonts w:hint="eastAsia"/>
                      <w:highlight w:val="none"/>
                      <w:lang w:val="en-US" w:eastAsia="zh-CN"/>
                    </w:rPr>
                    <w:t>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5" w:type="pct"/>
                  <w:noWrap w:val="0"/>
                  <w:vAlign w:val="center"/>
                </w:tcPr>
                <w:p>
                  <w:pPr>
                    <w:pStyle w:val="43"/>
                    <w:bidi w:val="0"/>
                    <w:rPr>
                      <w:rFonts w:hint="eastAsia"/>
                      <w:highlight w:val="none"/>
                      <w:lang w:val="en-US" w:eastAsia="zh-CN"/>
                    </w:rPr>
                  </w:pPr>
                  <w:r>
                    <w:rPr>
                      <w:rFonts w:hint="eastAsia"/>
                      <w:highlight w:val="none"/>
                      <w:lang w:val="en-US" w:eastAsia="zh-CN"/>
                    </w:rPr>
                    <w:t>1</w:t>
                  </w:r>
                </w:p>
              </w:tc>
              <w:tc>
                <w:tcPr>
                  <w:tcW w:w="886" w:type="pct"/>
                  <w:noWrap w:val="0"/>
                  <w:vAlign w:val="center"/>
                </w:tcPr>
                <w:p>
                  <w:pPr>
                    <w:pStyle w:val="43"/>
                    <w:bidi w:val="0"/>
                    <w:rPr>
                      <w:rFonts w:hint="default"/>
                      <w:highlight w:val="none"/>
                      <w:lang w:val="en-US" w:eastAsia="zh-CN"/>
                    </w:rPr>
                  </w:pPr>
                  <w:r>
                    <w:rPr>
                      <w:rFonts w:hint="eastAsia"/>
                      <w:highlight w:val="none"/>
                      <w:lang w:val="en-US" w:eastAsia="zh-CN"/>
                    </w:rPr>
                    <w:t>食堂油烟</w:t>
                  </w:r>
                </w:p>
              </w:tc>
              <w:tc>
                <w:tcPr>
                  <w:tcW w:w="1749" w:type="pct"/>
                  <w:noWrap w:val="0"/>
                  <w:vAlign w:val="center"/>
                </w:tcPr>
                <w:p>
                  <w:pPr>
                    <w:pStyle w:val="43"/>
                    <w:bidi w:val="0"/>
                    <w:rPr>
                      <w:rFonts w:hint="default"/>
                      <w:highlight w:val="none"/>
                      <w:lang w:val="en-US" w:eastAsia="zh-CN"/>
                    </w:rPr>
                  </w:pPr>
                  <w:r>
                    <w:rPr>
                      <w:rFonts w:hint="eastAsia"/>
                      <w:highlight w:val="none"/>
                      <w:lang w:val="en-US" w:eastAsia="zh-CN"/>
                    </w:rPr>
                    <w:t>2.0</w:t>
                  </w:r>
                </w:p>
              </w:tc>
              <w:tc>
                <w:tcPr>
                  <w:tcW w:w="1819" w:type="pct"/>
                  <w:noWrap w:val="0"/>
                  <w:vAlign w:val="center"/>
                </w:tcPr>
                <w:p>
                  <w:pPr>
                    <w:pStyle w:val="43"/>
                    <w:bidi w:val="0"/>
                    <w:rPr>
                      <w:rFonts w:hint="default"/>
                      <w:highlight w:val="none"/>
                      <w:lang w:val="en-US" w:eastAsia="zh-CN"/>
                    </w:rPr>
                  </w:pPr>
                  <w:r>
                    <w:rPr>
                      <w:rFonts w:hint="eastAsia"/>
                      <w:highlight w:val="none"/>
                      <w:lang w:val="en-US" w:eastAsia="zh-CN"/>
                    </w:rPr>
                    <w:t>60</w:t>
                  </w:r>
                </w:p>
              </w:tc>
            </w:tr>
          </w:tbl>
          <w:p>
            <w:pPr>
              <w:pStyle w:val="44"/>
              <w:bidi w:val="0"/>
              <w:rPr>
                <w:b/>
                <w:bCs/>
                <w:highlight w:val="none"/>
              </w:rPr>
            </w:pPr>
            <w:r>
              <w:rPr>
                <w:rFonts w:hint="eastAsia"/>
                <w:b/>
                <w:bCs/>
                <w:highlight w:val="none"/>
                <w:lang w:val="en-US" w:eastAsia="zh-CN"/>
              </w:rPr>
              <w:t>2.</w:t>
            </w:r>
            <w:r>
              <w:rPr>
                <w:b/>
                <w:bCs/>
                <w:highlight w:val="none"/>
              </w:rPr>
              <w:t>水污染物排放标准</w:t>
            </w:r>
          </w:p>
          <w:p>
            <w:pPr>
              <w:pStyle w:val="44"/>
              <w:bidi w:val="0"/>
              <w:rPr>
                <w:highlight w:val="none"/>
              </w:rPr>
            </w:pPr>
            <w:r>
              <w:rPr>
                <w:rFonts w:hint="eastAsia"/>
                <w:highlight w:val="none"/>
                <w:lang w:val="en-US" w:eastAsia="zh-CN"/>
              </w:rPr>
              <w:t>本项目生产废水经沉淀池处理后回用于生产，不外排。生活污水排入防渗化粪池定期委托清运至博湖县污水处理厂进一步处理。</w:t>
            </w:r>
          </w:p>
          <w:p>
            <w:pPr>
              <w:pStyle w:val="44"/>
              <w:bidi w:val="0"/>
              <w:rPr>
                <w:b/>
                <w:bCs/>
                <w:highlight w:val="none"/>
              </w:rPr>
            </w:pPr>
            <w:r>
              <w:rPr>
                <w:rFonts w:hint="eastAsia"/>
                <w:b/>
                <w:bCs/>
                <w:highlight w:val="none"/>
                <w:lang w:val="en-US" w:eastAsia="zh-CN"/>
              </w:rPr>
              <w:t>3.</w:t>
            </w:r>
            <w:r>
              <w:rPr>
                <w:b/>
                <w:bCs/>
                <w:highlight w:val="none"/>
              </w:rPr>
              <w:t>噪声污染物排放标准</w:t>
            </w:r>
          </w:p>
          <w:p>
            <w:pPr>
              <w:pStyle w:val="44"/>
              <w:bidi w:val="0"/>
              <w:rPr>
                <w:highlight w:val="none"/>
              </w:rPr>
            </w:pPr>
            <w:r>
              <w:rPr>
                <w:rFonts w:hint="eastAsia"/>
                <w:highlight w:val="none"/>
                <w:lang w:val="en-US" w:eastAsia="zh-CN"/>
              </w:rPr>
              <w:t>根据</w:t>
            </w:r>
            <w:r>
              <w:rPr>
                <w:highlight w:val="none"/>
              </w:rPr>
              <w:t>《博湖县声环境功能区划实施方案》</w:t>
            </w:r>
            <w:r>
              <w:rPr>
                <w:rFonts w:hint="eastAsia"/>
                <w:highlight w:val="none"/>
              </w:rPr>
              <w:t>《声环境功能区划分技术规范》（GB/T15190-2014）相关要求</w:t>
            </w:r>
            <w:r>
              <w:rPr>
                <w:rFonts w:hint="eastAsia"/>
                <w:highlight w:val="none"/>
                <w:lang w:eastAsia="zh-CN"/>
              </w:rPr>
              <w:t>，</w:t>
            </w:r>
            <w:r>
              <w:rPr>
                <w:rFonts w:hint="eastAsia"/>
                <w:highlight w:val="none"/>
                <w:lang w:val="en-US" w:eastAsia="zh-CN"/>
              </w:rPr>
              <w:t>项目所在地周边200m范围内主要为博林木业木材加工厂、万达商混站等工业企业以及交通道路、养殖场等，无集中居民住户，且项目用地性质为工业用地，所在声环境功能区执行3类，</w:t>
            </w:r>
            <w:r>
              <w:rPr>
                <w:highlight w:val="none"/>
              </w:rPr>
              <w:t>运营期厂界噪声执行《工业企业厂界环境噪声排放标准》（GB12348-2008）中3类标准，排放标准限值见下表。</w:t>
            </w:r>
          </w:p>
          <w:p>
            <w:pPr>
              <w:pStyle w:val="28"/>
              <w:bidi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表3-4  噪声排放限值，单位：dB（A）</w:t>
            </w:r>
          </w:p>
          <w:tbl>
            <w:tblPr>
              <w:tblStyle w:val="22"/>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904"/>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4" w:type="dxa"/>
                  <w:noWrap w:val="0"/>
                  <w:vAlign w:val="center"/>
                </w:tcPr>
                <w:p>
                  <w:pPr>
                    <w:pStyle w:val="43"/>
                    <w:bidi w:val="0"/>
                    <w:rPr>
                      <w:rFonts w:hint="default"/>
                      <w:highlight w:val="none"/>
                      <w:lang w:val="en-US" w:eastAsia="zh-CN"/>
                    </w:rPr>
                  </w:pPr>
                  <w:r>
                    <w:rPr>
                      <w:rFonts w:hint="eastAsia"/>
                      <w:highlight w:val="none"/>
                      <w:lang w:val="en-US" w:eastAsia="zh-CN"/>
                    </w:rPr>
                    <w:t>时期</w:t>
                  </w:r>
                </w:p>
              </w:tc>
              <w:tc>
                <w:tcPr>
                  <w:tcW w:w="3904" w:type="dxa"/>
                  <w:noWrap w:val="0"/>
                  <w:vAlign w:val="center"/>
                </w:tcPr>
                <w:p>
                  <w:pPr>
                    <w:pStyle w:val="43"/>
                    <w:bidi w:val="0"/>
                    <w:rPr>
                      <w:rFonts w:hint="default"/>
                      <w:highlight w:val="none"/>
                      <w:lang w:val="en-US" w:eastAsia="zh-CN"/>
                    </w:rPr>
                  </w:pPr>
                  <w:r>
                    <w:rPr>
                      <w:rFonts w:hint="eastAsia"/>
                      <w:highlight w:val="none"/>
                      <w:lang w:val="en-US" w:eastAsia="zh-CN"/>
                    </w:rPr>
                    <w:t>标准</w:t>
                  </w:r>
                </w:p>
              </w:tc>
              <w:tc>
                <w:tcPr>
                  <w:tcW w:w="2443" w:type="dxa"/>
                  <w:noWrap w:val="0"/>
                  <w:vAlign w:val="center"/>
                </w:tcPr>
                <w:p>
                  <w:pPr>
                    <w:pStyle w:val="43"/>
                    <w:bidi w:val="0"/>
                    <w:rPr>
                      <w:rFonts w:hint="default"/>
                      <w:highlight w:val="none"/>
                      <w:lang w:val="en-US" w:eastAsia="zh-CN"/>
                    </w:rPr>
                  </w:pPr>
                  <w:r>
                    <w:rPr>
                      <w:rFonts w:hint="eastAsia"/>
                      <w:highlight w:val="no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4" w:type="dxa"/>
                  <w:noWrap w:val="0"/>
                  <w:vAlign w:val="center"/>
                </w:tcPr>
                <w:p>
                  <w:pPr>
                    <w:pStyle w:val="43"/>
                    <w:bidi w:val="0"/>
                    <w:rPr>
                      <w:rFonts w:hint="default"/>
                      <w:highlight w:val="none"/>
                      <w:lang w:val="en-US" w:eastAsia="zh-CN"/>
                    </w:rPr>
                  </w:pPr>
                  <w:r>
                    <w:rPr>
                      <w:rFonts w:hint="eastAsia"/>
                      <w:highlight w:val="none"/>
                      <w:lang w:val="en-US" w:eastAsia="zh-CN"/>
                    </w:rPr>
                    <w:t>运营期</w:t>
                  </w:r>
                </w:p>
              </w:tc>
              <w:tc>
                <w:tcPr>
                  <w:tcW w:w="3904" w:type="dxa"/>
                  <w:noWrap w:val="0"/>
                  <w:vAlign w:val="center"/>
                </w:tcPr>
                <w:p>
                  <w:pPr>
                    <w:pStyle w:val="43"/>
                    <w:bidi w:val="0"/>
                    <w:rPr>
                      <w:rFonts w:hint="default"/>
                      <w:highlight w:val="none"/>
                      <w:lang w:val="en-US" w:eastAsia="zh-CN"/>
                    </w:rPr>
                  </w:pPr>
                  <w:r>
                    <w:rPr>
                      <w:rFonts w:hint="default"/>
                      <w:highlight w:val="none"/>
                      <w:lang w:val="en-US" w:eastAsia="zh-CN"/>
                    </w:rPr>
                    <w:t>《工业企业厂界环境噪声排放标准》</w:t>
                  </w:r>
                  <w:r>
                    <w:rPr>
                      <w:rFonts w:hint="eastAsia"/>
                      <w:highlight w:val="none"/>
                      <w:lang w:val="en-US" w:eastAsia="zh-CN"/>
                    </w:rPr>
                    <w:t>（</w:t>
                  </w:r>
                  <w:r>
                    <w:rPr>
                      <w:rFonts w:hint="default"/>
                      <w:highlight w:val="none"/>
                      <w:lang w:val="en-US" w:eastAsia="zh-CN"/>
                    </w:rPr>
                    <w:t>GB12348--2008</w:t>
                  </w:r>
                  <w:r>
                    <w:rPr>
                      <w:rFonts w:hint="eastAsia"/>
                      <w:highlight w:val="none"/>
                      <w:lang w:val="en-US" w:eastAsia="zh-CN"/>
                    </w:rPr>
                    <w:t>）</w:t>
                  </w:r>
                  <w:r>
                    <w:rPr>
                      <w:rFonts w:hint="default"/>
                      <w:highlight w:val="none"/>
                      <w:lang w:val="en-US" w:eastAsia="zh-CN"/>
                    </w:rPr>
                    <w:t>中3类标准</w:t>
                  </w:r>
                </w:p>
              </w:tc>
              <w:tc>
                <w:tcPr>
                  <w:tcW w:w="2443" w:type="dxa"/>
                  <w:noWrap w:val="0"/>
                  <w:vAlign w:val="center"/>
                </w:tcPr>
                <w:p>
                  <w:pPr>
                    <w:pStyle w:val="43"/>
                    <w:bidi w:val="0"/>
                    <w:rPr>
                      <w:rFonts w:hint="eastAsia"/>
                      <w:highlight w:val="none"/>
                      <w:lang w:val="en-US" w:eastAsia="zh-CN"/>
                    </w:rPr>
                  </w:pPr>
                  <w:r>
                    <w:rPr>
                      <w:rFonts w:hint="default"/>
                      <w:highlight w:val="none"/>
                      <w:lang w:val="en-US" w:eastAsia="zh-CN"/>
                    </w:rPr>
                    <w:t>昼间65dB</w:t>
                  </w:r>
                  <w:r>
                    <w:rPr>
                      <w:rFonts w:hint="eastAsia"/>
                      <w:highlight w:val="none"/>
                      <w:lang w:val="en-US" w:eastAsia="zh-CN"/>
                    </w:rPr>
                    <w:t>（</w:t>
                  </w:r>
                  <w:r>
                    <w:rPr>
                      <w:rFonts w:hint="default"/>
                      <w:highlight w:val="none"/>
                      <w:lang w:val="en-US" w:eastAsia="zh-CN"/>
                    </w:rPr>
                    <w:t>A</w:t>
                  </w:r>
                  <w:r>
                    <w:rPr>
                      <w:rFonts w:hint="eastAsia"/>
                      <w:highlight w:val="none"/>
                      <w:lang w:val="en-US" w:eastAsia="zh-CN"/>
                    </w:rPr>
                    <w:t>）</w:t>
                  </w:r>
                </w:p>
                <w:p>
                  <w:pPr>
                    <w:pStyle w:val="43"/>
                    <w:bidi w:val="0"/>
                    <w:rPr>
                      <w:rFonts w:hint="default"/>
                      <w:highlight w:val="none"/>
                      <w:lang w:val="en-US" w:eastAsia="zh-CN"/>
                    </w:rPr>
                  </w:pPr>
                  <w:r>
                    <w:rPr>
                      <w:rFonts w:hint="default"/>
                      <w:highlight w:val="none"/>
                      <w:lang w:val="en-US" w:eastAsia="zh-CN"/>
                    </w:rPr>
                    <w:t>夜间55dB</w:t>
                  </w:r>
                  <w:r>
                    <w:rPr>
                      <w:rFonts w:hint="eastAsia"/>
                      <w:highlight w:val="none"/>
                      <w:lang w:val="en-US" w:eastAsia="zh-CN"/>
                    </w:rPr>
                    <w:t>（</w:t>
                  </w:r>
                  <w:r>
                    <w:rPr>
                      <w:rFonts w:hint="default"/>
                      <w:highlight w:val="none"/>
                      <w:lang w:val="en-US" w:eastAsia="zh-CN"/>
                    </w:rPr>
                    <w:t>A</w:t>
                  </w:r>
                  <w:r>
                    <w:rPr>
                      <w:rFonts w:hint="eastAsia"/>
                      <w:highlight w:val="none"/>
                      <w:lang w:val="en-US" w:eastAsia="zh-CN"/>
                    </w:rPr>
                    <w:t>）</w:t>
                  </w:r>
                </w:p>
              </w:tc>
            </w:tr>
          </w:tbl>
          <w:p>
            <w:pPr>
              <w:pStyle w:val="44"/>
              <w:bidi w:val="0"/>
              <w:rPr>
                <w:b/>
                <w:bCs/>
                <w:highlight w:val="none"/>
              </w:rPr>
            </w:pPr>
            <w:r>
              <w:rPr>
                <w:rFonts w:hint="eastAsia"/>
                <w:b/>
                <w:bCs/>
                <w:highlight w:val="none"/>
                <w:lang w:val="en-US" w:eastAsia="zh-CN"/>
              </w:rPr>
              <w:t>4.</w:t>
            </w:r>
            <w:r>
              <w:rPr>
                <w:b/>
                <w:bCs/>
                <w:highlight w:val="none"/>
              </w:rPr>
              <w:t>固体废物污染物排放标准</w:t>
            </w:r>
          </w:p>
          <w:p>
            <w:pPr>
              <w:pStyle w:val="44"/>
              <w:bidi w:val="0"/>
              <w:ind w:firstLine="480" w:firstLineChars="200"/>
              <w:rPr>
                <w:highlight w:val="none"/>
              </w:rPr>
            </w:pPr>
            <w:r>
              <w:rPr>
                <w:highlight w:val="none"/>
              </w:rPr>
              <w:t>本项目运营期固体废弃物执行《一般工业固体废物贮存和填埋污染控制标准》（GB18599-2020），危险废物执行《危险废物贮存污染控制标准》（GB18597-2023）。</w:t>
            </w:r>
          </w:p>
          <w:p>
            <w:pPr>
              <w:pStyle w:val="44"/>
              <w:bidi w:val="0"/>
              <w:ind w:firstLine="480" w:firstLineChars="200"/>
              <w:rPr>
                <w:rFonts w:hint="default"/>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01" w:hRule="atLeast"/>
          <w:jc w:val="center"/>
        </w:trPr>
        <w:tc>
          <w:tcPr>
            <w:tcW w:w="800" w:type="dxa"/>
            <w:noWrap w:val="0"/>
            <w:vAlign w:val="center"/>
          </w:tcPr>
          <w:p>
            <w:pPr>
              <w:pStyle w:val="44"/>
              <w:bidi w:val="0"/>
              <w:ind w:left="0" w:leftChars="0" w:firstLine="0" w:firstLineChars="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总量控制指标</w:t>
            </w:r>
          </w:p>
        </w:tc>
        <w:tc>
          <w:tcPr>
            <w:tcW w:w="8190" w:type="dxa"/>
            <w:noWrap w:val="0"/>
            <w:vAlign w:val="top"/>
          </w:tcPr>
          <w:p>
            <w:pPr>
              <w:pStyle w:val="7"/>
              <w:jc w:val="both"/>
              <w:rPr>
                <w:rFonts w:hint="default" w:eastAsia="宋体"/>
                <w:highlight w:val="none"/>
                <w:lang w:val="en-US" w:eastAsia="zh-CN"/>
              </w:rPr>
            </w:pPr>
            <w:r>
              <w:rPr>
                <w:rFonts w:hint="eastAsia"/>
                <w:highlight w:val="none"/>
                <w:lang w:val="en-US" w:eastAsia="zh-CN"/>
              </w:rPr>
              <w:t>1.</w:t>
            </w:r>
            <w:r>
              <w:rPr>
                <w:rFonts w:hint="eastAsia"/>
                <w:highlight w:val="none"/>
              </w:rPr>
              <w:t>废</w:t>
            </w:r>
            <w:r>
              <w:rPr>
                <w:rFonts w:hint="eastAsia"/>
                <w:highlight w:val="none"/>
                <w:lang w:val="en-US" w:eastAsia="zh-CN"/>
              </w:rPr>
              <w:t>气</w:t>
            </w:r>
            <w:r>
              <w:rPr>
                <w:rFonts w:hint="eastAsia"/>
                <w:highlight w:val="none"/>
              </w:rPr>
              <w:t>总量控制指标</w:t>
            </w:r>
          </w:p>
          <w:p>
            <w:pPr>
              <w:pStyle w:val="7"/>
              <w:jc w:val="both"/>
              <w:rPr>
                <w:rFonts w:hint="eastAsia"/>
                <w:highlight w:val="none"/>
              </w:rPr>
            </w:pPr>
            <w:r>
              <w:rPr>
                <w:rFonts w:hint="eastAsia"/>
                <w:highlight w:val="none"/>
                <w:lang w:val="en-US" w:eastAsia="zh-CN"/>
              </w:rPr>
              <w:t>企业不排放国家或</w:t>
            </w:r>
            <w:r>
              <w:rPr>
                <w:rFonts w:hint="eastAsia"/>
                <w:highlight w:val="none"/>
              </w:rPr>
              <w:t>地方生态环境主管部门</w:t>
            </w:r>
            <w:r>
              <w:rPr>
                <w:rFonts w:hint="eastAsia"/>
                <w:highlight w:val="none"/>
                <w:lang w:val="en-US" w:eastAsia="zh-CN"/>
              </w:rPr>
              <w:t>规定</w:t>
            </w:r>
            <w:r>
              <w:rPr>
                <w:rFonts w:hint="eastAsia"/>
                <w:highlight w:val="none"/>
              </w:rPr>
              <w:t>的</w:t>
            </w:r>
            <w:r>
              <w:rPr>
                <w:rFonts w:hint="eastAsia"/>
                <w:highlight w:val="none"/>
                <w:lang w:val="en-US" w:eastAsia="zh-CN"/>
              </w:rPr>
              <w:t>大气污染物</w:t>
            </w:r>
            <w:r>
              <w:rPr>
                <w:rFonts w:hint="eastAsia"/>
                <w:highlight w:val="none"/>
              </w:rPr>
              <w:t>总量控制指标。</w:t>
            </w:r>
          </w:p>
          <w:p>
            <w:pPr>
              <w:pStyle w:val="7"/>
              <w:jc w:val="both"/>
              <w:rPr>
                <w:rFonts w:hint="eastAsia"/>
                <w:highlight w:val="none"/>
              </w:rPr>
            </w:pPr>
            <w:r>
              <w:rPr>
                <w:rFonts w:hint="eastAsia"/>
                <w:highlight w:val="none"/>
                <w:lang w:val="en-US" w:eastAsia="zh-CN"/>
              </w:rPr>
              <w:t>2.</w:t>
            </w:r>
            <w:r>
              <w:rPr>
                <w:rFonts w:hint="eastAsia"/>
                <w:highlight w:val="none"/>
              </w:rPr>
              <w:t>废水总量控制指标</w:t>
            </w:r>
          </w:p>
          <w:p>
            <w:pPr>
              <w:pStyle w:val="44"/>
              <w:bidi w:val="0"/>
              <w:jc w:val="both"/>
              <w:rPr>
                <w:rFonts w:hint="eastAsia"/>
                <w:highlight w:val="none"/>
              </w:rPr>
            </w:pPr>
            <w:r>
              <w:rPr>
                <w:rFonts w:hint="eastAsia"/>
                <w:highlight w:val="none"/>
              </w:rPr>
              <w:t>本项目废水全部回用，无</w:t>
            </w:r>
            <w:r>
              <w:rPr>
                <w:rFonts w:hint="eastAsia"/>
                <w:highlight w:val="none"/>
                <w:lang w:val="en-US" w:eastAsia="zh-CN"/>
              </w:rPr>
              <w:t>生产废水外排，无</w:t>
            </w:r>
            <w:r>
              <w:rPr>
                <w:rFonts w:hint="eastAsia"/>
                <w:highlight w:val="none"/>
              </w:rPr>
              <w:t>总量控制指标。</w:t>
            </w:r>
          </w:p>
          <w:p>
            <w:pPr>
              <w:pStyle w:val="44"/>
              <w:bidi w:val="0"/>
              <w:jc w:val="both"/>
              <w:rPr>
                <w:rFonts w:hint="eastAsia"/>
                <w:highlight w:val="none"/>
              </w:rPr>
            </w:pPr>
            <w:r>
              <w:rPr>
                <w:rFonts w:hint="eastAsia"/>
                <w:highlight w:val="none"/>
              </w:rPr>
              <w:t>本项目无需申请总量。</w:t>
            </w: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p>
            <w:pPr>
              <w:pStyle w:val="44"/>
              <w:bidi w:val="0"/>
              <w:jc w:val="both"/>
              <w:rPr>
                <w:rFonts w:hint="eastAsia"/>
                <w:highlight w:val="none"/>
              </w:rPr>
            </w:pPr>
          </w:p>
        </w:tc>
      </w:tr>
    </w:tbl>
    <w:p>
      <w:pPr>
        <w:pStyle w:val="18"/>
        <w:jc w:val="center"/>
        <w:outlineLvl w:val="0"/>
        <w:rPr>
          <w:rFonts w:hint="eastAsia" w:ascii="宋体" w:hAnsi="宋体" w:eastAsia="宋体" w:cs="宋体"/>
          <w:snapToGrid w:val="0"/>
          <w:color w:val="auto"/>
          <w:sz w:val="30"/>
          <w:szCs w:val="30"/>
          <w:highlight w:val="none"/>
        </w:rPr>
      </w:pPr>
      <w:r>
        <w:rPr>
          <w:rFonts w:ascii="黑体" w:hAnsi="黑体" w:eastAsia="黑体"/>
          <w:snapToGrid w:val="0"/>
          <w:sz w:val="36"/>
          <w:szCs w:val="36"/>
          <w:highlight w:val="none"/>
        </w:rPr>
        <w:br w:type="page"/>
      </w:r>
      <w:r>
        <w:rPr>
          <w:rFonts w:hint="eastAsia" w:ascii="宋体" w:hAnsi="宋体" w:eastAsia="宋体" w:cs="宋体"/>
          <w:snapToGrid w:val="0"/>
          <w:color w:val="auto"/>
          <w:sz w:val="30"/>
          <w:szCs w:val="30"/>
          <w:highlight w:val="none"/>
        </w:rPr>
        <w:t>四、主要环境影响和保护措施</w:t>
      </w:r>
    </w:p>
    <w:tbl>
      <w:tblPr>
        <w:tblStyle w:val="21"/>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0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noWrap/>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施工</w:t>
            </w:r>
          </w:p>
          <w:p>
            <w:pPr>
              <w:pStyle w:val="18"/>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期环</w:t>
            </w:r>
          </w:p>
          <w:p>
            <w:pPr>
              <w:pStyle w:val="18"/>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境保</w:t>
            </w:r>
          </w:p>
          <w:p>
            <w:pPr>
              <w:pStyle w:val="18"/>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护措</w:t>
            </w:r>
          </w:p>
          <w:p>
            <w:pPr>
              <w:pStyle w:val="18"/>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Cs w:val="24"/>
                <w:highlight w:val="none"/>
              </w:rPr>
              <w:t>施</w:t>
            </w:r>
          </w:p>
        </w:tc>
        <w:tc>
          <w:tcPr>
            <w:tcW w:w="4730" w:type="pct"/>
            <w:noWrap/>
            <w:vAlign w:val="center"/>
          </w:tcPr>
          <w:p>
            <w:pPr>
              <w:pStyle w:val="46"/>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施工期大气环境影响和保护措施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施工过程主要大气污染物为施工机械设备及运输车辆尾气、运输道路扬尘和施工粉尘等。施工期应特别注意扬尘的防治问题，制定必要的防治措施，以减少施工扬尘对周围环境的影响。根据《防治城市扬尘污染技术规范》（HJ/T393-2007）、《建筑工程施工现场扬尘污染防治标准》（XJJ119-2020），结合</w:t>
            </w:r>
            <w:r>
              <w:rPr>
                <w:rFonts w:hint="eastAsia" w:cs="Times New Roman"/>
                <w:color w:val="auto"/>
                <w:highlight w:val="none"/>
                <w:lang w:val="en-US" w:eastAsia="zh-CN"/>
              </w:rPr>
              <w:t>《施工工地和道路扬尘管控工作的通知》</w:t>
            </w:r>
            <w:r>
              <w:rPr>
                <w:rFonts w:hint="default" w:ascii="Times New Roman" w:hAnsi="Times New Roman" w:eastAsia="宋体" w:cs="Times New Roman"/>
                <w:color w:val="auto"/>
                <w:highlight w:val="none"/>
                <w:lang w:val="en-US" w:eastAsia="zh-CN"/>
              </w:rPr>
              <w:t>《巴音郭楞蒙古自治州大气污染防治办法</w:t>
            </w:r>
            <w:r>
              <w:rPr>
                <w:rFonts w:hint="eastAsia" w:ascii="Times New Roman" w:hAnsi="Times New Roman" w:eastAsia="宋体" w:cs="Times New Roman"/>
                <w:color w:val="auto"/>
                <w:highlight w:val="none"/>
                <w:lang w:val="en-US" w:eastAsia="zh-CN"/>
              </w:rPr>
              <w:t>》《建筑工程绿色环保施工管理规范》（DB 65/T</w:t>
            </w:r>
            <w:r>
              <w:rPr>
                <w:rFonts w:hint="eastAsia"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4060—2017）的</w:t>
            </w:r>
            <w:r>
              <w:rPr>
                <w:rFonts w:hint="default" w:ascii="Times New Roman" w:hAnsi="Times New Roman" w:eastAsia="宋体" w:cs="Times New Roman"/>
                <w:color w:val="auto"/>
                <w:highlight w:val="none"/>
                <w:lang w:val="en-US" w:eastAsia="zh-CN"/>
              </w:rPr>
              <w:t>规定，制定施工期扬尘防治措施如下：</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（1）施行绿色施工，实现建筑施工工地周边围挡、物料堆放覆盖、土方开挖湿法作业、路面硬化、出入车辆清洗、渣土车辆密闭运输，严禁敞开式作业</w:t>
            </w:r>
            <w:r>
              <w:rPr>
                <w:rFonts w:hint="eastAsia" w:cs="Times New Roman"/>
                <w:color w:val="auto"/>
                <w:highlight w:val="none"/>
                <w:lang w:val="en-US" w:eastAsia="zh-CN"/>
              </w:rPr>
              <w:t>。</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（2）施工现场土方开挖后尽快完成回填，不能及时回填的裸露场地和集中堆放的土方应采取密目网进行覆盖</w:t>
            </w:r>
            <w:r>
              <w:rPr>
                <w:rFonts w:hint="eastAsia" w:cs="Times New Roman"/>
                <w:color w:val="auto"/>
                <w:highlight w:val="none"/>
                <w:lang w:val="en-US" w:eastAsia="zh-CN"/>
              </w:rPr>
              <w:t>，及时洒水</w:t>
            </w:r>
            <w:r>
              <w:rPr>
                <w:rFonts w:hint="default" w:ascii="Times New Roman" w:hAnsi="Times New Roman" w:eastAsia="宋体" w:cs="Times New Roman"/>
                <w:color w:val="auto"/>
                <w:highlight w:val="none"/>
                <w:lang w:val="en-US" w:eastAsia="zh-CN"/>
              </w:rPr>
              <w:t>等防尘措施；砂石等散体材料集中堆放并覆盖。渣土等建筑垃圾集中、分类堆放，严密遮盖，采用封闭式管道或装袋清运，严禁高处</w:t>
            </w:r>
            <w:r>
              <w:rPr>
                <w:rFonts w:hint="eastAsia" w:cs="Times New Roman"/>
                <w:color w:val="auto"/>
                <w:highlight w:val="none"/>
                <w:lang w:val="en-US" w:eastAsia="zh-CN"/>
              </w:rPr>
              <w:t>抛撒</w:t>
            </w:r>
            <w:r>
              <w:rPr>
                <w:rFonts w:hint="default" w:ascii="Times New Roman" w:hAnsi="Times New Roman" w:eastAsia="宋体" w:cs="Times New Roman"/>
                <w:color w:val="auto"/>
                <w:highlight w:val="none"/>
                <w:lang w:val="en-US" w:eastAsia="zh-CN"/>
              </w:rPr>
              <w:t>。</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（3）运送土方、垃圾、设备及建筑材料等不得污损场外道路，施工现场大门口必须设置冲洗车辆设施，运输车辆必须采取防护措施，保证物料不得散落、飞扬和遗漏。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施工现场对粉状材料必须封闭存放，施工现场使用商品混凝土和预拌砂浆，施工现场道路应进行地面硬化，禁止现场搅拌混凝土。运进或运出工地的土方、砂石、建筑垃圾等易产生扬尘的材料，应采取封闭运输。</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）渣土运输车辆采取密闭措施，按照环境卫生行政主管部门规定的时间、线路和要求，清运到指定的场所处理。做好运输车辆的防护工作，以减少渣土沿路洒落；设置专人负责现场卫生，定期对运输道路洒水。</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）施工现场禁止焚烧沥青、油毡、橡胶、塑料、皮革、垃圾以及其他产生有毒有害烟尘和恶臭气体的物质。</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7</w:t>
            </w:r>
            <w:r>
              <w:rPr>
                <w:rFonts w:hint="default" w:ascii="Times New Roman" w:hAnsi="Times New Roman" w:eastAsia="宋体" w:cs="Times New Roman"/>
                <w:color w:val="auto"/>
                <w:highlight w:val="none"/>
                <w:lang w:val="en-US" w:eastAsia="zh-CN"/>
              </w:rPr>
              <w:t>）施工现场设置洒水降尘设施，安排专人定时洒水降尘。</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）施工单位应采用尾气排放符合国家规定标准的车辆和施工机械，确保其在运行时尾气达标排放，减少对环境空气的污染。</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综上所述，当施工单位采取有效防治措施之后，可以使其对大气环境质量影响降到最低，项目对大气影响将随着施工期的结束而结束。</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施工期废水环境影响和保护措施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不</w:t>
            </w:r>
            <w:r>
              <w:rPr>
                <w:rFonts w:hint="default" w:ascii="Times New Roman" w:hAnsi="Times New Roman" w:eastAsia="宋体" w:cs="Times New Roman"/>
                <w:color w:val="auto"/>
                <w:highlight w:val="none"/>
                <w:lang w:val="en-US" w:eastAsia="zh-CN"/>
              </w:rPr>
              <w:t>在施工场地设生活营地，施工营地依托</w:t>
            </w:r>
            <w:r>
              <w:rPr>
                <w:rFonts w:hint="eastAsia" w:cs="Times New Roman"/>
                <w:color w:val="auto"/>
                <w:highlight w:val="none"/>
                <w:lang w:val="en-US" w:eastAsia="zh-CN"/>
              </w:rPr>
              <w:t>博湖县本布图镇</w:t>
            </w:r>
            <w:r>
              <w:rPr>
                <w:rFonts w:hint="default" w:ascii="Times New Roman" w:hAnsi="Times New Roman" w:eastAsia="宋体" w:cs="Times New Roman"/>
                <w:color w:val="auto"/>
                <w:highlight w:val="none"/>
                <w:lang w:val="en-US" w:eastAsia="zh-CN"/>
              </w:rPr>
              <w:t>已有</w:t>
            </w:r>
            <w:r>
              <w:rPr>
                <w:rFonts w:hint="eastAsia" w:cs="Times New Roman"/>
                <w:color w:val="auto"/>
                <w:highlight w:val="none"/>
                <w:lang w:val="en-US" w:eastAsia="zh-CN"/>
              </w:rPr>
              <w:t>社会服务设施解决，</w:t>
            </w:r>
            <w:r>
              <w:rPr>
                <w:rFonts w:hint="default" w:ascii="Times New Roman" w:hAnsi="Times New Roman" w:eastAsia="宋体" w:cs="Times New Roman"/>
                <w:color w:val="auto"/>
                <w:highlight w:val="none"/>
                <w:lang w:val="en-US" w:eastAsia="zh-CN"/>
              </w:rPr>
              <w:t>施工期废水主要</w:t>
            </w:r>
            <w:r>
              <w:rPr>
                <w:rFonts w:hint="eastAsia" w:cs="Times New Roman"/>
                <w:color w:val="auto"/>
                <w:highlight w:val="none"/>
                <w:lang w:val="en-US" w:eastAsia="zh-CN"/>
              </w:rPr>
              <w:t>为</w:t>
            </w:r>
            <w:r>
              <w:rPr>
                <w:rFonts w:hint="default" w:ascii="Times New Roman" w:hAnsi="Times New Roman" w:eastAsia="宋体" w:cs="Times New Roman"/>
                <w:color w:val="auto"/>
                <w:highlight w:val="none"/>
                <w:lang w:val="en-US" w:eastAsia="zh-CN"/>
              </w:rPr>
              <w:t>施工废水。施工期废水影响治理措施如下：</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（1）施工期工地一切废物都要按指定地点堆放并及时组织清除，避免因暴雨径流而被冲走流入附近</w:t>
            </w:r>
            <w:r>
              <w:rPr>
                <w:rFonts w:hint="eastAsia" w:ascii="Times New Roman" w:hAnsi="Times New Roman" w:eastAsia="宋体" w:cs="Times New Roman"/>
                <w:color w:val="auto"/>
                <w:highlight w:val="none"/>
                <w:lang w:val="en-US" w:eastAsia="zh-CN"/>
              </w:rPr>
              <w:t>开都河</w:t>
            </w:r>
            <w:r>
              <w:rPr>
                <w:rFonts w:hint="default" w:ascii="Times New Roman" w:hAnsi="Times New Roman" w:eastAsia="宋体" w:cs="Times New Roman"/>
                <w:color w:val="auto"/>
                <w:highlight w:val="none"/>
                <w:lang w:val="en-US" w:eastAsia="zh-CN"/>
              </w:rPr>
              <w:t>水体。</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（2）加强施工机械设备的维修保养，避免在施工过程中燃料油的跑、冒、滴、漏。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不在施工场地内进行施工设备</w:t>
            </w:r>
            <w:r>
              <w:rPr>
                <w:rFonts w:hint="default" w:ascii="Times New Roman" w:hAnsi="Times New Roman" w:eastAsia="宋体" w:cs="Times New Roman"/>
                <w:color w:val="auto"/>
                <w:highlight w:val="none"/>
                <w:lang w:val="en-US" w:eastAsia="zh-CN"/>
              </w:rPr>
              <w:t>检修和清洗。运输车辆清洗处应当设置沉淀池</w:t>
            </w:r>
            <w:r>
              <w:rPr>
                <w:rFonts w:hint="eastAsia" w:ascii="Times New Roman" w:hAnsi="Times New Roman" w:eastAsia="宋体" w:cs="Times New Roman"/>
                <w:color w:val="auto"/>
                <w:highlight w:val="none"/>
                <w:lang w:val="en-US" w:eastAsia="zh-CN"/>
              </w:rPr>
              <w:t>，经三级沉淀后循环使用或用于洒水降尘。</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（4）施工单位对施工场地用水应严格管理，贯彻</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一水多用、重复利用、节约用水</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的原则，尽量减少废水的排放量，减轻废水排放对周围环境的影响。</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r>
              <w:rPr>
                <w:rFonts w:hint="eastAsia" w:cs="Times New Roman"/>
                <w:color w:val="auto"/>
                <w:highlight w:val="none"/>
                <w:lang w:val="en-US" w:eastAsia="zh-CN"/>
              </w:rPr>
              <w:t>施工期地表水环境保护措施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cs="Times New Roman"/>
                <w:color w:val="auto"/>
                <w:highlight w:val="none"/>
                <w:lang w:val="en-US" w:eastAsia="zh-CN"/>
              </w:rPr>
            </w:pPr>
            <w:r>
              <w:rPr>
                <w:rFonts w:hint="eastAsia" w:cs="Times New Roman"/>
                <w:color w:val="auto"/>
                <w:highlight w:val="none"/>
                <w:lang w:val="en-US" w:eastAsia="zh-CN"/>
              </w:rPr>
              <w:t>①防渗存储：施工期施工材料水泥、砂石等易扬尘物料需覆盖防尘网，并设置防渗围挡，防止雨水冲刷导致污染物入河。</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②废水、固废分类处置：</w:t>
            </w:r>
            <w:r>
              <w:rPr>
                <w:rFonts w:hint="default" w:ascii="Times New Roman" w:hAnsi="Times New Roman" w:eastAsia="宋体" w:cs="Times New Roman"/>
                <w:color w:val="auto"/>
                <w:highlight w:val="none"/>
                <w:lang w:val="en-US" w:eastAsia="zh-CN"/>
              </w:rPr>
              <w:t>在施工场地混凝土养护废水产生点应设置临时沉淀池，含泥沙泥浆水经沉淀后回用施工场区洒水抑尘。</w:t>
            </w:r>
            <w:r>
              <w:rPr>
                <w:rFonts w:ascii="PingFang-SC-Regular" w:hAnsi="PingFang-SC-Regular" w:eastAsia="PingFang-SC-Regular" w:cs="PingFang-SC-Regular"/>
                <w:i w:val="0"/>
                <w:iCs w:val="0"/>
                <w:caps w:val="0"/>
                <w:color w:val="0D0D0D"/>
                <w:spacing w:val="0"/>
                <w:sz w:val="24"/>
                <w:szCs w:val="24"/>
                <w:shd w:val="clear" w:fill="FFFFFF"/>
              </w:rPr>
              <w:t>严禁</w:t>
            </w:r>
            <w:r>
              <w:rPr>
                <w:rFonts w:hint="eastAsia" w:ascii="PingFang-SC-Regular" w:hAnsi="PingFang-SC-Regular" w:eastAsia="宋体" w:cs="PingFang-SC-Regular"/>
                <w:i w:val="0"/>
                <w:iCs w:val="0"/>
                <w:caps w:val="0"/>
                <w:color w:val="0D0D0D"/>
                <w:spacing w:val="0"/>
                <w:sz w:val="24"/>
                <w:szCs w:val="24"/>
                <w:shd w:val="clear" w:fill="FFFFFF"/>
                <w:lang w:val="en-US" w:eastAsia="zh-CN"/>
              </w:rPr>
              <w:t>将废水、</w:t>
            </w:r>
            <w:r>
              <w:rPr>
                <w:rFonts w:hint="eastAsia" w:ascii="PingFang-SC-Regular" w:hAnsi="PingFang-SC-Regular" w:eastAsia="PingFang-SC-Regular" w:cs="PingFang-SC-Regular"/>
                <w:i w:val="0"/>
                <w:iCs w:val="0"/>
                <w:caps w:val="0"/>
                <w:color w:val="0D0D0D"/>
                <w:spacing w:val="0"/>
                <w:sz w:val="24"/>
                <w:szCs w:val="24"/>
                <w:shd w:val="clear" w:fill="FFFFFF"/>
                <w:lang w:val="en-US" w:eastAsia="zh-CN"/>
              </w:rPr>
              <w:t>废弃物</w:t>
            </w:r>
            <w:r>
              <w:rPr>
                <w:rFonts w:ascii="PingFang-SC-Regular" w:hAnsi="PingFang-SC-Regular" w:eastAsia="PingFang-SC-Regular" w:cs="PingFang-SC-Regular"/>
                <w:i w:val="0"/>
                <w:iCs w:val="0"/>
                <w:caps w:val="0"/>
                <w:color w:val="0D0D0D"/>
                <w:spacing w:val="0"/>
                <w:sz w:val="24"/>
                <w:szCs w:val="24"/>
                <w:shd w:val="clear" w:fill="FFFFFF"/>
              </w:rPr>
              <w:t>倾倒至</w:t>
            </w:r>
            <w:r>
              <w:rPr>
                <w:rFonts w:hint="eastAsia" w:ascii="PingFang-SC-Regular" w:hAnsi="PingFang-SC-Regular" w:eastAsia="宋体" w:cs="PingFang-SC-Regular"/>
                <w:i w:val="0"/>
                <w:iCs w:val="0"/>
                <w:caps w:val="0"/>
                <w:color w:val="0D0D0D"/>
                <w:spacing w:val="0"/>
                <w:sz w:val="24"/>
                <w:szCs w:val="24"/>
                <w:shd w:val="clear" w:fill="FFFFFF"/>
                <w:lang w:val="en-US" w:eastAsia="zh-CN"/>
              </w:rPr>
              <w:t>开都河</w:t>
            </w:r>
            <w:r>
              <w:rPr>
                <w:rFonts w:ascii="PingFang-SC-Regular" w:hAnsi="PingFang-SC-Regular" w:eastAsia="PingFang-SC-Regular" w:cs="PingFang-SC-Regular"/>
                <w:i w:val="0"/>
                <w:iCs w:val="0"/>
                <w:caps w:val="0"/>
                <w:color w:val="0D0D0D"/>
                <w:spacing w:val="0"/>
                <w:sz w:val="24"/>
                <w:szCs w:val="24"/>
                <w:shd w:val="clear" w:fill="FFFFFF"/>
              </w:rPr>
              <w:t>河道或滩涂。</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eastAsia" w:cs="Times New Roman"/>
                <w:color w:val="auto"/>
                <w:highlight w:val="none"/>
                <w:lang w:val="en-US" w:eastAsia="zh-CN"/>
              </w:rPr>
            </w:pPr>
            <w:r>
              <w:rPr>
                <w:rFonts w:hint="eastAsia" w:ascii="PingFang-SC-Regular" w:hAnsi="PingFang-SC-Regular" w:eastAsia="宋体" w:cs="PingFang-SC-Regular"/>
                <w:i w:val="0"/>
                <w:iCs w:val="0"/>
                <w:caps w:val="0"/>
                <w:color w:val="0D0D0D"/>
                <w:spacing w:val="0"/>
                <w:sz w:val="24"/>
                <w:szCs w:val="24"/>
                <w:shd w:val="clear" w:fill="FFFFFF"/>
                <w:lang w:val="en-US" w:eastAsia="zh-CN"/>
              </w:rPr>
              <w:t>③土方平衡：</w:t>
            </w:r>
            <w:r>
              <w:rPr>
                <w:rFonts w:ascii="PingFang-SC-Regular" w:hAnsi="PingFang-SC-Regular" w:eastAsia="PingFang-SC-Regular" w:cs="PingFang-SC-Regular"/>
                <w:i w:val="0"/>
                <w:iCs w:val="0"/>
                <w:caps w:val="0"/>
                <w:color w:val="0D0D0D"/>
                <w:spacing w:val="0"/>
                <w:sz w:val="24"/>
                <w:szCs w:val="24"/>
                <w:shd w:val="clear" w:fill="FFFFFF"/>
              </w:rPr>
              <w:t>优化土方开挖与回填方案，减少余土外运，避免泥浆水入河。</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cs="Times New Roman"/>
                <w:color w:val="auto"/>
                <w:highlight w:val="none"/>
                <w:lang w:val="en-US" w:eastAsia="zh-CN"/>
              </w:rPr>
            </w:pPr>
            <w:r>
              <w:rPr>
                <w:rFonts w:hint="eastAsia" w:cs="Times New Roman"/>
                <w:color w:val="auto"/>
                <w:highlight w:val="none"/>
                <w:lang w:val="en-US" w:eastAsia="zh-CN"/>
              </w:rPr>
              <w:t>④禁止直排：严禁将未经处理的废水直接排入河道，设置明显警示标识。</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lang w:val="en-US" w:eastAsia="zh-CN"/>
              </w:rPr>
              <w:t>综上所述，只要加强管理，把以上措施落到实处，施工期的废水对周围环境的影响不大，并随着施工期的完成而消除。施工废水对项目所在区</w:t>
            </w:r>
            <w:r>
              <w:rPr>
                <w:rFonts w:hint="eastAsia" w:ascii="Times New Roman" w:hAnsi="Times New Roman" w:eastAsia="宋体" w:cs="Times New Roman"/>
                <w:color w:val="auto"/>
                <w:highlight w:val="none"/>
                <w:lang w:val="en-US" w:eastAsia="zh-CN"/>
              </w:rPr>
              <w:t>域的</w:t>
            </w:r>
            <w:r>
              <w:rPr>
                <w:rFonts w:hint="default" w:ascii="Times New Roman" w:hAnsi="Times New Roman" w:eastAsia="宋体" w:cs="Times New Roman"/>
                <w:color w:val="auto"/>
                <w:highlight w:val="none"/>
                <w:lang w:val="en-US" w:eastAsia="zh-CN"/>
              </w:rPr>
              <w:t>水环境影响很小。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施工期噪声环境影响和保护措施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施工期噪声源主要是施工机械噪声、施工作业噪声、出入施工场地车辆（主要是建筑材料运输车辆）产生的噪声。施工期噪声污染控制措施如下：</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（1）施工现场必须使用低噪音、低振动的机具；定期对动力机械设备进行维修和养护，使其处于最佳工作状态；</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（2）运输材料的车辆进入施工现场，严禁鸣笛，装卸材料应做到轻拿轻放；</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施工期噪声应按《建筑施工场界环境噪声排放标准》（GB12523-2011）进行控制，应合理安排施工时间，尽量避免高噪声设备同时施工，应限制夜间高噪声设备的施工时间，在夜间10点至次日早上8点禁止施工，如确因工程施工需要，需向生态环境主管部门申请夜间施工许可证，批准后方可实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（4）施工作业时间必须严格遵守施工禁令时间规定。</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做好施工人员的环境保护意识的教育，尽量减少人为因素造成施工噪声的加剧。</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采用上述措施后施工阶段对声环境的影响较小。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施工期固废环境影响和保护措施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本项目施工期间主要固废为建筑垃圾和生活垃圾。施工人员</w:t>
            </w:r>
            <w:r>
              <w:rPr>
                <w:rFonts w:hint="default" w:ascii="Times New Roman" w:hAnsi="Times New Roman" w:eastAsia="宋体" w:cs="Times New Roman"/>
                <w:color w:val="auto"/>
                <w:sz w:val="24"/>
                <w:highlight w:val="none"/>
                <w:lang w:val="en-US" w:eastAsia="zh-CN"/>
              </w:rPr>
              <w:t>生活垃圾在场区由垃圾桶收集后由环卫部门定期清运统一处理</w:t>
            </w:r>
            <w:r>
              <w:rPr>
                <w:rFonts w:hint="default" w:ascii="Times New Roman" w:hAnsi="Times New Roman" w:eastAsia="宋体" w:cs="Times New Roman"/>
                <w:color w:val="auto"/>
                <w:highlight w:val="none"/>
                <w:lang w:val="en-US" w:eastAsia="zh-CN"/>
              </w:rPr>
              <w:t>；施工废料主要为砂土、石块、钢结构件、管道材料等，其中钢结构件、管道材料等可外售给废品回收站；沙土、石块等回收利用</w:t>
            </w:r>
            <w:r>
              <w:rPr>
                <w:rFonts w:hint="eastAsia" w:cs="Times New Roman"/>
                <w:color w:val="auto"/>
                <w:highlight w:val="none"/>
                <w:lang w:val="en-US" w:eastAsia="zh-CN"/>
              </w:rPr>
              <w:t>作为</w:t>
            </w:r>
            <w:r>
              <w:rPr>
                <w:rFonts w:hint="default" w:ascii="Times New Roman" w:hAnsi="Times New Roman" w:eastAsia="宋体" w:cs="Times New Roman"/>
                <w:color w:val="auto"/>
                <w:highlight w:val="none"/>
                <w:lang w:val="en-US" w:eastAsia="zh-CN"/>
              </w:rPr>
              <w:t>厂区内道路建设；剩下部分建筑物垃圾经收集后送至附近的垃圾收集点，由环卫部门统一处理。因此，施工期固废对环境影响很小。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施工期生态环境影响和保护措施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color w:val="auto"/>
                <w:highlight w:val="none"/>
                <w:lang w:val="en-US" w:eastAsia="zh-CN"/>
              </w:rPr>
              <w:t>施工位于博湖县本布图镇，用地类型为工业用地。</w:t>
            </w:r>
            <w:r>
              <w:rPr>
                <w:rFonts w:hint="default" w:ascii="Times New Roman" w:hAnsi="Times New Roman" w:eastAsia="宋体" w:cs="Times New Roman"/>
                <w:color w:val="auto"/>
                <w:highlight w:val="none"/>
                <w:lang w:val="en-US" w:eastAsia="zh-CN"/>
              </w:rPr>
              <w:t>项目所在地周围没有国家重点保护的野生动植物，也没有自然保护区等生态环境敏感点。施工期对生态影响主要表现在土方开挖、基础平整等过程，可能会造成少量水土流失、并对土层结构有一定影响。</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施工建设过程中加强对施工场地平整过程中的弃土（渣）的管理，施工时应减少土方开挖、回填量和堆放占用土地，最大限度地减少对土地的扰动；在工程结束后用开挖土方及时进行回填，应尽量做到平衡。施工完成后，对于工程填平低洼处等表面进行土地平整和表土覆盖，并依据植被生态演替的基本规律采取恢复措施，选用当地物种进行恢复。对于临时占用的施工场地和施工临时道路采取植被恢复措施或复垦措施，由建设单位组织复垦或植被恢复。</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工程建设期间虽然对生物量、分布格局及生物多样性造成一定程度的影响，但施工结束后的植被恢复和绿化工程，在一定程度上补偿了生态环境效益。</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在</w:t>
            </w:r>
            <w:r>
              <w:rPr>
                <w:rFonts w:hint="eastAsia" w:cs="Times New Roman"/>
                <w:color w:val="auto"/>
                <w:highlight w:val="none"/>
                <w:lang w:val="en-US" w:eastAsia="zh-CN"/>
              </w:rPr>
              <w:t>施工时，</w:t>
            </w:r>
            <w:r>
              <w:rPr>
                <w:rFonts w:hint="default" w:ascii="Times New Roman" w:hAnsi="Times New Roman" w:eastAsia="宋体" w:cs="Times New Roman"/>
                <w:color w:val="auto"/>
                <w:highlight w:val="none"/>
                <w:lang w:val="en-US" w:eastAsia="zh-CN"/>
              </w:rPr>
              <w:t>施工区域有一定开挖量，开挖面积和开挖量均较小，并且工期较短，随着施工结束，这些不良影响也将逐步消失。综上，施工期对生态环境影响较小。</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防沙治沙措施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eastAsia"/>
                <w:lang w:val="en-US" w:eastAsia="zh-CN"/>
              </w:rPr>
              <w:t>根据《新疆第六次沙化和荒漠化监测报告》，本项目不涉及沙化土地</w:t>
            </w:r>
            <w:r>
              <w:rPr>
                <w:rFonts w:hint="default" w:ascii="Times New Roman" w:hAnsi="Times New Roman" w:eastAsia="宋体" w:cs="Times New Roman"/>
                <w:color w:val="auto"/>
                <w:highlight w:val="none"/>
                <w:lang w:val="en-US" w:eastAsia="zh-CN"/>
              </w:rPr>
              <w:t>，不占用防沙治沙设施。根据《关于加强沙区建设项目环境影响评价工作的通知》</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新环环评发〔2020〕138号</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的要求，本项目虽不在沙区，但也根据以上要求提出相应的防沙治沙措施：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施工严格控制在厂区内；场地平整后，采取砾石压盖；施工土方全部用于场地平整，严禁随意堆置；遇到干燥、易起尘的土方工程作业时，辅以洒水降尘，尽量缩短起尘操作时间，遇到四级及四级以上大风天气，停止土方作业，同时作业处覆以防尘网；严格控制和管理运输车辆的运行线路和范围，充分利用区域现有道路，施工机械和车辆严格按照规定路线行驶，禁止随意开辟道路，以防破坏土壤和植被，加剧土地沙化。</w:t>
            </w: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p>
            <w:pPr>
              <w:pStyle w:val="46"/>
              <w:keepNext w:val="0"/>
              <w:keepLines w:val="0"/>
              <w:pageBreakBefore w:val="0"/>
              <w:widowControl w:val="0"/>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69" w:type="pct"/>
            <w:noWrap/>
            <w:tcMar>
              <w:left w:w="28" w:type="dxa"/>
              <w:right w:w="28" w:type="dxa"/>
            </w:tcMar>
            <w:vAlign w:val="center"/>
          </w:tcPr>
          <w:p>
            <w:pPr>
              <w:adjustRightInd w:val="0"/>
              <w:snapToGrid w:val="0"/>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运营</w:t>
            </w:r>
          </w:p>
          <w:p>
            <w:pPr>
              <w:adjustRightInd w:val="0"/>
              <w:snapToGrid w:val="0"/>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期环</w:t>
            </w:r>
          </w:p>
          <w:p>
            <w:pPr>
              <w:adjustRightInd w:val="0"/>
              <w:snapToGrid w:val="0"/>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境影</w:t>
            </w:r>
          </w:p>
          <w:p>
            <w:pPr>
              <w:adjustRightInd w:val="0"/>
              <w:snapToGrid w:val="0"/>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响和</w:t>
            </w:r>
          </w:p>
          <w:p>
            <w:pPr>
              <w:adjustRightInd w:val="0"/>
              <w:snapToGrid w:val="0"/>
              <w:jc w:val="center"/>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保护</w:t>
            </w:r>
          </w:p>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 w:val="24"/>
                <w:highlight w:val="none"/>
              </w:rPr>
              <w:t>措施</w:t>
            </w:r>
          </w:p>
        </w:tc>
        <w:tc>
          <w:tcPr>
            <w:tcW w:w="4730" w:type="pct"/>
            <w:noWrap/>
            <w:vAlign w:val="center"/>
          </w:tcPr>
          <w:p>
            <w:pPr>
              <w:keepNext w:val="0"/>
              <w:keepLines w:val="0"/>
              <w:pageBreakBefore w:val="0"/>
              <w:widowControl w:val="0"/>
              <w:kinsoku/>
              <w:wordWrap/>
              <w:overflowPunct/>
              <w:topLinePunct w:val="0"/>
              <w:autoSpaceDE/>
              <w:autoSpaceDN/>
              <w:bidi w:val="0"/>
              <w:adjustRightInd w:val="0"/>
              <w:snapToGrid w:val="0"/>
              <w:spacing w:beforeLines="50" w:line="360" w:lineRule="auto"/>
              <w:ind w:left="0" w:right="0" w:firstLine="482" w:firstLineChars="200"/>
              <w:textAlignment w:val="auto"/>
              <w:rPr>
                <w:rFonts w:hint="default" w:ascii="Times New Roman" w:hAnsi="Times New Roman" w:eastAsia="宋体" w:cs="Times New Roman"/>
                <w:b/>
                <w:bCs/>
                <w:color w:val="auto"/>
                <w:kern w:val="0"/>
                <w:sz w:val="24"/>
                <w:highlight w:val="none"/>
                <w:lang w:eastAsia="zh-CN"/>
              </w:rPr>
            </w:pPr>
            <w:r>
              <w:rPr>
                <w:rFonts w:hint="eastAsia"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val="en-US" w:eastAsia="zh-CN"/>
              </w:rPr>
              <w:t>废气</w:t>
            </w:r>
          </w:p>
          <w:p>
            <w:pPr>
              <w:pStyle w:val="44"/>
              <w:bidi w:val="0"/>
              <w:rPr>
                <w:rFonts w:hint="eastAsia" w:cs="Times New Roman"/>
                <w:highlight w:val="none"/>
                <w:lang w:val="en-US" w:eastAsia="zh-CN"/>
              </w:rPr>
            </w:pPr>
            <w:r>
              <w:rPr>
                <w:rFonts w:hint="eastAsia" w:cs="Times New Roman"/>
                <w:highlight w:val="none"/>
                <w:lang w:val="en-US" w:eastAsia="zh-CN"/>
              </w:rPr>
              <w:t>本项目营运期废气主要为①物料输送粉尘；②物料搅拌粉尘；③原料（沙子、石子）装卸、堆场粉尘；④运输扬尘；⑤食堂油烟废气。</w:t>
            </w:r>
          </w:p>
          <w:p>
            <w:pPr>
              <w:pStyle w:val="44"/>
              <w:bidi w:val="0"/>
              <w:rPr>
                <w:rFonts w:hint="default" w:ascii="Times New Roman" w:hAnsi="Times New Roman" w:cs="Times New Roman"/>
                <w:highlight w:val="none"/>
                <w:lang w:val="en-US" w:eastAsia="zh-CN"/>
              </w:rPr>
            </w:pPr>
            <w:r>
              <w:rPr>
                <w:rFonts w:hint="eastAsia" w:cs="Times New Roman"/>
                <w:highlight w:val="none"/>
                <w:lang w:val="en-US" w:eastAsia="zh-CN"/>
              </w:rPr>
              <w:t>建设单位设计时将生产线主要生产工序</w:t>
            </w:r>
            <w:r>
              <w:rPr>
                <w:rFonts w:hint="default" w:ascii="Times New Roman" w:hAnsi="Times New Roman" w:cs="Times New Roman"/>
                <w:highlight w:val="none"/>
                <w:lang w:val="en-US" w:eastAsia="zh-CN"/>
              </w:rPr>
              <w:t>包括</w:t>
            </w:r>
            <w:r>
              <w:rPr>
                <w:rFonts w:hint="eastAsia" w:cs="Times New Roman"/>
                <w:highlight w:val="none"/>
                <w:lang w:val="en-US" w:eastAsia="zh-CN"/>
              </w:rPr>
              <w:t>上料配料</w:t>
            </w:r>
            <w:r>
              <w:rPr>
                <w:rFonts w:hint="default" w:ascii="Times New Roman" w:hAnsi="Times New Roman" w:cs="Times New Roman"/>
                <w:highlight w:val="none"/>
                <w:lang w:val="en-US" w:eastAsia="zh-CN"/>
              </w:rPr>
              <w:t>、物料输送、</w:t>
            </w:r>
            <w:r>
              <w:rPr>
                <w:rFonts w:hint="eastAsia" w:ascii="Times New Roman" w:hAnsi="Times New Roman" w:cs="Times New Roman"/>
                <w:highlight w:val="none"/>
                <w:lang w:val="en-US" w:eastAsia="zh-CN"/>
              </w:rPr>
              <w:t>搅拌</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出料</w:t>
            </w:r>
            <w:r>
              <w:rPr>
                <w:rFonts w:hint="eastAsia" w:cs="Times New Roman"/>
                <w:highlight w:val="none"/>
                <w:lang w:val="en-US" w:eastAsia="zh-CN"/>
              </w:rPr>
              <w:t>等</w:t>
            </w:r>
            <w:r>
              <w:rPr>
                <w:rFonts w:hint="default" w:ascii="Times New Roman" w:hAnsi="Times New Roman" w:cs="Times New Roman"/>
                <w:highlight w:val="none"/>
                <w:lang w:val="en-US" w:eastAsia="zh-CN"/>
              </w:rPr>
              <w:t>全部</w:t>
            </w:r>
            <w:r>
              <w:rPr>
                <w:rFonts w:hint="eastAsia" w:cs="Times New Roman"/>
                <w:highlight w:val="none"/>
                <w:lang w:val="en-US" w:eastAsia="zh-CN"/>
              </w:rPr>
              <w:t>设置</w:t>
            </w:r>
            <w:r>
              <w:rPr>
                <w:rFonts w:hint="default" w:ascii="Times New Roman" w:hAnsi="Times New Roman" w:cs="Times New Roman"/>
                <w:highlight w:val="none"/>
                <w:lang w:val="en-US" w:eastAsia="zh-CN"/>
              </w:rPr>
              <w:t>在封闭的环境</w:t>
            </w:r>
            <w:r>
              <w:rPr>
                <w:rFonts w:hint="eastAsia" w:cs="Times New Roman"/>
                <w:highlight w:val="none"/>
                <w:lang w:val="en-US" w:eastAsia="zh-CN"/>
              </w:rPr>
              <w:t>内</w:t>
            </w:r>
            <w:r>
              <w:rPr>
                <w:rFonts w:hint="default" w:ascii="Times New Roman" w:hAnsi="Times New Roman" w:cs="Times New Roman"/>
                <w:highlight w:val="none"/>
                <w:lang w:val="en-US" w:eastAsia="zh-CN"/>
              </w:rPr>
              <w:t>作业</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1.1污染源强核算</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（1）物料输送粉尘</w:t>
            </w:r>
          </w:p>
          <w:p>
            <w:pPr>
              <w:pStyle w:val="44"/>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本项目</w:t>
            </w:r>
            <w:r>
              <w:rPr>
                <w:rFonts w:hint="eastAsia" w:ascii="Times New Roman" w:hAnsi="Times New Roman" w:eastAsia="宋体" w:cs="Times New Roman"/>
                <w:highlight w:val="none"/>
                <w:lang w:val="en-US" w:eastAsia="zh-CN"/>
              </w:rPr>
              <w:t>为</w:t>
            </w:r>
            <w:r>
              <w:rPr>
                <w:rFonts w:hint="default" w:ascii="Times New Roman" w:hAnsi="Times New Roman" w:eastAsia="宋体" w:cs="Times New Roman"/>
                <w:highlight w:val="none"/>
                <w:lang w:val="en-US" w:eastAsia="zh-CN"/>
              </w:rPr>
              <w:t>砼结构构件生产线，其中物料输送工序均会有粉尘产生</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cs="Times New Roman"/>
                <w:highlight w:val="none"/>
                <w:lang w:val="en-US" w:eastAsia="zh-CN"/>
              </w:rPr>
              <w:t>①水泥输送粉尘</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散装水泥采用密封的专用运输车运至厂内，经密闭管道泵送至</w:t>
            </w:r>
            <w:r>
              <w:rPr>
                <w:rFonts w:hint="eastAsia" w:ascii="Times New Roman" w:hAnsi="Times New Roman" w:cs="Times New Roman"/>
                <w:highlight w:val="none"/>
                <w:lang w:val="en-US" w:eastAsia="zh-CN"/>
              </w:rPr>
              <w:t>水泥</w:t>
            </w:r>
            <w:r>
              <w:rPr>
                <w:rFonts w:hint="default" w:ascii="Times New Roman" w:hAnsi="Times New Roman" w:cs="Times New Roman"/>
                <w:highlight w:val="none"/>
                <w:lang w:val="en-US" w:eastAsia="zh-CN"/>
              </w:rPr>
              <w:t>筒仓内。本项目有2个负压式</w:t>
            </w:r>
            <w:r>
              <w:rPr>
                <w:rFonts w:hint="eastAsia" w:ascii="Times New Roman" w:hAnsi="Times New Roman" w:cs="Times New Roman"/>
                <w:highlight w:val="none"/>
                <w:lang w:val="en-US" w:eastAsia="zh-CN"/>
              </w:rPr>
              <w:t>水泥</w:t>
            </w:r>
            <w:r>
              <w:rPr>
                <w:rFonts w:hint="default" w:ascii="Times New Roman" w:hAnsi="Times New Roman" w:cs="Times New Roman"/>
                <w:highlight w:val="none"/>
                <w:lang w:val="en-US" w:eastAsia="zh-CN"/>
              </w:rPr>
              <w:t>筒仓</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水泥粉料采用全封闭式进仓方式</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通过</w:t>
            </w:r>
            <w:r>
              <w:rPr>
                <w:rFonts w:hint="default" w:ascii="Times New Roman" w:hAnsi="Times New Roman" w:eastAsia="宋体" w:cs="Times New Roman"/>
                <w:color w:val="auto"/>
                <w:sz w:val="24"/>
                <w:szCs w:val="24"/>
                <w:highlight w:val="none"/>
              </w:rPr>
              <w:t>车载</w:t>
            </w:r>
            <w:r>
              <w:rPr>
                <w:rFonts w:hint="default" w:ascii="Times New Roman" w:hAnsi="Times New Roman" w:cs="Times New Roman"/>
                <w:highlight w:val="none"/>
                <w:lang w:val="en-US" w:eastAsia="zh-CN"/>
              </w:rPr>
              <w:t>气泵将粉料沿管道抽到水泥仓筒时，受气流冲击，仓筒内粉料将从仓筒顶排气孔排出</w:t>
            </w:r>
            <w:r>
              <w:rPr>
                <w:rFonts w:hint="eastAsia"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rPr>
              <w:t>在物料自筒仓底出料时，由于落差物料在筒仓内跌落时产生排空物料粉尘</w:t>
            </w:r>
            <w:r>
              <w:rPr>
                <w:rFonts w:hint="default" w:ascii="Times New Roman" w:hAnsi="Times New Roman" w:cs="Times New Roman"/>
                <w:highlight w:val="none"/>
                <w:lang w:val="en-US" w:eastAsia="zh-CN"/>
              </w:rPr>
              <w:t>。</w:t>
            </w:r>
            <w:r>
              <w:rPr>
                <w:rFonts w:hint="default" w:ascii="Times New Roman" w:hAnsi="Times New Roman" w:cs="Times New Roman"/>
                <w:color w:val="auto"/>
                <w:sz w:val="24"/>
                <w:szCs w:val="24"/>
                <w:highlight w:val="none"/>
                <w:lang w:val="en-US" w:eastAsia="zh-CN"/>
              </w:rPr>
              <w:t>每个</w:t>
            </w:r>
            <w:r>
              <w:rPr>
                <w:rFonts w:hint="default" w:ascii="Times New Roman" w:hAnsi="Times New Roman" w:cs="Times New Roman"/>
                <w:highlight w:val="none"/>
                <w:lang w:val="en-US" w:eastAsia="zh-CN"/>
              </w:rPr>
              <w:t>水泥仓筒顶部</w:t>
            </w:r>
            <w:r>
              <w:rPr>
                <w:rFonts w:hint="eastAsia" w:ascii="Times New Roman" w:hAnsi="Times New Roman" w:cs="Times New Roman"/>
                <w:highlight w:val="none"/>
                <w:lang w:val="en-US" w:eastAsia="zh-CN"/>
              </w:rPr>
              <w:t>均</w:t>
            </w:r>
            <w:r>
              <w:rPr>
                <w:rFonts w:hint="default" w:ascii="Times New Roman" w:hAnsi="Times New Roman" w:cs="Times New Roman"/>
                <w:highlight w:val="none"/>
                <w:lang w:val="en-US" w:eastAsia="zh-CN"/>
              </w:rPr>
              <w:t>自带</w:t>
            </w:r>
            <w:r>
              <w:rPr>
                <w:rFonts w:hint="eastAsia" w:cs="Times New Roman"/>
                <w:highlight w:val="none"/>
                <w:lang w:val="en-US" w:eastAsia="zh-CN"/>
              </w:rPr>
              <w:t>脉冲式</w:t>
            </w:r>
            <w:r>
              <w:rPr>
                <w:rFonts w:hint="default" w:ascii="Times New Roman" w:hAnsi="Times New Roman" w:cs="Times New Roman"/>
                <w:highlight w:val="none"/>
                <w:lang w:val="en-US" w:eastAsia="zh-CN"/>
              </w:rPr>
              <w:t>除尘器，粉尘经</w:t>
            </w:r>
            <w:r>
              <w:rPr>
                <w:rFonts w:hint="eastAsia" w:cs="Times New Roman"/>
                <w:highlight w:val="none"/>
                <w:lang w:val="en-US" w:eastAsia="zh-CN"/>
              </w:rPr>
              <w:t>脉冲式除尘器（处理效率99%）</w:t>
            </w:r>
            <w:r>
              <w:rPr>
                <w:rFonts w:hint="default" w:ascii="Times New Roman" w:hAnsi="Times New Roman" w:cs="Times New Roman"/>
                <w:highlight w:val="none"/>
                <w:lang w:val="en-US" w:eastAsia="zh-CN"/>
              </w:rPr>
              <w:t>除尘处理后由顶端</w:t>
            </w:r>
            <w:r>
              <w:rPr>
                <w:rFonts w:hint="eastAsia" w:cs="Times New Roman"/>
                <w:highlight w:val="none"/>
                <w:lang w:val="en-US" w:eastAsia="zh-CN"/>
              </w:rPr>
              <w:t>排放</w:t>
            </w:r>
            <w:r>
              <w:rPr>
                <w:rFonts w:hint="default" w:ascii="Times New Roman" w:hAnsi="Times New Roman" w:cs="Times New Roman"/>
                <w:highlight w:val="none"/>
                <w:lang w:val="en-US" w:eastAsia="zh-CN"/>
              </w:rPr>
              <w:t>口</w:t>
            </w:r>
            <w:r>
              <w:rPr>
                <w:rFonts w:hint="eastAsia" w:cs="Times New Roman"/>
                <w:highlight w:val="none"/>
                <w:lang w:val="en-US" w:eastAsia="zh-CN"/>
              </w:rPr>
              <w:t>有组织</w:t>
            </w:r>
            <w:r>
              <w:rPr>
                <w:rFonts w:hint="default" w:ascii="Times New Roman" w:hAnsi="Times New Roman" w:cs="Times New Roman"/>
                <w:highlight w:val="none"/>
                <w:lang w:val="en-US" w:eastAsia="zh-CN"/>
              </w:rPr>
              <w:t>排放</w:t>
            </w:r>
            <w:r>
              <w:rPr>
                <w:rFonts w:hint="eastAsia" w:cs="Times New Roman"/>
                <w:highlight w:val="none"/>
                <w:lang w:val="en-US" w:eastAsia="zh-CN"/>
              </w:rPr>
              <w:t>（</w:t>
            </w:r>
            <w:r>
              <w:rPr>
                <w:rFonts w:hint="default" w:ascii="Times New Roman" w:hAnsi="Times New Roman" w:cs="Times New Roman"/>
                <w:highlight w:val="none"/>
                <w:lang w:val="en-US" w:eastAsia="zh-CN"/>
              </w:rPr>
              <w:t>DA001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DA00</w:t>
            </w:r>
            <w:r>
              <w:rPr>
                <w:rFonts w:hint="eastAsia" w:ascii="Times New Roman" w:hAnsi="Times New Roman" w:cs="Times New Roman"/>
                <w:highlight w:val="none"/>
                <w:lang w:val="en-US" w:eastAsia="zh-CN"/>
              </w:rPr>
              <w:t>2</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除尘器收集的粉尘回落到筒仓内</w:t>
            </w:r>
            <w:r>
              <w:rPr>
                <w:rFonts w:hint="default" w:ascii="Times New Roman" w:hAnsi="Times New Roman" w:cs="Times New Roman"/>
                <w:highlight w:val="none"/>
                <w:lang w:val="en-US" w:eastAsia="zh-CN"/>
              </w:rPr>
              <w:t>。水泥仓筒至搅拌机为全封闭管道输送。</w:t>
            </w:r>
            <w:r>
              <w:rPr>
                <w:rFonts w:hint="eastAsia" w:cs="Times New Roman"/>
                <w:highlight w:val="none"/>
                <w:lang w:val="en-US" w:eastAsia="zh-CN"/>
              </w:rPr>
              <w:t>脉冲除尘器</w:t>
            </w:r>
            <w:r>
              <w:rPr>
                <w:rFonts w:hint="default" w:ascii="Times New Roman" w:hAnsi="Times New Roman" w:cs="Times New Roman"/>
                <w:highlight w:val="none"/>
                <w:lang w:val="en-US" w:eastAsia="zh-CN"/>
              </w:rPr>
              <w:t>收集粉尘回用于生产。</w:t>
            </w:r>
          </w:p>
          <w:p>
            <w:pPr>
              <w:pStyle w:val="44"/>
              <w:bidi w:val="0"/>
              <w:rPr>
                <w:rFonts w:hint="default" w:ascii="Times New Roman" w:hAnsi="Times New Roman" w:cs="Times New Roman"/>
                <w:highlight w:val="none"/>
                <w:lang w:val="en-US" w:eastAsia="zh-CN"/>
              </w:rPr>
            </w:pPr>
            <w:r>
              <w:rPr>
                <w:rFonts w:hint="eastAsia" w:cs="Times New Roman"/>
                <w:highlight w:val="none"/>
                <w:lang w:val="en-US" w:eastAsia="zh-CN"/>
              </w:rPr>
              <w:t>②砂子、石子物料输送粉尘</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w:t>
            </w:r>
            <w:r>
              <w:rPr>
                <w:rFonts w:hint="eastAsia" w:cs="Times New Roman"/>
                <w:highlight w:val="none"/>
                <w:lang w:val="en-US" w:eastAsia="zh-CN"/>
              </w:rPr>
              <w:t>项目砂子、石子物料</w:t>
            </w:r>
            <w:r>
              <w:rPr>
                <w:rFonts w:hint="default" w:ascii="Times New Roman" w:hAnsi="Times New Roman" w:cs="Times New Roman"/>
                <w:highlight w:val="none"/>
                <w:lang w:val="en-US" w:eastAsia="zh-CN"/>
              </w:rPr>
              <w:t>输送</w:t>
            </w:r>
            <w:r>
              <w:rPr>
                <w:rFonts w:hint="eastAsia" w:cs="Times New Roman"/>
                <w:highlight w:val="none"/>
                <w:lang w:val="en-US" w:eastAsia="zh-CN"/>
              </w:rPr>
              <w:t>生产工序</w:t>
            </w:r>
            <w:r>
              <w:rPr>
                <w:rFonts w:hint="default" w:ascii="Times New Roman" w:hAnsi="Times New Roman" w:cs="Times New Roman"/>
                <w:highlight w:val="none"/>
                <w:lang w:val="en-US" w:eastAsia="zh-CN"/>
              </w:rPr>
              <w:t>设在全封闭</w:t>
            </w:r>
            <w:r>
              <w:rPr>
                <w:rFonts w:hint="eastAsia" w:ascii="Times New Roman" w:hAnsi="Times New Roman" w:cs="Times New Roman"/>
                <w:highlight w:val="none"/>
                <w:lang w:val="en-US" w:eastAsia="zh-CN"/>
              </w:rPr>
              <w:t>生产车间</w:t>
            </w:r>
            <w:r>
              <w:rPr>
                <w:rFonts w:hint="default" w:ascii="Times New Roman" w:hAnsi="Times New Roman" w:cs="Times New Roman"/>
                <w:highlight w:val="none"/>
                <w:lang w:val="en-US" w:eastAsia="zh-CN"/>
              </w:rPr>
              <w:t>内，投料料斗设备上方设置软帘包裹</w:t>
            </w:r>
            <w:r>
              <w:rPr>
                <w:rFonts w:hint="eastAsia" w:cs="Times New Roman"/>
                <w:highlight w:val="none"/>
                <w:lang w:val="en-US" w:eastAsia="zh-CN"/>
              </w:rPr>
              <w:t>，并设</w:t>
            </w:r>
            <w:r>
              <w:rPr>
                <w:rFonts w:hint="default" w:ascii="Times New Roman" w:hAnsi="Times New Roman" w:cs="Times New Roman"/>
                <w:highlight w:val="none"/>
                <w:lang w:val="en-US" w:eastAsia="zh-CN"/>
              </w:rPr>
              <w:t>集气罩</w:t>
            </w:r>
            <w:r>
              <w:rPr>
                <w:rFonts w:hint="eastAsia" w:cs="Times New Roman"/>
                <w:highlight w:val="none"/>
                <w:lang w:val="en-US" w:eastAsia="zh-CN"/>
              </w:rPr>
              <w:t>收集输送粉尘废气，粉尘经</w:t>
            </w:r>
            <w:r>
              <w:rPr>
                <w:rFonts w:hint="default" w:ascii="Times New Roman" w:hAnsi="Times New Roman" w:cs="Times New Roman"/>
                <w:highlight w:val="none"/>
                <w:lang w:val="en-US" w:eastAsia="zh-CN"/>
              </w:rPr>
              <w:t>收集后</w:t>
            </w:r>
            <w:r>
              <w:rPr>
                <w:rFonts w:hint="eastAsia" w:cs="Times New Roman"/>
                <w:highlight w:val="none"/>
                <w:lang w:val="en-US" w:eastAsia="zh-CN"/>
              </w:rPr>
              <w:t>由</w:t>
            </w:r>
            <w:r>
              <w:rPr>
                <w:rFonts w:hint="default" w:ascii="Times New Roman" w:hAnsi="Times New Roman" w:cs="Times New Roman"/>
                <w:highlight w:val="none"/>
                <w:lang w:val="en-US" w:eastAsia="zh-CN"/>
              </w:rPr>
              <w:t>布袋除尘器</w:t>
            </w:r>
            <w:r>
              <w:rPr>
                <w:rFonts w:hint="eastAsia" w:cs="Times New Roman"/>
                <w:highlight w:val="none"/>
                <w:lang w:val="en-US" w:eastAsia="zh-CN"/>
              </w:rPr>
              <w:t>（</w:t>
            </w:r>
            <w:r>
              <w:rPr>
                <w:rFonts w:hint="default" w:ascii="Times New Roman" w:hAnsi="Times New Roman" w:cs="Times New Roman"/>
                <w:highlight w:val="none"/>
                <w:lang w:val="en-US" w:eastAsia="zh-CN"/>
              </w:rPr>
              <w:t>除尘效率为9</w:t>
            </w:r>
            <w:r>
              <w:rPr>
                <w:rFonts w:hint="eastAsia" w:cs="Times New Roman"/>
                <w:highlight w:val="none"/>
                <w:lang w:val="en-US" w:eastAsia="zh-CN"/>
              </w:rPr>
              <w:t>9</w:t>
            </w:r>
            <w:r>
              <w:rPr>
                <w:rFonts w:hint="default" w:ascii="Times New Roman" w:hAnsi="Times New Roman" w:cs="Times New Roman"/>
                <w:highlight w:val="none"/>
                <w:lang w:val="en-US" w:eastAsia="zh-CN"/>
              </w:rPr>
              <w:t>%</w:t>
            </w:r>
            <w:r>
              <w:rPr>
                <w:rFonts w:hint="eastAsia" w:cs="Times New Roman"/>
                <w:highlight w:val="none"/>
                <w:lang w:val="en-US" w:eastAsia="zh-CN"/>
              </w:rPr>
              <w:t>）除尘</w:t>
            </w:r>
            <w:r>
              <w:rPr>
                <w:rFonts w:hint="default" w:ascii="Times New Roman" w:hAnsi="Times New Roman" w:cs="Times New Roman"/>
                <w:highlight w:val="none"/>
                <w:lang w:val="en-US" w:eastAsia="zh-CN"/>
              </w:rPr>
              <w:t>处理</w:t>
            </w:r>
            <w:r>
              <w:rPr>
                <w:rFonts w:hint="eastAsia" w:cs="Times New Roman"/>
                <w:highlight w:val="none"/>
                <w:lang w:val="en-US" w:eastAsia="zh-CN"/>
              </w:rPr>
              <w:t>，</w:t>
            </w:r>
            <w:r>
              <w:rPr>
                <w:rFonts w:hint="default" w:ascii="Times New Roman" w:hAnsi="Times New Roman" w:cs="Times New Roman"/>
                <w:highlight w:val="none"/>
                <w:lang w:val="en-US" w:eastAsia="zh-CN"/>
              </w:rPr>
              <w:t>15m高排气筒排放</w:t>
            </w:r>
            <w:r>
              <w:rPr>
                <w:rFonts w:hint="eastAsia" w:cs="Times New Roman"/>
                <w:highlight w:val="none"/>
                <w:lang w:val="en-US" w:eastAsia="zh-CN"/>
              </w:rPr>
              <w:t>（DA003）</w:t>
            </w:r>
            <w:r>
              <w:rPr>
                <w:rFonts w:hint="default" w:ascii="Times New Roman" w:hAnsi="Times New Roman" w:cs="Times New Roman"/>
                <w:highlight w:val="none"/>
                <w:lang w:val="en-US" w:eastAsia="zh-CN"/>
              </w:rPr>
              <w:t>，</w:t>
            </w:r>
            <w:r>
              <w:rPr>
                <w:rFonts w:hint="eastAsia" w:cs="Times New Roman"/>
                <w:highlight w:val="none"/>
                <w:lang w:val="en-US" w:eastAsia="zh-CN"/>
              </w:rPr>
              <w:t>布袋除尘器截留粉尘</w:t>
            </w:r>
            <w:r>
              <w:rPr>
                <w:rFonts w:hint="default" w:ascii="Times New Roman" w:hAnsi="Times New Roman" w:cs="Times New Roman"/>
                <w:highlight w:val="none"/>
                <w:lang w:val="en-US" w:eastAsia="zh-CN"/>
              </w:rPr>
              <w:t>收集后回用生产工序。</w:t>
            </w:r>
          </w:p>
          <w:p>
            <w:pPr>
              <w:pStyle w:val="44"/>
              <w:bidi w:val="0"/>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③输送粉尘源强核算</w:t>
            </w:r>
          </w:p>
          <w:p>
            <w:pPr>
              <w:pStyle w:val="44"/>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根据《排放源统计调查产排污核算方法和系数手册》生态环境部公告 2021年第24号中“3021 水泥制品制造（含3022 砼结构构件制造、3029 其他水泥类似制品 制造）行业系数手册”中“3021 水泥制品制造（含3022 砼结构构件、3029 其他水泥类似制品制造）行业系数表”，</w:t>
            </w:r>
            <w:r>
              <w:rPr>
                <w:rFonts w:hint="eastAsia" w:ascii="Times New Roman" w:hAnsi="Times New Roman" w:cs="Times New Roman"/>
                <w:highlight w:val="none"/>
                <w:lang w:val="en-US" w:eastAsia="zh-CN"/>
              </w:rPr>
              <w:t>输送粉尘</w:t>
            </w:r>
            <w:r>
              <w:rPr>
                <w:rFonts w:hint="default" w:ascii="Times New Roman" w:hAnsi="Times New Roman" w:eastAsia="宋体" w:cs="Times New Roman"/>
                <w:highlight w:val="none"/>
                <w:lang w:val="en-US" w:eastAsia="zh-CN"/>
              </w:rPr>
              <w:t>污染物产</w:t>
            </w:r>
            <w:r>
              <w:rPr>
                <w:rFonts w:hint="default" w:ascii="Times New Roman" w:hAnsi="Times New Roman" w:cs="Times New Roman"/>
                <w:highlight w:val="none"/>
                <w:lang w:val="en-US" w:eastAsia="zh-CN"/>
              </w:rPr>
              <w:t>排污系数详见表4-</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w:t>
            </w:r>
          </w:p>
          <w:p>
            <w:pPr>
              <w:pStyle w:val="44"/>
              <w:bidi w:val="0"/>
              <w:ind w:left="0" w:leftChars="0" w:firstLine="0" w:firstLineChars="0"/>
              <w:rPr>
                <w:b/>
                <w:bCs/>
                <w:spacing w:val="6"/>
                <w:sz w:val="20"/>
                <w:szCs w:val="20"/>
              </w:rPr>
            </w:pPr>
          </w:p>
          <w:p>
            <w:pPr>
              <w:pStyle w:val="44"/>
              <w:bidi w:val="0"/>
              <w:ind w:left="0" w:leftChars="0" w:firstLine="0" w:firstLineChars="0"/>
              <w:rPr>
                <w:rFonts w:hint="default" w:ascii="Times New Roman" w:hAnsi="Times New Roman" w:cs="Times New Roman"/>
                <w:highlight w:val="none"/>
                <w:lang w:val="en-US" w:eastAsia="zh-CN"/>
              </w:rPr>
            </w:pPr>
            <w:r>
              <w:rPr>
                <w:b/>
                <w:bCs/>
                <w:spacing w:val="6"/>
                <w:sz w:val="20"/>
                <w:szCs w:val="20"/>
              </w:rPr>
              <w:t>表</w:t>
            </w:r>
            <w:r>
              <w:rPr>
                <w:rFonts w:ascii="Times New Roman" w:hAnsi="Times New Roman" w:eastAsia="Times New Roman" w:cs="Times New Roman"/>
                <w:b/>
                <w:bCs/>
                <w:spacing w:val="6"/>
                <w:sz w:val="20"/>
                <w:szCs w:val="20"/>
              </w:rPr>
              <w:t>4-</w:t>
            </w:r>
            <w:r>
              <w:rPr>
                <w:rFonts w:hint="eastAsia" w:eastAsia="宋体" w:cs="Times New Roman"/>
                <w:b/>
                <w:bCs/>
                <w:spacing w:val="6"/>
                <w:sz w:val="20"/>
                <w:szCs w:val="20"/>
                <w:lang w:val="en-US" w:eastAsia="zh-CN"/>
              </w:rPr>
              <w:t>1</w:t>
            </w:r>
            <w:r>
              <w:rPr>
                <w:b/>
                <w:bCs/>
                <w:spacing w:val="6"/>
                <w:sz w:val="20"/>
                <w:szCs w:val="20"/>
              </w:rPr>
              <w:t>水泥制品制造（含</w:t>
            </w:r>
            <w:r>
              <w:rPr>
                <w:spacing w:val="-42"/>
                <w:sz w:val="20"/>
                <w:szCs w:val="20"/>
              </w:rPr>
              <w:t xml:space="preserve"> </w:t>
            </w:r>
            <w:r>
              <w:rPr>
                <w:rFonts w:ascii="Times New Roman" w:hAnsi="Times New Roman" w:eastAsia="Times New Roman" w:cs="Times New Roman"/>
                <w:b/>
                <w:bCs/>
                <w:spacing w:val="6"/>
                <w:sz w:val="20"/>
                <w:szCs w:val="20"/>
              </w:rPr>
              <w:t>3022</w:t>
            </w:r>
            <w:r>
              <w:rPr>
                <w:b/>
                <w:bCs/>
                <w:spacing w:val="6"/>
                <w:sz w:val="20"/>
                <w:szCs w:val="20"/>
              </w:rPr>
              <w:t>砼结构构件、</w:t>
            </w:r>
            <w:r>
              <w:rPr>
                <w:rFonts w:ascii="Times New Roman" w:hAnsi="Times New Roman" w:eastAsia="Times New Roman" w:cs="Times New Roman"/>
                <w:b/>
                <w:bCs/>
                <w:spacing w:val="6"/>
                <w:sz w:val="20"/>
                <w:szCs w:val="20"/>
              </w:rPr>
              <w:t>3029</w:t>
            </w:r>
            <w:r>
              <w:rPr>
                <w:b/>
                <w:bCs/>
                <w:spacing w:val="5"/>
                <w:sz w:val="20"/>
                <w:szCs w:val="20"/>
              </w:rPr>
              <w:t>其他水泥类似制品制造）行业系数表</w:t>
            </w:r>
          </w:p>
          <w:tbl>
            <w:tblPr>
              <w:tblStyle w:val="48"/>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238"/>
              <w:gridCol w:w="961"/>
              <w:gridCol w:w="949"/>
              <w:gridCol w:w="949"/>
              <w:gridCol w:w="949"/>
              <w:gridCol w:w="949"/>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488" w:type="pct"/>
                  <w:tcBorders>
                    <w:top w:val="single" w:color="000000" w:sz="10" w:space="0"/>
                    <w:lef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工段</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名称</w:t>
                  </w:r>
                </w:p>
              </w:tc>
              <w:tc>
                <w:tcPr>
                  <w:tcW w:w="789"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产品名称</w:t>
                  </w:r>
                </w:p>
              </w:tc>
              <w:tc>
                <w:tcPr>
                  <w:tcW w:w="613"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原料名</w:t>
                  </w:r>
                  <w:r>
                    <w:rPr>
                      <w:spacing w:val="1"/>
                      <w:sz w:val="21"/>
                      <w:szCs w:val="21"/>
                    </w:rPr>
                    <w:t>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工艺名</w:t>
                  </w:r>
                  <w:r>
                    <w:rPr>
                      <w:spacing w:val="1"/>
                      <w:sz w:val="21"/>
                      <w:szCs w:val="21"/>
                    </w:rPr>
                    <w:t>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规模等</w:t>
                  </w:r>
                  <w:r>
                    <w:rPr>
                      <w:sz w:val="21"/>
                      <w:szCs w:val="21"/>
                    </w:rPr>
                    <w:t>级</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污染物</w:t>
                  </w:r>
                  <w:r>
                    <w:rPr>
                      <w:spacing w:val="3"/>
                      <w:sz w:val="21"/>
                      <w:szCs w:val="21"/>
                    </w:rPr>
                    <w:t>指数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单位</w:t>
                  </w:r>
                </w:p>
              </w:tc>
              <w:tc>
                <w:tcPr>
                  <w:tcW w:w="684" w:type="pct"/>
                  <w:tcBorders>
                    <w:top w:val="single" w:color="000000" w:sz="10"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产污系</w:t>
                  </w:r>
                  <w:r>
                    <w:rPr>
                      <w:sz w:val="21"/>
                      <w:szCs w:val="21"/>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488" w:type="pct"/>
                  <w:tcBorders>
                    <w:left w:val="single" w:color="000000" w:sz="6" w:space="0"/>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物料</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输送</w:t>
                  </w:r>
                </w:p>
              </w:tc>
              <w:tc>
                <w:tcPr>
                  <w:tcW w:w="789"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各种水泥制</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品</w:t>
                  </w:r>
                </w:p>
              </w:tc>
              <w:tc>
                <w:tcPr>
                  <w:tcW w:w="613"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水泥、砂</w:t>
                  </w:r>
                  <w:r>
                    <w:rPr>
                      <w:spacing w:val="31"/>
                      <w:sz w:val="21"/>
                      <w:szCs w:val="21"/>
                    </w:rPr>
                    <w:t>子、石</w:t>
                  </w:r>
                  <w:r>
                    <w:rPr>
                      <w:spacing w:val="-9"/>
                      <w:sz w:val="21"/>
                      <w:szCs w:val="21"/>
                    </w:rPr>
                    <w:t>子、钢筋</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物料输</w:t>
                  </w:r>
                  <w:r>
                    <w:rPr>
                      <w:spacing w:val="7"/>
                      <w:sz w:val="21"/>
                      <w:szCs w:val="21"/>
                    </w:rPr>
                    <w:t>送储存</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所有规</w:t>
                  </w:r>
                  <w:r>
                    <w:rPr>
                      <w:spacing w:val="1"/>
                      <w:sz w:val="21"/>
                      <w:szCs w:val="21"/>
                    </w:rPr>
                    <w:t>模</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废气颗</w:t>
                  </w:r>
                  <w:r>
                    <w:rPr>
                      <w:spacing w:val="4"/>
                      <w:sz w:val="21"/>
                      <w:szCs w:val="21"/>
                    </w:rPr>
                    <w:t>粒物</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千克</w:t>
                  </w:r>
                  <w:r>
                    <w:rPr>
                      <w:rFonts w:ascii="Times New Roman" w:hAnsi="Times New Roman" w:eastAsia="Times New Roman" w:cs="Times New Roman"/>
                      <w:spacing w:val="5"/>
                      <w:sz w:val="21"/>
                      <w:szCs w:val="21"/>
                    </w:rPr>
                    <w:t>/</w:t>
                  </w:r>
                  <w:r>
                    <w:rPr>
                      <w:spacing w:val="5"/>
                      <w:sz w:val="21"/>
                      <w:szCs w:val="21"/>
                    </w:rPr>
                    <w:t>吨</w:t>
                  </w:r>
                  <w:r>
                    <w:rPr>
                      <w:rFonts w:hint="eastAsia"/>
                      <w:spacing w:val="5"/>
                      <w:sz w:val="21"/>
                      <w:szCs w:val="21"/>
                      <w:lang w:eastAsia="zh-CN"/>
                    </w:rPr>
                    <w:t>－</w:t>
                  </w:r>
                  <w:r>
                    <w:rPr>
                      <w:rFonts w:ascii="Times New Roman" w:hAnsi="Times New Roman" w:eastAsia="Times New Roman" w:cs="Times New Roman"/>
                      <w:spacing w:val="2"/>
                      <w:sz w:val="21"/>
                      <w:szCs w:val="21"/>
                    </w:rPr>
                    <w:t xml:space="preserve"> </w:t>
                  </w:r>
                  <w:r>
                    <w:rPr>
                      <w:spacing w:val="4"/>
                      <w:sz w:val="21"/>
                      <w:szCs w:val="21"/>
                    </w:rPr>
                    <w:t>产品</w:t>
                  </w:r>
                </w:p>
              </w:tc>
              <w:tc>
                <w:tcPr>
                  <w:tcW w:w="684" w:type="pct"/>
                  <w:tcBorders>
                    <w:bottom w:val="single" w:color="000000" w:sz="10"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0.19</w:t>
                  </w:r>
                </w:p>
              </w:tc>
            </w:tr>
          </w:tbl>
          <w:p>
            <w:pPr>
              <w:pStyle w:val="44"/>
              <w:bidi w:val="0"/>
              <w:ind w:left="0" w:leftChars="0" w:firstLine="0" w:firstLineChars="0"/>
              <w:rPr>
                <w:rFonts w:hint="default" w:ascii="Times New Roman" w:hAnsi="Times New Roman" w:cs="Times New Roman"/>
                <w:highlight w:val="none"/>
                <w:lang w:val="en-US" w:eastAsia="zh-CN"/>
              </w:rPr>
            </w:pP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本项目砼结构构件生产线中原辅材料</w:t>
            </w:r>
            <w:r>
              <w:rPr>
                <w:rFonts w:hint="eastAsia" w:cs="Times New Roman"/>
                <w:highlight w:val="none"/>
                <w:lang w:val="en-US" w:eastAsia="zh-CN"/>
              </w:rPr>
              <w:t>水泥、</w:t>
            </w:r>
            <w:r>
              <w:rPr>
                <w:rFonts w:hint="default" w:ascii="Times New Roman" w:hAnsi="Times New Roman" w:cs="Times New Roman"/>
                <w:highlight w:val="none"/>
                <w:lang w:val="en-US" w:eastAsia="zh-CN"/>
              </w:rPr>
              <w:t>砂子、石子，从原材料仓输送至生产线过程中有粉尘产生，砼结构构件生产线产量为</w:t>
            </w:r>
            <w:r>
              <w:rPr>
                <w:rFonts w:hint="eastAsia" w:ascii="Times New Roman" w:hAnsi="Times New Roman" w:cs="Times New Roman"/>
                <w:highlight w:val="none"/>
                <w:lang w:val="en-US" w:eastAsia="zh-CN"/>
              </w:rPr>
              <w:t>24</w:t>
            </w:r>
            <w:r>
              <w:rPr>
                <w:rFonts w:hint="default" w:ascii="Times New Roman" w:hAnsi="Times New Roman" w:cs="Times New Roman"/>
                <w:highlight w:val="none"/>
                <w:lang w:val="en-US" w:eastAsia="zh-CN"/>
              </w:rPr>
              <w:t>00t/a，产污系数为0.19kg/t-产品，则输送过程中粉尘产生量为</w:t>
            </w:r>
            <w:r>
              <w:rPr>
                <w:rFonts w:hint="eastAsia" w:ascii="Times New Roman" w:hAnsi="Times New Roman" w:cs="Times New Roman"/>
                <w:highlight w:val="none"/>
                <w:lang w:val="en-US" w:eastAsia="zh-CN"/>
              </w:rPr>
              <w:t>0.456</w:t>
            </w:r>
            <w:r>
              <w:rPr>
                <w:rFonts w:hint="default" w:ascii="Times New Roman" w:hAnsi="Times New Roman" w:cs="Times New Roman"/>
                <w:highlight w:val="none"/>
                <w:lang w:val="en-US" w:eastAsia="zh-CN"/>
              </w:rPr>
              <w:t>t/a，产生速率为</w:t>
            </w:r>
            <w:r>
              <w:rPr>
                <w:rFonts w:hint="eastAsia" w:ascii="Times New Roman" w:hAnsi="Times New Roman" w:cs="Times New Roman"/>
                <w:highlight w:val="none"/>
                <w:lang w:val="en-US" w:eastAsia="zh-CN"/>
              </w:rPr>
              <w:t>0.271</w:t>
            </w:r>
            <w:r>
              <w:rPr>
                <w:rFonts w:hint="default" w:ascii="Times New Roman" w:hAnsi="Times New Roman" w:cs="Times New Roman"/>
                <w:highlight w:val="none"/>
                <w:lang w:val="en-US" w:eastAsia="zh-CN"/>
              </w:rPr>
              <w:t>kg/h。</w:t>
            </w:r>
          </w:p>
          <w:p>
            <w:pPr>
              <w:pStyle w:val="44"/>
              <w:bidi w:val="0"/>
              <w:rPr>
                <w:rFonts w:hint="default" w:ascii="Times New Roman" w:hAnsi="Times New Roman" w:cs="Times New Roman"/>
                <w:highlight w:val="none"/>
                <w:lang w:val="en-US" w:eastAsia="zh-CN"/>
              </w:rPr>
            </w:pPr>
            <w:r>
              <w:rPr>
                <w:rFonts w:hint="eastAsia"/>
                <w:highlight w:val="none"/>
                <w:lang w:val="en-US" w:eastAsia="zh-CN"/>
              </w:rPr>
              <w:t>参照环境保护部2014年12月5日发布的《水泥工业污染防治可行技术指南（试行）》（公告2014年第81号）“3.2.1.1 袋式除尘技术该技术”，</w:t>
            </w:r>
            <w:r>
              <w:rPr>
                <w:rFonts w:hint="default" w:ascii="Times New Roman" w:hAnsi="Times New Roman" w:cs="Times New Roman"/>
                <w:highlight w:val="none"/>
                <w:lang w:val="en-US" w:eastAsia="zh-CN"/>
              </w:rPr>
              <w:t>布袋除尘器的除尘效率为9</w:t>
            </w:r>
            <w:r>
              <w:rPr>
                <w:rFonts w:hint="eastAsia" w:cs="Times New Roman"/>
                <w:highlight w:val="none"/>
                <w:lang w:val="en-US" w:eastAsia="zh-CN"/>
              </w:rPr>
              <w:t>9</w:t>
            </w:r>
            <w:r>
              <w:rPr>
                <w:rFonts w:hint="default" w:ascii="Times New Roman" w:hAnsi="Times New Roman" w:cs="Times New Roman"/>
                <w:highlight w:val="none"/>
                <w:lang w:val="en-US" w:eastAsia="zh-CN"/>
              </w:rPr>
              <w:t>%，则项目</w:t>
            </w:r>
            <w:r>
              <w:rPr>
                <w:rFonts w:hint="eastAsia" w:ascii="Times New Roman" w:hAnsi="Times New Roman" w:cs="Times New Roman"/>
                <w:highlight w:val="none"/>
                <w:lang w:val="en-US" w:eastAsia="zh-CN"/>
              </w:rPr>
              <w:t>输送</w:t>
            </w:r>
            <w:r>
              <w:rPr>
                <w:rFonts w:hint="default" w:ascii="Times New Roman" w:hAnsi="Times New Roman" w:cs="Times New Roman"/>
                <w:highlight w:val="none"/>
                <w:lang w:val="en-US" w:eastAsia="zh-CN"/>
              </w:rPr>
              <w:t>工序粉尘有组织排放量约为0.0</w:t>
            </w:r>
            <w:r>
              <w:rPr>
                <w:rFonts w:hint="eastAsia" w:cs="Times New Roman"/>
                <w:highlight w:val="none"/>
                <w:lang w:val="en-US" w:eastAsia="zh-CN"/>
              </w:rPr>
              <w:t>0456</w:t>
            </w:r>
            <w:r>
              <w:rPr>
                <w:rFonts w:hint="default" w:ascii="Times New Roman" w:hAnsi="Times New Roman" w:cs="Times New Roman"/>
                <w:highlight w:val="none"/>
                <w:lang w:val="en-US" w:eastAsia="zh-CN"/>
              </w:rPr>
              <w:t>t/a，</w:t>
            </w:r>
            <w:r>
              <w:rPr>
                <w:rFonts w:hint="eastAsia" w:cs="Times New Roman"/>
                <w:highlight w:val="none"/>
                <w:lang w:val="en-US" w:eastAsia="zh-CN"/>
              </w:rPr>
              <w:t>排放速率为0.00271kg/h，</w:t>
            </w:r>
            <w:r>
              <w:rPr>
                <w:rFonts w:hint="default" w:ascii="Times New Roman" w:hAnsi="Times New Roman" w:cs="Times New Roman"/>
                <w:highlight w:val="none"/>
                <w:lang w:val="en-US" w:eastAsia="zh-CN"/>
              </w:rPr>
              <w:t>排放浓度</w:t>
            </w:r>
            <w:r>
              <w:rPr>
                <w:rFonts w:hint="eastAsia" w:ascii="微软雅黑" w:hAnsi="微软雅黑" w:eastAsia="微软雅黑" w:cs="微软雅黑"/>
                <w:highlight w:val="none"/>
                <w:lang w:val="en-US" w:eastAsia="zh-CN"/>
              </w:rPr>
              <w:t>&lt;</w:t>
            </w:r>
            <w:r>
              <w:rPr>
                <w:rFonts w:hint="eastAsia" w:cs="Times New Roman"/>
                <w:highlight w:val="none"/>
                <w:lang w:val="en-US" w:eastAsia="zh-CN"/>
              </w:rPr>
              <w:t>20</w:t>
            </w:r>
            <w:r>
              <w:rPr>
                <w:rFonts w:hint="default" w:ascii="Times New Roman" w:hAnsi="Times New Roman" w:cs="Times New Roman"/>
                <w:highlight w:val="none"/>
                <w:lang w:val="en-US" w:eastAsia="zh-CN"/>
              </w:rPr>
              <w:t>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，有组织粉尘排放浓度满足《水泥工业大气污染物排放标准》（GB4915-2013）表</w:t>
            </w:r>
            <w:r>
              <w:rPr>
                <w:rFonts w:hint="eastAsia" w:cs="Times New Roman"/>
                <w:highlight w:val="none"/>
                <w:lang w:val="en-US" w:eastAsia="zh-CN"/>
              </w:rPr>
              <w:t>1</w:t>
            </w:r>
            <w:r>
              <w:rPr>
                <w:rFonts w:hint="default" w:ascii="Times New Roman" w:hAnsi="Times New Roman" w:cs="Times New Roman"/>
                <w:highlight w:val="none"/>
                <w:lang w:val="en-US" w:eastAsia="zh-CN"/>
              </w:rPr>
              <w:t>中“散装水泥中转站及水泥制品生产，水泥仓及其他通风生产设备，颗粒物</w:t>
            </w:r>
            <w:r>
              <w:rPr>
                <w:rFonts w:hint="eastAsia" w:cs="Times New Roman"/>
                <w:highlight w:val="none"/>
                <w:lang w:val="en-US" w:eastAsia="zh-CN"/>
              </w:rPr>
              <w:t>2</w:t>
            </w:r>
            <w:r>
              <w:rPr>
                <w:rFonts w:hint="default" w:ascii="Times New Roman" w:hAnsi="Times New Roman" w:cs="Times New Roman"/>
                <w:highlight w:val="none"/>
                <w:lang w:val="en-US" w:eastAsia="zh-CN"/>
              </w:rPr>
              <w:t>0mg/m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要求</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cs="Times New Roman"/>
                <w:highlight w:val="none"/>
                <w:lang w:val="en-US" w:eastAsia="zh-CN"/>
              </w:rPr>
              <w:t>（2）物料搅拌粉尘</w:t>
            </w:r>
          </w:p>
          <w:p>
            <w:pPr>
              <w:pStyle w:val="44"/>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highlight w:val="none"/>
                <w:lang w:val="en-US" w:eastAsia="zh-CN"/>
              </w:rPr>
              <w:t>本项目</w:t>
            </w:r>
            <w:r>
              <w:rPr>
                <w:rFonts w:hint="eastAsia" w:ascii="Times New Roman" w:hAnsi="Times New Roman" w:cs="Times New Roman"/>
                <w:highlight w:val="none"/>
                <w:lang w:val="en-US" w:eastAsia="zh-CN"/>
              </w:rPr>
              <w:t>为</w:t>
            </w:r>
            <w:r>
              <w:rPr>
                <w:rFonts w:hint="default" w:ascii="Times New Roman" w:hAnsi="Times New Roman" w:cs="Times New Roman"/>
                <w:highlight w:val="none"/>
                <w:lang w:val="en-US" w:eastAsia="zh-CN"/>
              </w:rPr>
              <w:t>砼结构构件生产线，</w:t>
            </w:r>
            <w:r>
              <w:rPr>
                <w:rFonts w:hint="eastAsia" w:ascii="Times New Roman" w:hAnsi="Times New Roman" w:cs="Times New Roman"/>
                <w:highlight w:val="none"/>
                <w:lang w:val="en-US" w:eastAsia="zh-CN"/>
              </w:rPr>
              <w:t>所用</w:t>
            </w:r>
            <w:r>
              <w:rPr>
                <w:rFonts w:hint="default" w:ascii="Times New Roman" w:hAnsi="Times New Roman" w:cs="Times New Roman"/>
                <w:highlight w:val="none"/>
                <w:lang w:val="en-US" w:eastAsia="zh-CN"/>
              </w:rPr>
              <w:t>搅拌机为封闭式搅拌机，各物料进入混合搅拌机中搅拌时，因其对粉状物料的扰动会产生粉尘从</w:t>
            </w:r>
            <w:r>
              <w:rPr>
                <w:rFonts w:hint="eastAsia" w:ascii="Times New Roman" w:hAnsi="Times New Roman" w:cs="Times New Roman"/>
                <w:highlight w:val="none"/>
                <w:lang w:val="en-US" w:eastAsia="zh-CN"/>
              </w:rPr>
              <w:t>搅拌</w:t>
            </w:r>
            <w:r>
              <w:rPr>
                <w:rFonts w:hint="default" w:ascii="Times New Roman" w:hAnsi="Times New Roman" w:cs="Times New Roman"/>
                <w:highlight w:val="none"/>
                <w:lang w:val="en-US" w:eastAsia="zh-CN"/>
              </w:rPr>
              <w:t>设备</w:t>
            </w:r>
            <w:r>
              <w:rPr>
                <w:rFonts w:hint="eastAsia" w:ascii="Times New Roman" w:hAnsi="Times New Roman" w:cs="Times New Roman"/>
                <w:highlight w:val="none"/>
                <w:lang w:val="en-US" w:eastAsia="zh-CN"/>
              </w:rPr>
              <w:t>仓</w:t>
            </w:r>
            <w:r>
              <w:rPr>
                <w:rFonts w:hint="default" w:ascii="Times New Roman" w:hAnsi="Times New Roman" w:cs="Times New Roman"/>
                <w:highlight w:val="none"/>
                <w:lang w:val="en-US" w:eastAsia="zh-CN"/>
              </w:rPr>
              <w:t>口外排，</w:t>
            </w:r>
            <w:r>
              <w:rPr>
                <w:rFonts w:hint="default" w:ascii="Times New Roman" w:hAnsi="Times New Roman" w:eastAsia="宋体" w:cs="Times New Roman"/>
                <w:color w:val="auto"/>
                <w:sz w:val="24"/>
                <w:szCs w:val="24"/>
                <w:highlight w:val="none"/>
                <w:lang w:val="en-US" w:eastAsia="zh-CN"/>
              </w:rPr>
              <w:t>由于混合搅拌机物料加水，因此搅拌后物料为湿料，粉尘产生量较少，仅在刚开始投料搅拌时有粉尘产生。</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根据《排放源统计调查产排污核算方法和系数手册》（生态环境部公告 2021年第24号）中“3021 水泥制品制造（含 3022 砼结构构件制造、3029 其他水泥类似制品 制造）行业系数手册”中“3021 水泥制品制造（含3022 砼结构构件、3029 其他水泥类似制品制造）行业系数表”，污染物产排污系数详见表4-</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p>
          <w:p>
            <w:pPr>
              <w:pStyle w:val="44"/>
              <w:bidi w:val="0"/>
              <w:rPr>
                <w:rFonts w:hint="default" w:ascii="Times New Roman" w:hAnsi="Times New Roman" w:cs="Times New Roman"/>
                <w:highlight w:val="none"/>
                <w:lang w:val="en-US" w:eastAsia="zh-CN"/>
              </w:rPr>
            </w:pPr>
          </w:p>
          <w:p>
            <w:pPr>
              <w:pStyle w:val="44"/>
              <w:bidi w:val="0"/>
              <w:rPr>
                <w:rFonts w:hint="default" w:ascii="Times New Roman" w:hAnsi="Times New Roman" w:cs="Times New Roman"/>
                <w:highlight w:val="none"/>
                <w:lang w:val="en-US" w:eastAsia="zh-CN"/>
              </w:rPr>
            </w:pPr>
          </w:p>
          <w:p>
            <w:pPr>
              <w:pStyle w:val="44"/>
              <w:bidi w:val="0"/>
              <w:ind w:left="0" w:leftChars="0" w:firstLine="0" w:firstLineChars="0"/>
              <w:rPr>
                <w:rFonts w:hint="default" w:ascii="Times New Roman" w:hAnsi="Times New Roman" w:cs="Times New Roman"/>
                <w:highlight w:val="none"/>
                <w:lang w:val="en-US" w:eastAsia="zh-CN"/>
              </w:rPr>
            </w:pPr>
            <w:r>
              <w:rPr>
                <w:b/>
                <w:bCs/>
                <w:spacing w:val="6"/>
                <w:sz w:val="20"/>
                <w:szCs w:val="20"/>
              </w:rPr>
              <w:t>表</w:t>
            </w:r>
            <w:r>
              <w:rPr>
                <w:rFonts w:ascii="Times New Roman" w:hAnsi="Times New Roman" w:eastAsia="Times New Roman" w:cs="Times New Roman"/>
                <w:b/>
                <w:bCs/>
                <w:spacing w:val="6"/>
                <w:sz w:val="20"/>
                <w:szCs w:val="20"/>
              </w:rPr>
              <w:t>4-</w:t>
            </w:r>
            <w:r>
              <w:rPr>
                <w:rFonts w:hint="eastAsia" w:ascii="Times New Roman" w:hAnsi="Times New Roman" w:eastAsia="宋体" w:cs="Times New Roman"/>
                <w:b/>
                <w:bCs/>
                <w:spacing w:val="6"/>
                <w:sz w:val="20"/>
                <w:szCs w:val="20"/>
                <w:lang w:val="en-US" w:eastAsia="zh-CN"/>
              </w:rPr>
              <w:t>2</w:t>
            </w:r>
            <w:r>
              <w:rPr>
                <w:b/>
                <w:bCs/>
                <w:spacing w:val="6"/>
                <w:sz w:val="20"/>
                <w:szCs w:val="20"/>
              </w:rPr>
              <w:t>水泥制品制造（含</w:t>
            </w:r>
            <w:r>
              <w:rPr>
                <w:spacing w:val="-42"/>
                <w:sz w:val="20"/>
                <w:szCs w:val="20"/>
              </w:rPr>
              <w:t xml:space="preserve"> </w:t>
            </w:r>
            <w:r>
              <w:rPr>
                <w:rFonts w:ascii="Times New Roman" w:hAnsi="Times New Roman" w:eastAsia="Times New Roman" w:cs="Times New Roman"/>
                <w:b/>
                <w:bCs/>
                <w:spacing w:val="6"/>
                <w:sz w:val="20"/>
                <w:szCs w:val="20"/>
              </w:rPr>
              <w:t>3022</w:t>
            </w:r>
            <w:r>
              <w:rPr>
                <w:b/>
                <w:bCs/>
                <w:spacing w:val="6"/>
                <w:sz w:val="20"/>
                <w:szCs w:val="20"/>
              </w:rPr>
              <w:t>砼结构构件、</w:t>
            </w:r>
            <w:r>
              <w:rPr>
                <w:rFonts w:ascii="Times New Roman" w:hAnsi="Times New Roman" w:eastAsia="Times New Roman" w:cs="Times New Roman"/>
                <w:b/>
                <w:bCs/>
                <w:spacing w:val="6"/>
                <w:sz w:val="20"/>
                <w:szCs w:val="20"/>
              </w:rPr>
              <w:t>3029</w:t>
            </w:r>
            <w:r>
              <w:rPr>
                <w:b/>
                <w:bCs/>
                <w:spacing w:val="5"/>
                <w:sz w:val="20"/>
                <w:szCs w:val="20"/>
              </w:rPr>
              <w:t>其他水泥类似制品制造）行业系数表</w:t>
            </w:r>
          </w:p>
          <w:tbl>
            <w:tblPr>
              <w:tblStyle w:val="48"/>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238"/>
              <w:gridCol w:w="961"/>
              <w:gridCol w:w="949"/>
              <w:gridCol w:w="949"/>
              <w:gridCol w:w="949"/>
              <w:gridCol w:w="949"/>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488" w:type="pct"/>
                  <w:tcBorders>
                    <w:top w:val="single" w:color="000000" w:sz="10" w:space="0"/>
                    <w:lef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工段</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名称</w:t>
                  </w:r>
                </w:p>
              </w:tc>
              <w:tc>
                <w:tcPr>
                  <w:tcW w:w="789"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产品名称</w:t>
                  </w:r>
                </w:p>
              </w:tc>
              <w:tc>
                <w:tcPr>
                  <w:tcW w:w="613"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原料名</w:t>
                  </w:r>
                  <w:r>
                    <w:rPr>
                      <w:spacing w:val="1"/>
                      <w:sz w:val="21"/>
                      <w:szCs w:val="21"/>
                    </w:rPr>
                    <w:t>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工艺名</w:t>
                  </w:r>
                  <w:r>
                    <w:rPr>
                      <w:spacing w:val="1"/>
                      <w:sz w:val="21"/>
                      <w:szCs w:val="21"/>
                    </w:rPr>
                    <w:t>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规模等</w:t>
                  </w:r>
                  <w:r>
                    <w:rPr>
                      <w:sz w:val="21"/>
                      <w:szCs w:val="21"/>
                    </w:rPr>
                    <w:t>级</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污染物</w:t>
                  </w:r>
                  <w:r>
                    <w:rPr>
                      <w:spacing w:val="3"/>
                      <w:sz w:val="21"/>
                      <w:szCs w:val="21"/>
                    </w:rPr>
                    <w:t>指数</w:t>
                  </w:r>
                </w:p>
              </w:tc>
              <w:tc>
                <w:tcPr>
                  <w:tcW w:w="605" w:type="pct"/>
                  <w:tcBorders>
                    <w:top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3"/>
                      <w:sz w:val="21"/>
                      <w:szCs w:val="21"/>
                    </w:rPr>
                    <w:t>单位</w:t>
                  </w:r>
                </w:p>
              </w:tc>
              <w:tc>
                <w:tcPr>
                  <w:tcW w:w="684" w:type="pct"/>
                  <w:tcBorders>
                    <w:top w:val="single" w:color="000000" w:sz="10"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产污系</w:t>
                  </w:r>
                  <w:r>
                    <w:rPr>
                      <w:sz w:val="21"/>
                      <w:szCs w:val="21"/>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488" w:type="pct"/>
                  <w:tcBorders>
                    <w:left w:val="single" w:color="000000" w:sz="6" w:space="0"/>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4"/>
                      <w:sz w:val="21"/>
                      <w:szCs w:val="21"/>
                    </w:rPr>
                    <w:t>物料</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搅拌</w:t>
                  </w:r>
                </w:p>
              </w:tc>
              <w:tc>
                <w:tcPr>
                  <w:tcW w:w="789"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各种水泥制</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品</w:t>
                  </w:r>
                </w:p>
              </w:tc>
              <w:tc>
                <w:tcPr>
                  <w:tcW w:w="613"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9"/>
                      <w:sz w:val="21"/>
                      <w:szCs w:val="21"/>
                    </w:rPr>
                    <w:t>水泥、砂</w:t>
                  </w:r>
                  <w:r>
                    <w:rPr>
                      <w:spacing w:val="31"/>
                      <w:sz w:val="21"/>
                      <w:szCs w:val="21"/>
                    </w:rPr>
                    <w:t>子、石</w:t>
                  </w:r>
                  <w:r>
                    <w:rPr>
                      <w:spacing w:val="-9"/>
                      <w:sz w:val="21"/>
                      <w:szCs w:val="21"/>
                    </w:rPr>
                    <w:t>子、钢筋</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物料混</w:t>
                  </w:r>
                </w:p>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z w:val="21"/>
                      <w:szCs w:val="21"/>
                    </w:rPr>
                    <w:t>合搅拌</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6"/>
                      <w:sz w:val="21"/>
                      <w:szCs w:val="21"/>
                    </w:rPr>
                    <w:t>所有规</w:t>
                  </w:r>
                  <w:r>
                    <w:rPr>
                      <w:spacing w:val="1"/>
                      <w:sz w:val="21"/>
                      <w:szCs w:val="21"/>
                    </w:rPr>
                    <w:t>模</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7"/>
                      <w:sz w:val="21"/>
                      <w:szCs w:val="21"/>
                    </w:rPr>
                    <w:t>废气颗</w:t>
                  </w:r>
                  <w:r>
                    <w:rPr>
                      <w:spacing w:val="4"/>
                      <w:sz w:val="21"/>
                      <w:szCs w:val="21"/>
                    </w:rPr>
                    <w:t>粒物</w:t>
                  </w:r>
                </w:p>
              </w:tc>
              <w:tc>
                <w:tcPr>
                  <w:tcW w:w="605" w:type="pct"/>
                  <w:tcBorders>
                    <w:bottom w:val="single" w:color="000000" w:sz="10" w:space="0"/>
                  </w:tcBorders>
                  <w:vAlign w:val="center"/>
                </w:tcPr>
                <w:p>
                  <w:pPr>
                    <w:pStyle w:val="29"/>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sz w:val="21"/>
                      <w:szCs w:val="21"/>
                    </w:rPr>
                  </w:pPr>
                  <w:r>
                    <w:rPr>
                      <w:spacing w:val="5"/>
                      <w:sz w:val="21"/>
                      <w:szCs w:val="21"/>
                    </w:rPr>
                    <w:t>千克</w:t>
                  </w:r>
                  <w:r>
                    <w:rPr>
                      <w:rFonts w:ascii="Times New Roman" w:hAnsi="Times New Roman" w:eastAsia="Times New Roman" w:cs="Times New Roman"/>
                      <w:spacing w:val="5"/>
                      <w:sz w:val="21"/>
                      <w:szCs w:val="21"/>
                    </w:rPr>
                    <w:t>/</w:t>
                  </w:r>
                  <w:r>
                    <w:rPr>
                      <w:spacing w:val="5"/>
                      <w:sz w:val="21"/>
                      <w:szCs w:val="21"/>
                    </w:rPr>
                    <w:t>吨</w:t>
                  </w:r>
                  <w:r>
                    <w:rPr>
                      <w:rFonts w:hint="eastAsia"/>
                      <w:spacing w:val="5"/>
                      <w:sz w:val="21"/>
                      <w:szCs w:val="21"/>
                      <w:lang w:eastAsia="zh-CN"/>
                    </w:rPr>
                    <w:t>－</w:t>
                  </w:r>
                  <w:r>
                    <w:rPr>
                      <w:rFonts w:ascii="Times New Roman" w:hAnsi="Times New Roman" w:eastAsia="Times New Roman" w:cs="Times New Roman"/>
                      <w:spacing w:val="2"/>
                      <w:sz w:val="21"/>
                      <w:szCs w:val="21"/>
                    </w:rPr>
                    <w:t xml:space="preserve"> </w:t>
                  </w:r>
                  <w:r>
                    <w:rPr>
                      <w:spacing w:val="4"/>
                      <w:sz w:val="21"/>
                      <w:szCs w:val="21"/>
                    </w:rPr>
                    <w:t>产品</w:t>
                  </w:r>
                </w:p>
              </w:tc>
              <w:tc>
                <w:tcPr>
                  <w:tcW w:w="684" w:type="pct"/>
                  <w:tcBorders>
                    <w:bottom w:val="single" w:color="000000" w:sz="10"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0.523</w:t>
                  </w:r>
                </w:p>
              </w:tc>
            </w:tr>
          </w:tbl>
          <w:p>
            <w:pPr>
              <w:pStyle w:val="44"/>
              <w:bidi w:val="0"/>
              <w:ind w:left="0" w:leftChars="0" w:firstLine="0" w:firstLineChars="0"/>
              <w:rPr>
                <w:rFonts w:hint="default" w:ascii="Times New Roman" w:hAnsi="Times New Roman" w:cs="Times New Roman"/>
                <w:highlight w:val="none"/>
                <w:lang w:val="en-US" w:eastAsia="zh-CN"/>
              </w:rPr>
            </w:pP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本项目砼结构构件生产线产量为</w:t>
            </w:r>
            <w:r>
              <w:rPr>
                <w:rFonts w:hint="eastAsia" w:ascii="Times New Roman" w:hAnsi="Times New Roman" w:cs="Times New Roman"/>
                <w:highlight w:val="none"/>
                <w:lang w:val="en-US" w:eastAsia="zh-CN"/>
              </w:rPr>
              <w:t>24</w:t>
            </w:r>
            <w:r>
              <w:rPr>
                <w:rFonts w:hint="default" w:ascii="Times New Roman" w:hAnsi="Times New Roman" w:cs="Times New Roman"/>
                <w:highlight w:val="none"/>
                <w:lang w:val="en-US" w:eastAsia="zh-CN"/>
              </w:rPr>
              <w:t>00t/a，产污系数为0.523kg/t-产品，则</w:t>
            </w:r>
            <w:r>
              <w:rPr>
                <w:rFonts w:hint="eastAsia" w:ascii="Times New Roman" w:hAnsi="Times New Roman" w:cs="Times New Roman"/>
                <w:highlight w:val="none"/>
                <w:lang w:val="en-US" w:eastAsia="zh-CN"/>
              </w:rPr>
              <w:t>物料</w:t>
            </w:r>
            <w:r>
              <w:rPr>
                <w:rFonts w:hint="default" w:ascii="Times New Roman" w:hAnsi="Times New Roman" w:cs="Times New Roman"/>
                <w:highlight w:val="none"/>
                <w:lang w:val="en-US" w:eastAsia="zh-CN"/>
              </w:rPr>
              <w:t>搅拌工序粉尘产生量为</w:t>
            </w:r>
            <w:r>
              <w:rPr>
                <w:rFonts w:hint="eastAsia" w:ascii="Times New Roman" w:hAnsi="Times New Roman" w:cs="Times New Roman"/>
                <w:highlight w:val="none"/>
                <w:lang w:val="en-US" w:eastAsia="zh-CN"/>
              </w:rPr>
              <w:t>1.2552</w:t>
            </w:r>
            <w:r>
              <w:rPr>
                <w:rFonts w:hint="default" w:ascii="Times New Roman" w:hAnsi="Times New Roman" w:cs="Times New Roman"/>
                <w:highlight w:val="none"/>
                <w:lang w:val="en-US" w:eastAsia="zh-CN"/>
              </w:rPr>
              <w:t>t/a</w:t>
            </w:r>
            <w:r>
              <w:rPr>
                <w:rFonts w:hint="eastAsia" w:cs="Times New Roman"/>
                <w:highlight w:val="none"/>
                <w:lang w:val="en-US" w:eastAsia="zh-CN"/>
              </w:rPr>
              <w:t>，0.672kg/h</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环评要求砼结构构件生产线搅拌机搅拌过程中密闭且在搅拌</w:t>
            </w:r>
            <w:r>
              <w:rPr>
                <w:rFonts w:hint="eastAsia" w:ascii="Times New Roman" w:hAnsi="Times New Roman" w:cs="Times New Roman"/>
                <w:highlight w:val="none"/>
                <w:lang w:val="en-US" w:eastAsia="zh-CN"/>
              </w:rPr>
              <w:t>工序</w:t>
            </w:r>
            <w:r>
              <w:rPr>
                <w:rFonts w:hint="default" w:ascii="Times New Roman" w:hAnsi="Times New Roman" w:cs="Times New Roman"/>
                <w:highlight w:val="none"/>
                <w:lang w:val="en-US" w:eastAsia="zh-CN"/>
              </w:rPr>
              <w:t>上方设置集气罩收集废气，粉尘经集气罩收集后引至一套布袋除尘器设备进行处理，处理后经一根15m高的排气筒</w:t>
            </w:r>
            <w:r>
              <w:rPr>
                <w:rFonts w:hint="eastAsia" w:cs="Times New Roman"/>
                <w:highlight w:val="none"/>
                <w:lang w:val="en-US" w:eastAsia="zh-CN"/>
              </w:rPr>
              <w:t>（</w:t>
            </w:r>
            <w:r>
              <w:rPr>
                <w:rFonts w:hint="default" w:ascii="Times New Roman" w:hAnsi="Times New Roman" w:cs="Times New Roman"/>
                <w:highlight w:val="none"/>
                <w:lang w:val="en-US" w:eastAsia="zh-CN"/>
              </w:rPr>
              <w:t>DA00</w:t>
            </w:r>
            <w:r>
              <w:rPr>
                <w:rFonts w:hint="eastAsia" w:cs="Times New Roman"/>
                <w:highlight w:val="none"/>
                <w:lang w:val="en-US" w:eastAsia="zh-CN"/>
              </w:rPr>
              <w:t>4）</w:t>
            </w:r>
            <w:r>
              <w:rPr>
                <w:rFonts w:hint="default" w:ascii="Times New Roman" w:hAnsi="Times New Roman" w:cs="Times New Roman"/>
                <w:highlight w:val="none"/>
                <w:lang w:val="en-US" w:eastAsia="zh-CN"/>
              </w:rPr>
              <w:t>排放。</w:t>
            </w:r>
          </w:p>
          <w:p>
            <w:pPr>
              <w:pStyle w:val="44"/>
              <w:bidi w:val="0"/>
              <w:rPr>
                <w:rFonts w:hint="default" w:ascii="Times New Roman" w:hAnsi="Times New Roman" w:cs="Times New Roman"/>
                <w:highlight w:val="none"/>
                <w:lang w:val="en-US" w:eastAsia="zh-CN"/>
              </w:rPr>
            </w:pPr>
            <w:r>
              <w:rPr>
                <w:rFonts w:hint="eastAsia"/>
                <w:highlight w:val="none"/>
                <w:lang w:val="en-US" w:eastAsia="zh-CN"/>
              </w:rPr>
              <w:t>参照环境保护部2014年12月5日发布的《水泥工业污染防治可行技术指南（试行）》（公告2014年第81号）“3.2.1.1 袋式除尘技术该技术”，</w:t>
            </w:r>
            <w:r>
              <w:rPr>
                <w:rFonts w:hint="default" w:ascii="Times New Roman" w:hAnsi="Times New Roman" w:cs="Times New Roman"/>
                <w:highlight w:val="none"/>
                <w:lang w:val="en-US" w:eastAsia="zh-CN"/>
              </w:rPr>
              <w:t>布袋除尘器的除尘效率为9</w:t>
            </w:r>
            <w:r>
              <w:rPr>
                <w:rFonts w:hint="eastAsia" w:cs="Times New Roman"/>
                <w:highlight w:val="none"/>
                <w:lang w:val="en-US" w:eastAsia="zh-CN"/>
              </w:rPr>
              <w:t>9</w:t>
            </w:r>
            <w:r>
              <w:rPr>
                <w:rFonts w:hint="default" w:ascii="Times New Roman" w:hAnsi="Times New Roman" w:cs="Times New Roman"/>
                <w:highlight w:val="none"/>
                <w:lang w:val="en-US" w:eastAsia="zh-CN"/>
              </w:rPr>
              <w:t>%，集气罩收集效率按90%计，配套风机风量为</w:t>
            </w:r>
            <w:r>
              <w:rPr>
                <w:rFonts w:hint="eastAsia" w:cs="Times New Roman"/>
                <w:highlight w:val="none"/>
                <w:lang w:val="en-US" w:eastAsia="zh-CN"/>
              </w:rPr>
              <w:t>2</w:t>
            </w:r>
            <w:r>
              <w:rPr>
                <w:rFonts w:hint="default" w:ascii="Times New Roman" w:hAnsi="Times New Roman" w:cs="Times New Roman"/>
                <w:highlight w:val="none"/>
                <w:lang w:val="en-US" w:eastAsia="zh-CN"/>
              </w:rPr>
              <w:t>000m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/h，年工作时间</w:t>
            </w:r>
            <w:r>
              <w:rPr>
                <w:rFonts w:hint="eastAsia" w:cs="Times New Roman"/>
                <w:highlight w:val="none"/>
                <w:lang w:val="en-US" w:eastAsia="zh-CN"/>
              </w:rPr>
              <w:t>168</w:t>
            </w:r>
            <w:r>
              <w:rPr>
                <w:rFonts w:hint="default" w:ascii="Times New Roman" w:hAnsi="Times New Roman" w:cs="Times New Roman"/>
                <w:highlight w:val="none"/>
                <w:lang w:val="en-US" w:eastAsia="zh-CN"/>
              </w:rPr>
              <w:t>0h。则项目</w:t>
            </w:r>
            <w:r>
              <w:rPr>
                <w:rFonts w:hint="eastAsia" w:ascii="Times New Roman" w:hAnsi="Times New Roman" w:cs="Times New Roman"/>
                <w:highlight w:val="none"/>
                <w:lang w:val="en-US" w:eastAsia="zh-CN"/>
              </w:rPr>
              <w:t>搅拌</w:t>
            </w:r>
            <w:r>
              <w:rPr>
                <w:rFonts w:hint="default" w:ascii="Times New Roman" w:hAnsi="Times New Roman" w:cs="Times New Roman"/>
                <w:highlight w:val="none"/>
                <w:lang w:val="en-US" w:eastAsia="zh-CN"/>
              </w:rPr>
              <w:t>工序粉尘有组织排放量约为0.0</w:t>
            </w:r>
            <w:r>
              <w:rPr>
                <w:rFonts w:hint="eastAsia" w:cs="Times New Roman"/>
                <w:highlight w:val="none"/>
                <w:lang w:val="en-US" w:eastAsia="zh-CN"/>
              </w:rPr>
              <w:t>11297</w:t>
            </w:r>
            <w:r>
              <w:rPr>
                <w:rFonts w:hint="default" w:ascii="Times New Roman" w:hAnsi="Times New Roman" w:cs="Times New Roman"/>
                <w:highlight w:val="none"/>
                <w:lang w:val="en-US" w:eastAsia="zh-CN"/>
              </w:rPr>
              <w:t>t/a，</w:t>
            </w:r>
            <w:r>
              <w:rPr>
                <w:rFonts w:hint="eastAsia" w:cs="Times New Roman"/>
                <w:highlight w:val="none"/>
                <w:lang w:val="en-US" w:eastAsia="zh-CN"/>
              </w:rPr>
              <w:t>排放速率为0.006724kg/h，</w:t>
            </w:r>
            <w:r>
              <w:rPr>
                <w:rFonts w:hint="default" w:ascii="Times New Roman" w:hAnsi="Times New Roman" w:cs="Times New Roman"/>
                <w:highlight w:val="none"/>
                <w:lang w:val="en-US" w:eastAsia="zh-CN"/>
              </w:rPr>
              <w:t>排放浓度为</w:t>
            </w:r>
            <w:r>
              <w:rPr>
                <w:rFonts w:hint="eastAsia" w:cs="Times New Roman"/>
                <w:highlight w:val="none"/>
                <w:lang w:val="en-US" w:eastAsia="zh-CN"/>
              </w:rPr>
              <w:t>3.4</w:t>
            </w:r>
            <w:r>
              <w:rPr>
                <w:rFonts w:hint="default" w:ascii="Times New Roman" w:hAnsi="Times New Roman" w:cs="Times New Roman"/>
                <w:highlight w:val="none"/>
                <w:lang w:val="en-US" w:eastAsia="zh-CN"/>
              </w:rPr>
              <w:t>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，有组织粉尘排放浓度满足《水泥工业大气污染物排放标准》（GB4915-2013）表</w:t>
            </w:r>
            <w:r>
              <w:rPr>
                <w:rFonts w:hint="eastAsia" w:cs="Times New Roman"/>
                <w:highlight w:val="none"/>
                <w:lang w:val="en-US" w:eastAsia="zh-CN"/>
              </w:rPr>
              <w:t>1</w:t>
            </w:r>
            <w:r>
              <w:rPr>
                <w:rFonts w:hint="default" w:ascii="Times New Roman" w:hAnsi="Times New Roman" w:cs="Times New Roman"/>
                <w:highlight w:val="none"/>
                <w:lang w:val="en-US" w:eastAsia="zh-CN"/>
              </w:rPr>
              <w:t>中“散装水泥中转站及水泥制品生产，水泥仓及其他通风生产设备，颗粒物</w:t>
            </w:r>
            <w:r>
              <w:rPr>
                <w:rFonts w:hint="eastAsia" w:cs="Times New Roman"/>
                <w:highlight w:val="none"/>
                <w:lang w:val="en-US" w:eastAsia="zh-CN"/>
              </w:rPr>
              <w:t>2</w:t>
            </w:r>
            <w:r>
              <w:rPr>
                <w:rFonts w:hint="default" w:ascii="Times New Roman" w:hAnsi="Times New Roman" w:cs="Times New Roman"/>
                <w:highlight w:val="none"/>
                <w:lang w:val="en-US" w:eastAsia="zh-CN"/>
              </w:rPr>
              <w:t>0mg/m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本项目砼结构构件生产过程中搅拌工序未被收集的</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0%粉尘通过车间无组织排放，无组织粉尘排放量为</w:t>
            </w:r>
            <w:r>
              <w:rPr>
                <w:rFonts w:hint="eastAsia" w:ascii="Times New Roman" w:hAnsi="Times New Roman" w:cs="Times New Roman"/>
                <w:highlight w:val="none"/>
                <w:lang w:val="en-US" w:eastAsia="zh-CN"/>
              </w:rPr>
              <w:t>0.012552</w:t>
            </w:r>
            <w:r>
              <w:rPr>
                <w:rFonts w:hint="default" w:ascii="Times New Roman" w:hAnsi="Times New Roman" w:cs="Times New Roman"/>
                <w:highlight w:val="none"/>
                <w:lang w:val="en-US" w:eastAsia="zh-CN"/>
              </w:rPr>
              <w:t>t/a，排放速率为0.</w:t>
            </w:r>
            <w:r>
              <w:rPr>
                <w:rFonts w:hint="eastAsia" w:ascii="Times New Roman" w:hAnsi="Times New Roman" w:cs="Times New Roman"/>
                <w:highlight w:val="none"/>
                <w:lang w:val="en-US" w:eastAsia="zh-CN"/>
              </w:rPr>
              <w:t>007</w:t>
            </w:r>
            <w:r>
              <w:rPr>
                <w:rFonts w:hint="eastAsia" w:cs="Times New Roman"/>
                <w:highlight w:val="none"/>
                <w:lang w:val="en-US" w:eastAsia="zh-CN"/>
              </w:rPr>
              <w:t>47</w:t>
            </w:r>
            <w:r>
              <w:rPr>
                <w:rFonts w:hint="default" w:ascii="Times New Roman" w:hAnsi="Times New Roman" w:cs="Times New Roman"/>
                <w:highlight w:val="none"/>
                <w:lang w:val="en-US" w:eastAsia="zh-CN"/>
              </w:rPr>
              <w:t>kg/h。项目搅拌时搅拌机仓口密闭且位于全封闭式</w:t>
            </w:r>
            <w:r>
              <w:rPr>
                <w:rFonts w:hint="eastAsia" w:ascii="Times New Roman" w:hAnsi="Times New Roman" w:cs="Times New Roman"/>
                <w:highlight w:val="none"/>
                <w:lang w:val="en-US" w:eastAsia="zh-CN"/>
              </w:rPr>
              <w:t>生产</w:t>
            </w:r>
            <w:r>
              <w:rPr>
                <w:rFonts w:hint="default" w:ascii="Times New Roman" w:hAnsi="Times New Roman" w:cs="Times New Roman"/>
                <w:highlight w:val="none"/>
                <w:lang w:val="en-US" w:eastAsia="zh-CN"/>
              </w:rPr>
              <w:t>车间内，搅拌时连续加水抑尘。</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r>
              <w:rPr>
                <w:rFonts w:hint="eastAsia" w:cs="Times New Roman"/>
                <w:highlight w:val="none"/>
                <w:lang w:val="en-US" w:eastAsia="zh-CN"/>
              </w:rPr>
              <w:t>3</w:t>
            </w:r>
            <w:r>
              <w:rPr>
                <w:rFonts w:hint="eastAsia" w:ascii="Times New Roman" w:hAnsi="Times New Roman" w:cs="Times New Roman"/>
                <w:highlight w:val="none"/>
                <w:lang w:val="en-US" w:eastAsia="zh-CN"/>
              </w:rPr>
              <w:t>）</w:t>
            </w:r>
            <w:r>
              <w:rPr>
                <w:rFonts w:hint="eastAsia" w:cs="Times New Roman"/>
                <w:highlight w:val="none"/>
                <w:lang w:val="en-US" w:eastAsia="zh-CN"/>
              </w:rPr>
              <w:t>原料（沙子、石子）装卸、堆场粉尘</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w:t>
            </w:r>
            <w:r>
              <w:rPr>
                <w:rFonts w:hint="eastAsia" w:ascii="Times New Roman" w:hAnsi="Times New Roman" w:cs="Times New Roman"/>
                <w:highlight w:val="none"/>
                <w:lang w:val="en-US" w:eastAsia="zh-CN"/>
              </w:rPr>
              <w:t>装卸</w:t>
            </w:r>
            <w:r>
              <w:rPr>
                <w:rFonts w:hint="default" w:ascii="Times New Roman" w:hAnsi="Times New Roman" w:cs="Times New Roman"/>
                <w:highlight w:val="none"/>
                <w:lang w:val="en-US" w:eastAsia="zh-CN"/>
              </w:rPr>
              <w:t>粉尘主要源于</w:t>
            </w:r>
            <w:r>
              <w:rPr>
                <w:rFonts w:hint="eastAsia" w:ascii="Times New Roman" w:hAnsi="Times New Roman" w:cs="Times New Roman"/>
                <w:highlight w:val="none"/>
                <w:lang w:val="en-US" w:eastAsia="zh-CN"/>
              </w:rPr>
              <w:t>沙子、</w:t>
            </w:r>
            <w:r>
              <w:rPr>
                <w:rFonts w:hint="default" w:ascii="Times New Roman" w:hAnsi="Times New Roman" w:cs="Times New Roman"/>
                <w:highlight w:val="none"/>
                <w:lang w:val="en-US" w:eastAsia="zh-CN"/>
              </w:rPr>
              <w:t>石子卸料过程，本项目砂石经汽车运输至厂区</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原料（沙子）用运至厂区全封闭式</w:t>
            </w:r>
            <w:r>
              <w:rPr>
                <w:rFonts w:hint="eastAsia" w:ascii="Times New Roman" w:hAnsi="Times New Roman" w:cs="Times New Roman"/>
                <w:highlight w:val="none"/>
                <w:lang w:val="en-US" w:eastAsia="zh-CN"/>
              </w:rPr>
              <w:t>库房</w:t>
            </w:r>
            <w:r>
              <w:rPr>
                <w:rFonts w:hint="default" w:ascii="Times New Roman" w:hAnsi="Times New Roman" w:cs="Times New Roman"/>
                <w:highlight w:val="none"/>
                <w:lang w:val="en-US" w:eastAsia="zh-CN"/>
              </w:rPr>
              <w:t>内</w:t>
            </w:r>
            <w:r>
              <w:rPr>
                <w:rFonts w:hint="eastAsia" w:ascii="Times New Roman" w:hAnsi="Times New Roman" w:cs="Times New Roman"/>
                <w:highlight w:val="none"/>
                <w:lang w:val="en-US" w:eastAsia="zh-CN"/>
              </w:rPr>
              <w:t>、石子暂存于露天堆场。</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参照《排放源统计调查产排污核算方法和系数手册》中《固体物料堆存颗粒物产排污核算系数手册》，工业企业固体物料堆存颗粒物包括装卸</w:t>
            </w:r>
            <w:r>
              <w:rPr>
                <w:rFonts w:hint="eastAsia" w:cs="Times New Roman"/>
                <w:highlight w:val="none"/>
                <w:lang w:val="en-US" w:eastAsia="zh-CN"/>
              </w:rPr>
              <w:t>扬</w:t>
            </w:r>
            <w:r>
              <w:rPr>
                <w:rFonts w:hint="default" w:ascii="Times New Roman" w:hAnsi="Times New Roman" w:cs="Times New Roman"/>
                <w:highlight w:val="none"/>
                <w:lang w:val="en-US" w:eastAsia="zh-CN"/>
              </w:rPr>
              <w:t>尘和风蚀扬尘，颗粒物产生量核算公式如下：</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P=ZCy+FCy={Nc×D</w:t>
            </w:r>
            <w:r>
              <w:rPr>
                <w:rFonts w:hint="eastAsia" w:cs="Times New Roman"/>
                <w:highlight w:val="none"/>
                <w:lang w:val="en-US" w:eastAsia="zh-CN"/>
              </w:rPr>
              <w:t>×</w:t>
            </w:r>
            <w:r>
              <w:rPr>
                <w:rFonts w:hint="default" w:ascii="Times New Roman" w:hAnsi="Times New Roman" w:cs="Times New Roman"/>
                <w:highlight w:val="none"/>
                <w:lang w:val="en-US" w:eastAsia="zh-CN"/>
              </w:rPr>
              <w:t>(a/b)+2</w:t>
            </w:r>
            <w:r>
              <w:rPr>
                <w:rFonts w:hint="eastAsia" w:cs="Times New Roman"/>
                <w:highlight w:val="none"/>
                <w:lang w:val="en-US" w:eastAsia="zh-CN"/>
              </w:rPr>
              <w:t>×</w:t>
            </w:r>
            <w:r>
              <w:rPr>
                <w:rFonts w:hint="default" w:ascii="Times New Roman" w:hAnsi="Times New Roman" w:cs="Times New Roman"/>
                <w:highlight w:val="none"/>
                <w:lang w:val="en-US" w:eastAsia="zh-CN"/>
              </w:rPr>
              <w:t>Ef×S}×10</w:t>
            </w:r>
            <w:r>
              <w:rPr>
                <w:rFonts w:hint="default" w:ascii="Times New Roman" w:hAnsi="Times New Roman" w:cs="Times New Roman"/>
                <w:highlight w:val="none"/>
                <w:vertAlign w:val="superscript"/>
                <w:lang w:val="en-US" w:eastAsia="zh-CN"/>
              </w:rPr>
              <w:t>-3</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式中：P 指颗粒物产生量（单位：吨）；</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ZCy指装卸扬尘产生量（单位：吨）；</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FCy指风蚀扬尘产生量（单位：吨）；</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NC指年物料运载车次（单位：车）；</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 指单车平均运载量（单位：吨/车）；</w:t>
            </w:r>
          </w:p>
          <w:p>
            <w:pPr>
              <w:pStyle w:val="44"/>
              <w:bidi w:val="0"/>
              <w:ind w:firstLine="1200" w:firstLineChars="500"/>
              <w:rPr>
                <w:rFonts w:hint="default" w:ascii="Times New Roman" w:hAnsi="Times New Roman" w:cs="Times New Roman"/>
                <w:highlight w:val="none"/>
                <w:lang w:val="en-US" w:eastAsia="zh-CN"/>
              </w:rPr>
            </w:pPr>
            <w:r>
              <w:rPr>
                <w:rFonts w:hint="eastAsia" w:cs="Times New Roman"/>
                <w:highlight w:val="none"/>
                <w:lang w:val="en-US" w:eastAsia="zh-CN"/>
              </w:rPr>
              <w:t>（</w:t>
            </w:r>
            <w:r>
              <w:rPr>
                <w:rFonts w:hint="default" w:ascii="Times New Roman" w:hAnsi="Times New Roman" w:cs="Times New Roman"/>
                <w:highlight w:val="none"/>
                <w:lang w:val="en-US" w:eastAsia="zh-CN"/>
              </w:rPr>
              <w:t>a/b</w:t>
            </w:r>
            <w:r>
              <w:rPr>
                <w:rFonts w:hint="eastAsia" w:cs="Times New Roman"/>
                <w:highlight w:val="none"/>
                <w:lang w:val="en-US" w:eastAsia="zh-CN"/>
              </w:rPr>
              <w:t>）</w:t>
            </w:r>
            <w:r>
              <w:rPr>
                <w:rFonts w:hint="default" w:ascii="Times New Roman" w:hAnsi="Times New Roman" w:cs="Times New Roman"/>
                <w:highlight w:val="none"/>
                <w:lang w:val="en-US" w:eastAsia="zh-CN"/>
              </w:rPr>
              <w:t>指装卸扬尘概化系数（单位：千克/吨），a指各省风速概化系数，b指物料含水率概化系数；</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Ef指堆场风蚀扬尘概化系数（单位：千克/平方米）；</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S指堆场占地面积（单位：平方米）。</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工业企业固体物料堆场颗粒物排放量核算公式如下：</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Uc=P×(1-Cm)×(1-Tm)</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式中：P 指颗粒物产生量（单位：吨）；</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U</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指颗粒物排放量（单位：吨）；</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Cm指颗粒物控制措施控制效率（单位：%）；</w:t>
            </w:r>
          </w:p>
          <w:p>
            <w:pPr>
              <w:pStyle w:val="44"/>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Tm指堆场类型控制效率（单位：%）。</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本项目砂子装卸颗粒物产排量计算参数取值见下表。</w:t>
            </w:r>
          </w:p>
          <w:p>
            <w:pPr>
              <w:pStyle w:val="28"/>
              <w:bidi w:val="0"/>
              <w:jc w:val="center"/>
              <w:rPr>
                <w:rFonts w:hint="default" w:ascii="黑体" w:hAnsi="宋体" w:eastAsia="黑体" w:cs="黑体"/>
                <w:color w:val="000000"/>
                <w:kern w:val="0"/>
                <w:sz w:val="24"/>
                <w:szCs w:val="24"/>
                <w:highlight w:val="none"/>
                <w:lang w:val="en-US" w:eastAsia="zh-CN" w:bidi="ar"/>
              </w:rPr>
            </w:pPr>
            <w:r>
              <w:rPr>
                <w:rFonts w:hint="default" w:ascii="黑体" w:hAnsi="宋体" w:eastAsia="黑体" w:cs="黑体"/>
                <w:color w:val="000000"/>
                <w:kern w:val="0"/>
                <w:sz w:val="24"/>
                <w:szCs w:val="24"/>
                <w:highlight w:val="none"/>
                <w:lang w:val="en-US" w:eastAsia="zh-CN" w:bidi="ar"/>
              </w:rPr>
              <w:t>表4-</w:t>
            </w:r>
            <w:r>
              <w:rPr>
                <w:rFonts w:hint="eastAsia" w:ascii="黑体" w:hAnsi="宋体" w:eastAsia="黑体" w:cs="黑体"/>
                <w:color w:val="000000"/>
                <w:kern w:val="0"/>
                <w:sz w:val="24"/>
                <w:szCs w:val="24"/>
                <w:highlight w:val="none"/>
                <w:lang w:val="en-US" w:eastAsia="zh-CN" w:bidi="ar"/>
              </w:rPr>
              <w:t>3</w:t>
            </w:r>
            <w:r>
              <w:rPr>
                <w:rFonts w:hint="default" w:ascii="黑体" w:hAnsi="宋体" w:eastAsia="黑体" w:cs="黑体"/>
                <w:color w:val="000000"/>
                <w:kern w:val="0"/>
                <w:sz w:val="24"/>
                <w:szCs w:val="24"/>
                <w:highlight w:val="none"/>
                <w:lang w:val="en-US" w:eastAsia="zh-CN" w:bidi="ar"/>
              </w:rPr>
              <w:t xml:space="preserve"> </w:t>
            </w:r>
            <w:r>
              <w:rPr>
                <w:rFonts w:hint="eastAsia" w:ascii="黑体" w:hAnsi="宋体" w:eastAsia="黑体" w:cs="黑体"/>
                <w:color w:val="000000"/>
                <w:kern w:val="0"/>
                <w:sz w:val="24"/>
                <w:szCs w:val="24"/>
                <w:highlight w:val="none"/>
                <w:lang w:val="en-US" w:eastAsia="zh-CN" w:bidi="ar"/>
              </w:rPr>
              <w:t xml:space="preserve"> </w:t>
            </w:r>
            <w:r>
              <w:rPr>
                <w:rFonts w:hint="default" w:ascii="黑体" w:hAnsi="宋体" w:eastAsia="黑体" w:cs="黑体"/>
                <w:color w:val="000000"/>
                <w:kern w:val="0"/>
                <w:sz w:val="24"/>
                <w:szCs w:val="24"/>
                <w:highlight w:val="none"/>
                <w:lang w:val="en-US" w:eastAsia="zh-CN" w:bidi="ar"/>
              </w:rPr>
              <w:t>参数取值表</w:t>
            </w:r>
          </w:p>
          <w:tbl>
            <w:tblPr>
              <w:tblStyle w:val="48"/>
              <w:tblW w:w="499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1383"/>
              <w:gridCol w:w="1234"/>
              <w:gridCol w:w="4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trPr>
              <w:tc>
                <w:tcPr>
                  <w:tcW w:w="665" w:type="pct"/>
                  <w:tcBorders>
                    <w:top w:val="single" w:color="000000" w:sz="2" w:space="0"/>
                    <w:left w:val="single" w:color="000000" w:sz="2"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5"/>
                      <w:sz w:val="18"/>
                      <w:szCs w:val="18"/>
                    </w:rPr>
                    <w:t>参数</w:t>
                  </w:r>
                </w:p>
              </w:tc>
              <w:tc>
                <w:tcPr>
                  <w:tcW w:w="884" w:type="pct"/>
                  <w:tcBorders>
                    <w:top w:val="single" w:color="000000" w:sz="2"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5"/>
                      <w:sz w:val="18"/>
                      <w:szCs w:val="18"/>
                    </w:rPr>
                    <w:t>单位</w:t>
                  </w:r>
                </w:p>
              </w:tc>
              <w:tc>
                <w:tcPr>
                  <w:tcW w:w="788" w:type="pct"/>
                  <w:tcBorders>
                    <w:top w:val="single" w:color="000000" w:sz="2"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5"/>
                      <w:sz w:val="18"/>
                      <w:szCs w:val="18"/>
                    </w:rPr>
                    <w:t>取值</w:t>
                  </w:r>
                </w:p>
              </w:tc>
              <w:tc>
                <w:tcPr>
                  <w:tcW w:w="2661" w:type="pct"/>
                  <w:tcBorders>
                    <w:top w:val="single" w:color="000000" w:sz="2" w:space="0"/>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5"/>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9" w:hRule="atLeast"/>
              </w:trPr>
              <w:tc>
                <w:tcPr>
                  <w:tcW w:w="665" w:type="pct"/>
                  <w:vMerge w:val="restart"/>
                  <w:tcBorders>
                    <w:left w:val="single" w:color="000000" w:sz="2" w:space="0"/>
                    <w:bottom w:val="nil"/>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N</w:t>
                  </w:r>
                  <w:r>
                    <w:rPr>
                      <w:rFonts w:ascii="Times New Roman" w:hAnsi="Times New Roman" w:eastAsia="Times New Roman" w:cs="Times New Roman"/>
                      <w:spacing w:val="2"/>
                      <w:position w:val="-1"/>
                      <w:sz w:val="11"/>
                      <w:szCs w:val="11"/>
                    </w:rPr>
                    <w:t>C</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D</w:t>
                  </w:r>
                </w:p>
              </w:tc>
              <w:tc>
                <w:tcPr>
                  <w:tcW w:w="884" w:type="pct"/>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hint="default" w:eastAsia="新宋体"/>
                      <w:sz w:val="18"/>
                      <w:szCs w:val="18"/>
                      <w:lang w:val="en-US" w:eastAsia="zh-CN"/>
                    </w:rPr>
                  </w:pPr>
                  <w:r>
                    <w:rPr>
                      <w:sz w:val="18"/>
                      <w:szCs w:val="18"/>
                    </w:rPr>
                    <w:t>车</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hint="eastAsia"/>
                      <w:sz w:val="18"/>
                      <w:szCs w:val="18"/>
                      <w:lang w:val="en-US" w:eastAsia="zh-CN"/>
                    </w:rPr>
                    <w:t>65</w:t>
                  </w:r>
                </w:p>
              </w:tc>
              <w:tc>
                <w:tcPr>
                  <w:tcW w:w="2661" w:type="pct"/>
                  <w:vMerge w:val="restart"/>
                  <w:tcBorders>
                    <w:bottom w:val="nil"/>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1"/>
                      <w:sz w:val="18"/>
                      <w:szCs w:val="18"/>
                    </w:rPr>
                    <w:t>砂子用量</w:t>
                  </w:r>
                  <w:r>
                    <w:rPr>
                      <w:rFonts w:hint="eastAsia" w:ascii="Times New Roman" w:hAnsi="Times New Roman" w:eastAsia="宋体" w:cs="Times New Roman"/>
                      <w:spacing w:val="-1"/>
                      <w:sz w:val="18"/>
                      <w:szCs w:val="18"/>
                      <w:lang w:val="en-US" w:eastAsia="zh-CN"/>
                    </w:rPr>
                    <w:t>1300</w:t>
                  </w:r>
                  <w:r>
                    <w:rPr>
                      <w:spacing w:val="-1"/>
                      <w:sz w:val="18"/>
                      <w:szCs w:val="18"/>
                    </w:rPr>
                    <w:t>吨</w:t>
                  </w:r>
                  <w:r>
                    <w:rPr>
                      <w:rFonts w:ascii="Times New Roman" w:hAnsi="Times New Roman" w:eastAsia="Times New Roman" w:cs="Times New Roman"/>
                      <w:spacing w:val="-1"/>
                      <w:sz w:val="18"/>
                      <w:szCs w:val="18"/>
                    </w:rPr>
                    <w:t>/</w:t>
                  </w:r>
                  <w:r>
                    <w:rPr>
                      <w:spacing w:val="-1"/>
                      <w:sz w:val="18"/>
                      <w:szCs w:val="18"/>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trPr>
              <w:tc>
                <w:tcPr>
                  <w:tcW w:w="665" w:type="pct"/>
                  <w:vMerge w:val="continue"/>
                  <w:tcBorders>
                    <w:top w:val="nil"/>
                    <w:left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c>
                <w:tcPr>
                  <w:tcW w:w="884" w:type="pct"/>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6"/>
                      <w:sz w:val="18"/>
                      <w:szCs w:val="18"/>
                    </w:rPr>
                    <w:t>吨</w:t>
                  </w:r>
                  <w:r>
                    <w:rPr>
                      <w:rFonts w:ascii="Times New Roman" w:hAnsi="Times New Roman" w:eastAsia="Times New Roman" w:cs="Times New Roman"/>
                      <w:spacing w:val="-6"/>
                      <w:sz w:val="18"/>
                      <w:szCs w:val="18"/>
                    </w:rPr>
                    <w:t>/</w:t>
                  </w:r>
                  <w:r>
                    <w:rPr>
                      <w:spacing w:val="-6"/>
                      <w:sz w:val="18"/>
                      <w:szCs w:val="18"/>
                    </w:rPr>
                    <w:t>车</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2661" w:type="pct"/>
                  <w:vMerge w:val="continue"/>
                  <w:tcBorders>
                    <w:top w:val="nil"/>
                    <w:right w:val="single" w:color="000000" w:sz="6"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665" w:type="pct"/>
                  <w:tcBorders>
                    <w:left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Cambria Math" w:hAnsi="Cambria Math" w:eastAsia="Cambria Math" w:cs="Cambria Math"/>
                      <w:sz w:val="18"/>
                      <w:szCs w:val="18"/>
                    </w:rPr>
                  </w:pPr>
                  <w:r>
                    <w:rPr>
                      <w:rFonts w:ascii="Cambria Math" w:hAnsi="Cambria Math" w:eastAsia="Cambria Math" w:cs="Cambria Math"/>
                      <w:sz w:val="18"/>
                      <w:szCs w:val="18"/>
                    </w:rPr>
                    <w:t>a</w:t>
                  </w:r>
                  <w:r>
                    <w:rPr>
                      <w:rFonts w:ascii="Times New Roman" w:hAnsi="Times New Roman" w:eastAsia="Times New Roman" w:cs="Times New Roman"/>
                      <w:sz w:val="18"/>
                      <w:szCs w:val="18"/>
                    </w:rPr>
                    <w:t>/</w:t>
                  </w:r>
                  <w:r>
                    <w:rPr>
                      <w:rFonts w:ascii="Cambria Math" w:hAnsi="Cambria Math" w:eastAsia="Cambria Math" w:cs="Cambria Math"/>
                      <w:sz w:val="18"/>
                      <w:szCs w:val="18"/>
                    </w:rPr>
                    <w:t>b</w:t>
                  </w:r>
                </w:p>
              </w:tc>
              <w:tc>
                <w:tcPr>
                  <w:tcW w:w="884" w:type="pct"/>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2"/>
                      <w:sz w:val="18"/>
                      <w:szCs w:val="18"/>
                    </w:rPr>
                    <w:t>千克</w:t>
                  </w:r>
                  <w:r>
                    <w:rPr>
                      <w:rFonts w:ascii="Times New Roman" w:hAnsi="Times New Roman" w:eastAsia="Times New Roman" w:cs="Times New Roman"/>
                      <w:spacing w:val="-2"/>
                      <w:sz w:val="18"/>
                      <w:szCs w:val="18"/>
                    </w:rPr>
                    <w:t>/</w:t>
                  </w:r>
                  <w:r>
                    <w:rPr>
                      <w:spacing w:val="-2"/>
                      <w:sz w:val="18"/>
                      <w:szCs w:val="18"/>
                    </w:rPr>
                    <w:t>吨</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0.65</w:t>
                  </w:r>
                </w:p>
              </w:tc>
              <w:tc>
                <w:tcPr>
                  <w:tcW w:w="2661" w:type="pct"/>
                  <w:tcBorders>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spacing w:val="-2"/>
                      <w:sz w:val="18"/>
                      <w:szCs w:val="18"/>
                    </w:rPr>
                    <w:t>新疆风速概化系数</w:t>
                  </w:r>
                  <w:r>
                    <w:rPr>
                      <w:rFonts w:ascii="Times New Roman" w:hAnsi="Times New Roman" w:eastAsia="Times New Roman" w:cs="Times New Roman"/>
                      <w:spacing w:val="-2"/>
                      <w:sz w:val="18"/>
                      <w:szCs w:val="18"/>
                    </w:rPr>
                    <w:t>a</w:t>
                  </w:r>
                  <w:r>
                    <w:rPr>
                      <w:spacing w:val="-2"/>
                      <w:sz w:val="18"/>
                      <w:szCs w:val="18"/>
                    </w:rPr>
                    <w:t>为</w:t>
                  </w:r>
                  <w:r>
                    <w:rPr>
                      <w:rFonts w:ascii="Times New Roman" w:hAnsi="Times New Roman" w:eastAsia="Times New Roman" w:cs="Times New Roman"/>
                      <w:spacing w:val="-2"/>
                      <w:sz w:val="18"/>
                      <w:szCs w:val="18"/>
                    </w:rPr>
                    <w:t>0.0011</w:t>
                  </w:r>
                  <w:r>
                    <w:rPr>
                      <w:spacing w:val="-2"/>
                      <w:sz w:val="18"/>
                      <w:szCs w:val="18"/>
                    </w:rPr>
                    <w:t>，砂子含水率概</w:t>
                  </w:r>
                  <w:r>
                    <w:rPr>
                      <w:spacing w:val="-1"/>
                      <w:sz w:val="18"/>
                      <w:szCs w:val="18"/>
                    </w:rPr>
                    <w:t>化系数</w:t>
                  </w:r>
                  <w:r>
                    <w:rPr>
                      <w:rFonts w:ascii="Times New Roman" w:hAnsi="Times New Roman" w:eastAsia="Times New Roman" w:cs="Times New Roman"/>
                      <w:spacing w:val="-1"/>
                      <w:sz w:val="18"/>
                      <w:szCs w:val="18"/>
                    </w:rPr>
                    <w:t>b</w:t>
                  </w:r>
                  <w:r>
                    <w:rPr>
                      <w:spacing w:val="-1"/>
                      <w:sz w:val="18"/>
                      <w:szCs w:val="18"/>
                    </w:rPr>
                    <w:t>取值参照石灰石产品为</w:t>
                  </w:r>
                  <w:r>
                    <w:rPr>
                      <w:rFonts w:ascii="Times New Roman" w:hAnsi="Times New Roman" w:eastAsia="Times New Roman" w:cs="Times New Roman"/>
                      <w:spacing w:val="-1"/>
                      <w:sz w:val="18"/>
                      <w:szCs w:val="18"/>
                    </w:rPr>
                    <w:t>0.0017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trPr>
              <w:tc>
                <w:tcPr>
                  <w:tcW w:w="665" w:type="pct"/>
                  <w:tcBorders>
                    <w:left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E</w:t>
                  </w:r>
                  <w:r>
                    <w:rPr>
                      <w:rFonts w:ascii="Times New Roman" w:hAnsi="Times New Roman" w:eastAsia="Times New Roman" w:cs="Times New Roman"/>
                      <w:spacing w:val="3"/>
                      <w:sz w:val="11"/>
                      <w:szCs w:val="11"/>
                    </w:rPr>
                    <w:t>f</w:t>
                  </w:r>
                </w:p>
              </w:tc>
              <w:tc>
                <w:tcPr>
                  <w:tcW w:w="884" w:type="pct"/>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2"/>
                      <w:sz w:val="18"/>
                      <w:szCs w:val="18"/>
                    </w:rPr>
                    <w:t>千克</w:t>
                  </w:r>
                  <w:r>
                    <w:rPr>
                      <w:rFonts w:ascii="Times New Roman" w:hAnsi="Times New Roman" w:eastAsia="Times New Roman" w:cs="Times New Roman"/>
                      <w:spacing w:val="-2"/>
                      <w:sz w:val="18"/>
                      <w:szCs w:val="18"/>
                    </w:rPr>
                    <w:t>/</w:t>
                  </w:r>
                  <w:r>
                    <w:rPr>
                      <w:spacing w:val="-2"/>
                      <w:sz w:val="18"/>
                      <w:szCs w:val="18"/>
                    </w:rPr>
                    <w:t>平方米</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3.6062</w:t>
                  </w:r>
                </w:p>
              </w:tc>
              <w:tc>
                <w:tcPr>
                  <w:tcW w:w="2661" w:type="pct"/>
                  <w:tcBorders>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2"/>
                      <w:sz w:val="18"/>
                      <w:szCs w:val="18"/>
                    </w:rPr>
                    <w:t>参照石灰石产品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65" w:type="pct"/>
                  <w:tcBorders>
                    <w:left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S</w:t>
                  </w:r>
                </w:p>
              </w:tc>
              <w:tc>
                <w:tcPr>
                  <w:tcW w:w="884" w:type="pct"/>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hint="default" w:eastAsia="新宋体"/>
                      <w:sz w:val="18"/>
                      <w:szCs w:val="18"/>
                      <w:lang w:val="en-US" w:eastAsia="zh-CN"/>
                    </w:rPr>
                  </w:pPr>
                  <w:r>
                    <w:rPr>
                      <w:spacing w:val="-3"/>
                      <w:sz w:val="18"/>
                      <w:szCs w:val="18"/>
                    </w:rPr>
                    <w:t>平方米</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hint="eastAsia" w:eastAsia="宋体" w:cs="Times New Roman"/>
                      <w:spacing w:val="-3"/>
                      <w:sz w:val="18"/>
                      <w:szCs w:val="18"/>
                      <w:lang w:val="en-US" w:eastAsia="zh-CN"/>
                    </w:rPr>
                    <w:t>6</w:t>
                  </w:r>
                  <w:r>
                    <w:rPr>
                      <w:rFonts w:ascii="Times New Roman" w:hAnsi="Times New Roman" w:eastAsia="Times New Roman" w:cs="Times New Roman"/>
                      <w:spacing w:val="-3"/>
                      <w:sz w:val="18"/>
                      <w:szCs w:val="18"/>
                    </w:rPr>
                    <w:t>00</w:t>
                  </w:r>
                </w:p>
              </w:tc>
              <w:tc>
                <w:tcPr>
                  <w:tcW w:w="2661" w:type="pct"/>
                  <w:tcBorders>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rFonts w:hint="eastAsia"/>
                      <w:spacing w:val="-1"/>
                      <w:sz w:val="18"/>
                      <w:szCs w:val="18"/>
                      <w:lang w:val="en-US" w:eastAsia="zh-CN"/>
                    </w:rPr>
                    <w:t>石子堆场</w:t>
                  </w:r>
                  <w:r>
                    <w:rPr>
                      <w:spacing w:val="-1"/>
                      <w:sz w:val="18"/>
                      <w:szCs w:val="18"/>
                    </w:rPr>
                    <w:t>占地面积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trPr>
              <w:tc>
                <w:tcPr>
                  <w:tcW w:w="665" w:type="pct"/>
                  <w:tcBorders>
                    <w:left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C</w:t>
                  </w:r>
                  <w:r>
                    <w:rPr>
                      <w:rFonts w:ascii="Times New Roman" w:hAnsi="Times New Roman" w:eastAsia="Times New Roman" w:cs="Times New Roman"/>
                      <w:spacing w:val="-2"/>
                      <w:position w:val="-1"/>
                      <w:sz w:val="11"/>
                      <w:szCs w:val="11"/>
                    </w:rPr>
                    <w:t>m</w:t>
                  </w:r>
                </w:p>
              </w:tc>
              <w:tc>
                <w:tcPr>
                  <w:tcW w:w="884"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88" w:type="pct"/>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tc>
              <w:tc>
                <w:tcPr>
                  <w:tcW w:w="2661" w:type="pct"/>
                  <w:tcBorders>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spacing w:val="-1"/>
                      <w:sz w:val="18"/>
                      <w:szCs w:val="18"/>
                    </w:rPr>
                    <w:t>采用编织覆盖抑尘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6" w:hRule="atLeast"/>
              </w:trPr>
              <w:tc>
                <w:tcPr>
                  <w:tcW w:w="665" w:type="pct"/>
                  <w:tcBorders>
                    <w:left w:val="single" w:color="000000" w:sz="2" w:space="0"/>
                    <w:bottom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T</w:t>
                  </w:r>
                  <w:r>
                    <w:rPr>
                      <w:rFonts w:ascii="Times New Roman" w:hAnsi="Times New Roman" w:eastAsia="Times New Roman" w:cs="Times New Roman"/>
                      <w:spacing w:val="-1"/>
                      <w:position w:val="-1"/>
                      <w:sz w:val="11"/>
                      <w:szCs w:val="11"/>
                    </w:rPr>
                    <w:t>m</w:t>
                  </w:r>
                </w:p>
              </w:tc>
              <w:tc>
                <w:tcPr>
                  <w:tcW w:w="884" w:type="pct"/>
                  <w:tcBorders>
                    <w:bottom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88" w:type="pct"/>
                  <w:tcBorders>
                    <w:bottom w:val="single" w:color="000000" w:sz="2" w:space="0"/>
                  </w:tcBorders>
                  <w:tcMar>
                    <w:top w:w="0" w:type="dxa"/>
                    <w:left w:w="57" w:type="dxa"/>
                    <w:bottom w:w="0" w:type="dxa"/>
                    <w:right w:w="57" w:type="dxa"/>
                  </w:tcMar>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2661" w:type="pct"/>
                  <w:tcBorders>
                    <w:bottom w:val="single" w:color="000000" w:sz="2" w:space="0"/>
                    <w:right w:val="single" w:color="000000" w:sz="6" w:space="0"/>
                  </w:tcBorders>
                  <w:tcMar>
                    <w:top w:w="0" w:type="dxa"/>
                    <w:left w:w="57" w:type="dxa"/>
                    <w:bottom w:w="0" w:type="dxa"/>
                    <w:right w:w="57" w:type="dxa"/>
                  </w:tcMar>
                  <w:vAlign w:val="center"/>
                </w:tcPr>
                <w:p>
                  <w:pPr>
                    <w:pStyle w:val="29"/>
                    <w:keepNext w:val="0"/>
                    <w:keepLines w:val="0"/>
                    <w:pageBreakBefore w:val="0"/>
                    <w:widowControl/>
                    <w:kinsoku w:val="0"/>
                    <w:wordWrap/>
                    <w:overflowPunct/>
                    <w:topLinePunct w:val="0"/>
                    <w:autoSpaceDE w:val="0"/>
                    <w:autoSpaceDN w:val="0"/>
                    <w:bidi w:val="0"/>
                    <w:adjustRightInd w:val="0"/>
                    <w:snapToGrid w:val="0"/>
                    <w:spacing w:line="320" w:lineRule="exact"/>
                    <w:ind w:left="0" w:right="0" w:firstLine="0"/>
                    <w:jc w:val="center"/>
                    <w:textAlignment w:val="baseline"/>
                    <w:rPr>
                      <w:sz w:val="18"/>
                      <w:szCs w:val="18"/>
                    </w:rPr>
                  </w:pPr>
                  <w:r>
                    <w:rPr>
                      <w:rFonts w:hint="eastAsia"/>
                      <w:spacing w:val="-1"/>
                      <w:sz w:val="18"/>
                      <w:szCs w:val="18"/>
                      <w:lang w:val="en-US" w:eastAsia="zh-CN"/>
                    </w:rPr>
                    <w:t>石子堆场</w:t>
                  </w:r>
                  <w:r>
                    <w:rPr>
                      <w:spacing w:val="-1"/>
                      <w:sz w:val="18"/>
                      <w:szCs w:val="18"/>
                    </w:rPr>
                    <w:t>为半敞开式（</w:t>
                  </w:r>
                  <w:r>
                    <w:rPr>
                      <w:rFonts w:hint="eastAsia"/>
                      <w:spacing w:val="-1"/>
                      <w:sz w:val="18"/>
                      <w:szCs w:val="18"/>
                      <w:lang w:val="en-US" w:eastAsia="zh-CN"/>
                    </w:rPr>
                    <w:t>苫盖密目防尘布+雾炮降尘</w:t>
                  </w:r>
                  <w:r>
                    <w:rPr>
                      <w:spacing w:val="-1"/>
                      <w:sz w:val="18"/>
                      <w:szCs w:val="18"/>
                    </w:rPr>
                    <w:t>）</w:t>
                  </w:r>
                </w:p>
              </w:tc>
            </w:tr>
          </w:tbl>
          <w:p>
            <w:pPr>
              <w:pStyle w:val="44"/>
              <w:bidi w:val="0"/>
              <w:ind w:left="0" w:leftChars="0" w:firstLine="0" w:firstLineChars="0"/>
              <w:rPr>
                <w:rFonts w:hint="default" w:ascii="Times New Roman" w:hAnsi="Times New Roman" w:cs="Times New Roman"/>
                <w:highlight w:val="none"/>
                <w:lang w:val="en-US" w:eastAsia="zh-CN"/>
              </w:rPr>
            </w:pP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综上，本项目砂子储存颗粒物产生量P={</w:t>
            </w:r>
            <w:r>
              <w:rPr>
                <w:rFonts w:hint="eastAsia" w:cs="Times New Roman"/>
                <w:highlight w:val="none"/>
                <w:lang w:val="en-US" w:eastAsia="zh-CN"/>
              </w:rPr>
              <w:t>65</w:t>
            </w:r>
            <w:r>
              <w:rPr>
                <w:rFonts w:hint="default" w:ascii="Times New Roman" w:hAnsi="Times New Roman" w:cs="Times New Roman"/>
                <w:highlight w:val="none"/>
                <w:lang w:val="en-US" w:eastAsia="zh-CN"/>
              </w:rPr>
              <w:t>×20×0.65+2×3.6062×</w:t>
            </w:r>
            <w:r>
              <w:rPr>
                <w:rFonts w:hint="eastAsia" w:cs="Times New Roman"/>
                <w:highlight w:val="none"/>
                <w:lang w:val="en-US" w:eastAsia="zh-CN"/>
              </w:rPr>
              <w:t>6</w:t>
            </w:r>
            <w:r>
              <w:rPr>
                <w:rFonts w:hint="default" w:ascii="Times New Roman" w:hAnsi="Times New Roman" w:cs="Times New Roman"/>
                <w:highlight w:val="none"/>
                <w:lang w:val="en-US" w:eastAsia="zh-CN"/>
              </w:rPr>
              <w:t>00}×</w:t>
            </w:r>
          </w:p>
          <w:p>
            <w:pPr>
              <w:pStyle w:val="44"/>
              <w:bidi w:val="0"/>
              <w:ind w:left="0" w:lef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w:t>
            </w:r>
            <w:r>
              <w:rPr>
                <w:rFonts w:hint="eastAsia" w:cs="Times New Roman"/>
                <w:highlight w:val="none"/>
                <w:lang w:val="en-US" w:eastAsia="zh-CN"/>
              </w:rPr>
              <w:t>5.172</w:t>
            </w:r>
            <w:r>
              <w:rPr>
                <w:rFonts w:hint="default" w:ascii="Times New Roman" w:hAnsi="Times New Roman" w:cs="Times New Roman"/>
                <w:highlight w:val="none"/>
                <w:lang w:val="en-US" w:eastAsia="zh-CN"/>
              </w:rPr>
              <w:t>t/a。颗粒物排放量U</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w:t>
            </w:r>
            <w:r>
              <w:rPr>
                <w:rFonts w:hint="eastAsia" w:cs="Times New Roman"/>
                <w:highlight w:val="none"/>
                <w:lang w:val="en-US" w:eastAsia="zh-CN"/>
              </w:rPr>
              <w:t>5.172</w:t>
            </w:r>
            <w:r>
              <w:rPr>
                <w:rFonts w:hint="default" w:ascii="Times New Roman" w:hAnsi="Times New Roman" w:cs="Times New Roman"/>
                <w:highlight w:val="none"/>
                <w:lang w:val="en-US" w:eastAsia="zh-CN"/>
              </w:rPr>
              <w:t>×(1−86%)×(1−60%)=0.</w:t>
            </w:r>
            <w:r>
              <w:rPr>
                <w:rFonts w:hint="eastAsia" w:cs="Times New Roman"/>
                <w:highlight w:val="none"/>
                <w:lang w:val="en-US" w:eastAsia="zh-CN"/>
              </w:rPr>
              <w:t>290</w:t>
            </w:r>
            <w:r>
              <w:rPr>
                <w:rFonts w:hint="default" w:ascii="Times New Roman" w:hAnsi="Times New Roman" w:cs="Times New Roman"/>
                <w:highlight w:val="none"/>
                <w:lang w:val="en-US" w:eastAsia="zh-CN"/>
              </w:rPr>
              <w:t>t/a。</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经过计算本项目石子堆场无组织粉尘</w:t>
            </w:r>
            <w:r>
              <w:rPr>
                <w:rFonts w:hint="eastAsia" w:cs="Times New Roman"/>
                <w:highlight w:val="none"/>
                <w:lang w:val="en-US" w:eastAsia="zh-CN"/>
              </w:rPr>
              <w:t>排放量</w:t>
            </w:r>
            <w:r>
              <w:rPr>
                <w:rFonts w:hint="default" w:ascii="Times New Roman" w:hAnsi="Times New Roman" w:cs="Times New Roman"/>
                <w:highlight w:val="none"/>
                <w:lang w:val="en-US" w:eastAsia="zh-CN"/>
              </w:rPr>
              <w:t>为0.</w:t>
            </w:r>
            <w:r>
              <w:rPr>
                <w:rFonts w:hint="eastAsia" w:ascii="Times New Roman" w:hAnsi="Times New Roman" w:cs="Times New Roman"/>
                <w:highlight w:val="none"/>
                <w:lang w:val="en-US" w:eastAsia="zh-CN"/>
              </w:rPr>
              <w:t>2</w:t>
            </w:r>
            <w:r>
              <w:rPr>
                <w:rFonts w:hint="eastAsia" w:cs="Times New Roman"/>
                <w:highlight w:val="none"/>
                <w:lang w:val="en-US" w:eastAsia="zh-CN"/>
              </w:rPr>
              <w:t>90</w:t>
            </w:r>
            <w:r>
              <w:rPr>
                <w:rFonts w:hint="default" w:ascii="Times New Roman" w:hAnsi="Times New Roman" w:cs="Times New Roman"/>
                <w:highlight w:val="none"/>
                <w:lang w:val="en-US" w:eastAsia="zh-CN"/>
              </w:rPr>
              <w:t>t/a（0.0</w:t>
            </w:r>
            <w:r>
              <w:rPr>
                <w:rFonts w:hint="eastAsia" w:cs="Times New Roman"/>
                <w:highlight w:val="none"/>
                <w:lang w:val="en-US" w:eastAsia="zh-CN"/>
              </w:rPr>
              <w:t>5753</w:t>
            </w:r>
            <w:r>
              <w:rPr>
                <w:rFonts w:hint="default" w:ascii="Times New Roman" w:hAnsi="Times New Roman" w:cs="Times New Roman"/>
                <w:highlight w:val="none"/>
                <w:lang w:val="en-US" w:eastAsia="zh-CN"/>
              </w:rPr>
              <w:t>kg/h）。</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根据《工业料堆场扬尘整治规范》（DB65/T 4061-2017）</w:t>
            </w:r>
            <w:r>
              <w:rPr>
                <w:rFonts w:hint="eastAsia" w:cs="Times New Roman"/>
                <w:highlight w:val="none"/>
                <w:lang w:val="en-US" w:eastAsia="zh-CN"/>
              </w:rPr>
              <w:t>，</w:t>
            </w:r>
            <w:r>
              <w:rPr>
                <w:rFonts w:hint="default" w:ascii="Times New Roman" w:hAnsi="Times New Roman" w:cs="Times New Roman"/>
                <w:highlight w:val="none"/>
                <w:lang w:val="en-US" w:eastAsia="zh-CN"/>
              </w:rPr>
              <w:t>环评</w:t>
            </w:r>
            <w:r>
              <w:rPr>
                <w:rFonts w:hint="eastAsia" w:ascii="Times New Roman" w:hAnsi="Times New Roman" w:cs="Times New Roman"/>
                <w:highlight w:val="none"/>
                <w:lang w:val="en-US" w:eastAsia="zh-CN"/>
              </w:rPr>
              <w:t>提出露天堆场</w:t>
            </w:r>
            <w:r>
              <w:rPr>
                <w:rFonts w:hint="eastAsia" w:cs="Times New Roman"/>
                <w:highlight w:val="none"/>
                <w:lang w:val="en-US" w:eastAsia="zh-CN"/>
              </w:rPr>
              <w:t>扬尘防治措施有</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A.工业料堆场的污染防治应从源头控制，减少堆存量，通过优化生产原料配置、厂区布置等措施减少</w:t>
            </w:r>
            <w:r>
              <w:rPr>
                <w:rFonts w:hint="eastAsia" w:cs="Times New Roman"/>
                <w:highlight w:val="none"/>
                <w:lang w:val="en-US" w:eastAsia="zh-CN"/>
              </w:rPr>
              <w:t>扬尘</w:t>
            </w:r>
            <w:r>
              <w:rPr>
                <w:rFonts w:hint="eastAsia" w:ascii="Times New Roman" w:hAnsi="Times New Roman" w:cs="Times New Roman"/>
                <w:highlight w:val="none"/>
                <w:lang w:val="en-US" w:eastAsia="zh-CN"/>
              </w:rPr>
              <w:t>，工业料堆场应布置在厂区的最小风频方向上</w:t>
            </w:r>
            <w:r>
              <w:rPr>
                <w:rFonts w:hint="default"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B.</w:t>
            </w:r>
            <w:r>
              <w:rPr>
                <w:rFonts w:hint="default" w:ascii="Times New Roman" w:hAnsi="Times New Roman" w:cs="Times New Roman"/>
                <w:highlight w:val="none"/>
                <w:lang w:val="en-US" w:eastAsia="zh-CN"/>
              </w:rPr>
              <w:t>对厂区内运输道路进行硬化处理，建设单位应落实安排人员对硬化道路定期进行清扫，保证地面清洁</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C.</w:t>
            </w:r>
            <w:r>
              <w:rPr>
                <w:rFonts w:hint="eastAsia" w:cs="Times New Roman"/>
                <w:highlight w:val="none"/>
                <w:lang w:val="en-US" w:eastAsia="zh-CN"/>
              </w:rPr>
              <w:t>石子</w:t>
            </w:r>
            <w:r>
              <w:rPr>
                <w:rFonts w:hint="default" w:ascii="Times New Roman" w:hAnsi="Times New Roman" w:cs="Times New Roman"/>
                <w:highlight w:val="none"/>
                <w:lang w:val="en-US" w:eastAsia="zh-CN"/>
              </w:rPr>
              <w:t>堆</w:t>
            </w:r>
            <w:r>
              <w:rPr>
                <w:rFonts w:hint="eastAsia" w:cs="Times New Roman"/>
                <w:highlight w:val="none"/>
                <w:lang w:val="en-US" w:eastAsia="zh-CN"/>
              </w:rPr>
              <w:t>场布设</w:t>
            </w:r>
            <w:r>
              <w:rPr>
                <w:rFonts w:hint="default" w:ascii="Times New Roman" w:hAnsi="Times New Roman" w:cs="Times New Roman"/>
                <w:highlight w:val="none"/>
                <w:lang w:val="en-US" w:eastAsia="zh-CN"/>
              </w:rPr>
              <w:t>喷淋装置，增加湿度，减少扬尘量</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D.运输</w:t>
            </w:r>
            <w:r>
              <w:rPr>
                <w:rFonts w:hint="default" w:ascii="Times New Roman" w:hAnsi="Times New Roman" w:cs="Times New Roman"/>
                <w:highlight w:val="none"/>
                <w:lang w:val="en-US" w:eastAsia="zh-CN"/>
              </w:rPr>
              <w:t>车辆行驶的路面每天洒水2～3次</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E.</w:t>
            </w:r>
            <w:r>
              <w:rPr>
                <w:rFonts w:hint="default" w:ascii="Times New Roman" w:hAnsi="Times New Roman" w:cs="Times New Roman"/>
                <w:highlight w:val="none"/>
                <w:lang w:val="en-US" w:eastAsia="zh-CN"/>
              </w:rPr>
              <w:t>要求装卸过程装载机与汽车尽量在同一水平面上，减少落差，要求装卸时对装卸点配套移动式喷雾炮进行洒水抑尘</w:t>
            </w:r>
            <w:r>
              <w:rPr>
                <w:rFonts w:hint="eastAsia"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F.运输</w:t>
            </w:r>
            <w:r>
              <w:rPr>
                <w:rFonts w:hint="default" w:ascii="Times New Roman" w:hAnsi="Times New Roman" w:cs="Times New Roman"/>
                <w:highlight w:val="none"/>
                <w:lang w:val="en-US" w:eastAsia="zh-CN"/>
              </w:rPr>
              <w:t>车辆加盖篷布，防止运输过程中物料洒落及扬尘飘散</w:t>
            </w:r>
            <w:r>
              <w:rPr>
                <w:rFonts w:hint="eastAsia"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r>
              <w:rPr>
                <w:rFonts w:hint="eastAsia" w:cs="Times New Roman"/>
                <w:highlight w:val="none"/>
                <w:lang w:val="en-US" w:eastAsia="zh-CN"/>
              </w:rPr>
              <w:t>4</w:t>
            </w:r>
            <w:r>
              <w:rPr>
                <w:rFonts w:hint="eastAsia" w:ascii="Times New Roman" w:hAnsi="Times New Roman" w:cs="Times New Roman"/>
                <w:highlight w:val="none"/>
                <w:lang w:val="en-US" w:eastAsia="zh-CN"/>
              </w:rPr>
              <w:t>）运输扬尘</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本项目主要运输工具为汽车，在运输过程中不可避免产生少量扬尘，当天气条件不利时</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如大风</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扬尘现象会较严重。</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本项目选取《汽车道路扬尘规律研究》中的经验公式进行计算，公式如下：</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0" distR="0">
                  <wp:extent cx="2406650" cy="438150"/>
                  <wp:effectExtent l="0" t="0" r="12700" b="0"/>
                  <wp:docPr id="10" name="IM 46"/>
                  <wp:cNvGraphicFramePr/>
                  <a:graphic xmlns:a="http://schemas.openxmlformats.org/drawingml/2006/main">
                    <a:graphicData uri="http://schemas.openxmlformats.org/drawingml/2006/picture">
                      <pic:pic xmlns:pic="http://schemas.openxmlformats.org/drawingml/2006/picture">
                        <pic:nvPicPr>
                          <pic:cNvPr id="10" name="IM 46"/>
                          <pic:cNvPicPr/>
                        </pic:nvPicPr>
                        <pic:blipFill>
                          <a:blip r:embed="rId15"/>
                          <a:stretch>
                            <a:fillRect/>
                          </a:stretch>
                        </pic:blipFill>
                        <pic:spPr>
                          <a:xfrm>
                            <a:off x="0" y="0"/>
                            <a:ext cx="2406650" cy="438150"/>
                          </a:xfrm>
                          <a:prstGeom prst="rect">
                            <a:avLst/>
                          </a:prstGeom>
                          <a:noFill/>
                          <a:ln>
                            <a:noFill/>
                          </a:ln>
                        </pic:spPr>
                      </pic:pic>
                    </a:graphicData>
                  </a:graphic>
                </wp:inline>
              </w:drawing>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式中：Q</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汽车行驶的起尘量，</w:t>
            </w:r>
            <w:r>
              <w:rPr>
                <w:rFonts w:hint="eastAsia" w:cs="Times New Roman"/>
                <w:highlight w:val="none"/>
                <w:lang w:val="en-US" w:eastAsia="zh-CN"/>
              </w:rPr>
              <w:t>（</w:t>
            </w:r>
            <w:r>
              <w:rPr>
                <w:rFonts w:hint="default" w:ascii="Times New Roman" w:hAnsi="Times New Roman" w:cs="Times New Roman"/>
                <w:highlight w:val="none"/>
                <w:lang w:val="en-US" w:eastAsia="zh-CN"/>
              </w:rPr>
              <w:t>kg/km·辆</w:t>
            </w:r>
            <w:r>
              <w:rPr>
                <w:rFonts w:hint="eastAsia" w:cs="Times New Roman"/>
                <w:highlight w:val="none"/>
                <w:lang w:val="en-US" w:eastAsia="zh-CN"/>
              </w:rPr>
              <w:t>）</w:t>
            </w:r>
            <w:r>
              <w:rPr>
                <w:rFonts w:hint="eastAsia"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V</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汽车行驶速度，km/h</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场内限速5km/h</w:t>
            </w:r>
            <w:r>
              <w:rPr>
                <w:rFonts w:hint="eastAsia" w:ascii="Times New Roman" w:hAnsi="Times New Roman" w:cs="Times New Roman"/>
                <w:highlight w:val="none"/>
                <w:lang w:val="en-US" w:eastAsia="zh-CN"/>
              </w:rPr>
              <w:t>；</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W—汽车载重量</w:t>
            </w:r>
            <w:r>
              <w:rPr>
                <w:rFonts w:hint="eastAsia" w:cs="Times New Roman"/>
                <w:highlight w:val="none"/>
                <w:lang w:val="en-US" w:eastAsia="zh-CN"/>
              </w:rPr>
              <w:t>（</w:t>
            </w:r>
            <w:r>
              <w:rPr>
                <w:rFonts w:hint="default" w:ascii="Times New Roman" w:hAnsi="Times New Roman" w:cs="Times New Roman"/>
                <w:highlight w:val="none"/>
                <w:lang w:val="en-US" w:eastAsia="zh-CN"/>
              </w:rPr>
              <w:t>t/辆</w:t>
            </w:r>
            <w:r>
              <w:rPr>
                <w:rFonts w:hint="eastAsia"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取</w:t>
            </w:r>
            <w:r>
              <w:rPr>
                <w:rFonts w:hint="eastAsia" w:cs="Times New Roman"/>
                <w:highlight w:val="none"/>
                <w:lang w:val="en-US" w:eastAsia="zh-CN"/>
              </w:rPr>
              <w:t>2</w:t>
            </w:r>
            <w:r>
              <w:rPr>
                <w:rFonts w:hint="default" w:ascii="Times New Roman" w:hAnsi="Times New Roman" w:cs="Times New Roman"/>
                <w:highlight w:val="none"/>
                <w:lang w:val="en-US" w:eastAsia="zh-CN"/>
              </w:rPr>
              <w:t>0t/辆；</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P—道路表面物料量kg/m²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0.05～0.1kg/m²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环评设计取最大值0.1kg/m²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采用上述公式，运输采用</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辆</w:t>
            </w:r>
            <w:r>
              <w:rPr>
                <w:rFonts w:hint="eastAsia" w:cs="Times New Roman"/>
                <w:highlight w:val="none"/>
                <w:lang w:val="en-US" w:eastAsia="zh-CN"/>
              </w:rPr>
              <w:t>2</w:t>
            </w:r>
            <w:r>
              <w:rPr>
                <w:rFonts w:hint="default" w:ascii="Times New Roman" w:hAnsi="Times New Roman" w:cs="Times New Roman"/>
                <w:highlight w:val="none"/>
                <w:lang w:val="en-US" w:eastAsia="zh-CN"/>
              </w:rPr>
              <w:t>0t载重的自卸汽车，</w:t>
            </w:r>
            <w:r>
              <w:rPr>
                <w:rFonts w:hint="eastAsia" w:ascii="Times New Roman" w:hAnsi="Times New Roman" w:cs="Times New Roman"/>
                <w:highlight w:val="none"/>
                <w:lang w:val="en-US" w:eastAsia="zh-CN"/>
              </w:rPr>
              <w:t>平均每年运输</w:t>
            </w:r>
            <w:r>
              <w:rPr>
                <w:rFonts w:hint="eastAsia" w:cs="Times New Roman"/>
                <w:highlight w:val="none"/>
                <w:lang w:val="en-US" w:eastAsia="zh-CN"/>
              </w:rPr>
              <w:t>10</w:t>
            </w:r>
            <w:r>
              <w:rPr>
                <w:rFonts w:hint="eastAsia" w:ascii="Times New Roman" w:hAnsi="Times New Roman" w:cs="Times New Roman"/>
                <w:highlight w:val="none"/>
                <w:lang w:val="en-US" w:eastAsia="zh-CN"/>
              </w:rPr>
              <w:t>0</w:t>
            </w:r>
            <w:r>
              <w:rPr>
                <w:rFonts w:hint="default" w:ascii="Times New Roman" w:hAnsi="Times New Roman" w:cs="Times New Roman"/>
                <w:highlight w:val="none"/>
                <w:lang w:val="en-US" w:eastAsia="zh-CN"/>
              </w:rPr>
              <w:t>次，项目区内运输单趟往返路程取0.1</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km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每辆汽车每公里扬尘量Q为0.</w:t>
            </w:r>
            <w:r>
              <w:rPr>
                <w:rFonts w:hint="eastAsia" w:cs="Times New Roman"/>
                <w:highlight w:val="none"/>
                <w:lang w:val="en-US" w:eastAsia="zh-CN"/>
              </w:rPr>
              <w:t>0966</w:t>
            </w:r>
            <w:r>
              <w:rPr>
                <w:rFonts w:hint="default" w:ascii="Times New Roman" w:hAnsi="Times New Roman" w:cs="Times New Roman"/>
                <w:highlight w:val="none"/>
                <w:lang w:val="en-US" w:eastAsia="zh-CN"/>
              </w:rPr>
              <w:t>kg/km·辆，运输扬尘总量为</w:t>
            </w:r>
            <w:r>
              <w:rPr>
                <w:rFonts w:hint="eastAsia" w:ascii="Times New Roman" w:hAnsi="Times New Roman" w:cs="Times New Roman"/>
                <w:highlight w:val="none"/>
                <w:lang w:val="en-US" w:eastAsia="zh-CN"/>
              </w:rPr>
              <w:t>1.</w:t>
            </w:r>
            <w:r>
              <w:rPr>
                <w:rFonts w:hint="eastAsia" w:cs="Times New Roman"/>
                <w:highlight w:val="none"/>
                <w:lang w:val="en-US" w:eastAsia="zh-CN"/>
              </w:rPr>
              <w:t>449</w:t>
            </w:r>
            <w:r>
              <w:rPr>
                <w:rFonts w:hint="default" w:ascii="Times New Roman" w:hAnsi="Times New Roman" w:cs="Times New Roman"/>
                <w:highlight w:val="none"/>
                <w:lang w:val="en-US" w:eastAsia="zh-CN"/>
              </w:rPr>
              <w:t>kg/a</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产生速率为0.</w:t>
            </w:r>
            <w:r>
              <w:rPr>
                <w:rFonts w:hint="eastAsia" w:cs="Times New Roman"/>
                <w:highlight w:val="none"/>
                <w:lang w:val="en-US" w:eastAsia="zh-CN"/>
              </w:rPr>
              <w:t>863</w:t>
            </w:r>
            <w:r>
              <w:rPr>
                <w:rFonts w:hint="default" w:ascii="Times New Roman" w:hAnsi="Times New Roman" w:cs="Times New Roman"/>
                <w:highlight w:val="none"/>
                <w:lang w:val="en-US" w:eastAsia="zh-CN"/>
              </w:rPr>
              <w:t>kg/h。对车辆出厂时进行清洗，运输过程中采取加盖篷布、控制装载量、限速措施后，本项目场区在除雨天均进行2次以上洒水降尘，使地面尘土的含水达到8%～10%。</w:t>
            </w:r>
          </w:p>
          <w:p>
            <w:pPr>
              <w:pStyle w:val="4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由于扬尘粒径较大，90%以上的扬尘在道路两侧10m内沉降，道路扬尘主要影响其两侧附近的环境空气，通过在厂区设置洗车平台，路面定期洒水等措施，可降尘80%，则车辆运输扬尘量为0.00</w:t>
            </w:r>
            <w:r>
              <w:rPr>
                <w:rFonts w:hint="eastAsia" w:ascii="Times New Roman" w:hAnsi="Times New Roman" w:cs="Times New Roman"/>
                <w:highlight w:val="none"/>
                <w:lang w:val="en-US" w:eastAsia="zh-CN"/>
              </w:rPr>
              <w:t>02</w:t>
            </w:r>
            <w:r>
              <w:rPr>
                <w:rFonts w:hint="eastAsia" w:cs="Times New Roman"/>
                <w:highlight w:val="none"/>
                <w:lang w:val="en-US" w:eastAsia="zh-CN"/>
              </w:rPr>
              <w:t>9</w:t>
            </w:r>
            <w:r>
              <w:rPr>
                <w:rFonts w:hint="default" w:ascii="Times New Roman" w:hAnsi="Times New Roman" w:cs="Times New Roman"/>
                <w:highlight w:val="none"/>
                <w:lang w:val="en-US" w:eastAsia="zh-CN"/>
              </w:rPr>
              <w:t>t/a，排放速率为0.00</w:t>
            </w:r>
            <w:r>
              <w:rPr>
                <w:rFonts w:hint="eastAsia" w:cs="Times New Roman"/>
                <w:highlight w:val="none"/>
                <w:lang w:val="en-US" w:eastAsia="zh-CN"/>
              </w:rPr>
              <w:t>02</w:t>
            </w:r>
            <w:r>
              <w:rPr>
                <w:rFonts w:hint="default" w:ascii="Times New Roman" w:hAnsi="Times New Roman" w:cs="Times New Roman"/>
                <w:highlight w:val="none"/>
                <w:lang w:val="en-US" w:eastAsia="zh-CN"/>
              </w:rPr>
              <w:t>kg/h，呈无组织排放，道路扬尘对外环境影响较小。</w:t>
            </w:r>
          </w:p>
          <w:p>
            <w:pPr>
              <w:pStyle w:val="4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5</w:t>
            </w:r>
            <w:r>
              <w:rPr>
                <w:rFonts w:hint="default" w:ascii="Times New Roman" w:hAnsi="Times New Roman" w:cs="Times New Roman"/>
                <w:highlight w:val="none"/>
                <w:lang w:val="en-US" w:eastAsia="zh-CN"/>
              </w:rPr>
              <w:t>）食堂油烟</w:t>
            </w:r>
          </w:p>
          <w:p>
            <w:pPr>
              <w:pStyle w:val="4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本项目食堂基准灶头数预设为1个，年有效工作</w:t>
            </w:r>
            <w:r>
              <w:rPr>
                <w:rFonts w:hint="eastAsia" w:ascii="Times New Roman" w:hAnsi="Times New Roman" w:cs="Times New Roman"/>
                <w:highlight w:val="none"/>
                <w:lang w:val="en-US" w:eastAsia="zh-CN"/>
              </w:rPr>
              <w:t>日210</w:t>
            </w:r>
            <w:r>
              <w:rPr>
                <w:rFonts w:hint="default" w:ascii="Times New Roman" w:hAnsi="Times New Roman" w:cs="Times New Roman"/>
                <w:highlight w:val="none"/>
                <w:lang w:val="en-US" w:eastAsia="zh-CN"/>
              </w:rPr>
              <w:t>天，日工作时间约</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h计。本项目参照《餐饮业环境保护工程技术指南》（DB61/T1307-2019）的相关要求配套设置静电式油烟净化器+附壁油烟管道将油烟引至屋顶排放，风机风量为2000m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/h。根据生态环境部2021年6月11日发布的《排放源统计调查产排污核算方法和系数手册》中生活污染源产排污系数手册——三区油烟排污系数为301g/人·a（三区指地域分类，新疆属于手册中区域划分中的三区）。</w:t>
            </w:r>
          </w:p>
          <w:p>
            <w:pPr>
              <w:pStyle w:val="4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本项目劳动定员1</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人，则年油烟产生量约0.</w:t>
            </w:r>
            <w:r>
              <w:rPr>
                <w:rFonts w:hint="eastAsia" w:cs="Times New Roman"/>
                <w:highlight w:val="none"/>
                <w:lang w:val="en-US" w:eastAsia="zh-CN"/>
              </w:rPr>
              <w:t>0</w:t>
            </w:r>
            <w:r>
              <w:rPr>
                <w:rFonts w:hint="default" w:ascii="Times New Roman" w:hAnsi="Times New Roman" w:cs="Times New Roman"/>
                <w:highlight w:val="none"/>
                <w:lang w:val="en-US" w:eastAsia="zh-CN"/>
              </w:rPr>
              <w:t>0</w:t>
            </w:r>
            <w:r>
              <w:rPr>
                <w:rFonts w:hint="eastAsia" w:ascii="Times New Roman" w:hAnsi="Times New Roman" w:cs="Times New Roman"/>
                <w:highlight w:val="none"/>
                <w:lang w:val="en-US" w:eastAsia="zh-CN"/>
              </w:rPr>
              <w:t>4515</w:t>
            </w:r>
            <w:r>
              <w:rPr>
                <w:rFonts w:hint="default" w:ascii="Times New Roman" w:hAnsi="Times New Roman" w:cs="Times New Roman"/>
                <w:highlight w:val="none"/>
                <w:lang w:val="en-US" w:eastAsia="zh-CN"/>
              </w:rPr>
              <w:t>t/a，油烟产生浓度</w:t>
            </w:r>
            <w:r>
              <w:rPr>
                <w:rFonts w:hint="eastAsia" w:cs="Times New Roman"/>
                <w:highlight w:val="none"/>
                <w:lang w:val="en-US" w:eastAsia="zh-CN"/>
              </w:rPr>
              <w:t>约</w:t>
            </w:r>
            <w:r>
              <w:rPr>
                <w:rFonts w:hint="default" w:ascii="Times New Roman" w:hAnsi="Times New Roman" w:cs="Times New Roman"/>
                <w:highlight w:val="none"/>
                <w:lang w:val="en-US" w:eastAsia="zh-CN"/>
              </w:rPr>
              <w:t>1.5mg/m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。在采用处理效率大于</w:t>
            </w:r>
            <w:r>
              <w:rPr>
                <w:rFonts w:hint="eastAsia" w:ascii="Times New Roman" w:hAnsi="Times New Roman" w:cs="Times New Roman"/>
                <w:highlight w:val="none"/>
                <w:lang w:val="en-US" w:eastAsia="zh-CN"/>
              </w:rPr>
              <w:t>60</w:t>
            </w:r>
            <w:r>
              <w:rPr>
                <w:rFonts w:hint="default" w:ascii="Times New Roman" w:hAnsi="Times New Roman" w:cs="Times New Roman"/>
                <w:highlight w:val="none"/>
                <w:lang w:val="en-US" w:eastAsia="zh-CN"/>
              </w:rPr>
              <w:t>%的油烟净化装置净化后，排放浓度为0.</w:t>
            </w:r>
            <w:r>
              <w:rPr>
                <w:rFonts w:hint="eastAsia" w:cs="Times New Roman"/>
                <w:highlight w:val="none"/>
                <w:lang w:val="en-US" w:eastAsia="zh-CN"/>
              </w:rPr>
              <w:t>6</w:t>
            </w:r>
            <w:r>
              <w:rPr>
                <w:rFonts w:hint="default" w:ascii="Times New Roman" w:hAnsi="Times New Roman" w:cs="Times New Roman"/>
                <w:highlight w:val="none"/>
                <w:lang w:val="en-US" w:eastAsia="zh-CN"/>
              </w:rPr>
              <w:t>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，排放量约0.0</w:t>
            </w:r>
            <w:r>
              <w:rPr>
                <w:rFonts w:hint="eastAsia" w:cs="Times New Roman"/>
                <w:highlight w:val="none"/>
                <w:lang w:val="en-US" w:eastAsia="zh-CN"/>
              </w:rPr>
              <w:t>0</w:t>
            </w:r>
            <w:r>
              <w:rPr>
                <w:rFonts w:hint="eastAsia" w:ascii="Times New Roman" w:hAnsi="Times New Roman" w:cs="Times New Roman"/>
                <w:highlight w:val="none"/>
                <w:lang w:val="en-US" w:eastAsia="zh-CN"/>
              </w:rPr>
              <w:t>1806</w:t>
            </w:r>
            <w:r>
              <w:rPr>
                <w:rFonts w:hint="default" w:ascii="Times New Roman" w:hAnsi="Times New Roman" w:cs="Times New Roman"/>
                <w:highlight w:val="none"/>
                <w:lang w:val="en-US" w:eastAsia="zh-CN"/>
              </w:rPr>
              <w:t>t/a。能够满足《饮食业油烟排放标准（试行）》（GB18483-2001），油烟最高允许排放浓度≤2mg/m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标准，油烟废气经处理后引至屋顶排放。</w:t>
            </w:r>
          </w:p>
          <w:p>
            <w:pPr>
              <w:pStyle w:val="4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eastAsia="zh-CN"/>
              </w:rPr>
            </w:pPr>
            <w:r>
              <w:rPr>
                <w:rFonts w:hint="eastAsia" w:cs="Times New Roman"/>
                <w:highlight w:val="none"/>
                <w:lang w:val="en-US" w:eastAsia="zh-CN"/>
              </w:rPr>
              <w:t>1.2</w:t>
            </w:r>
            <w:r>
              <w:rPr>
                <w:rFonts w:hint="default" w:ascii="Times New Roman" w:hAnsi="Times New Roman" w:cs="Times New Roman"/>
                <w:highlight w:val="none"/>
                <w:lang w:val="en-US" w:eastAsia="zh-CN"/>
              </w:rPr>
              <w:t>营运期废气产排污情况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val="en-US" w:eastAsia="zh-CN"/>
              </w:rPr>
              <w:t>项目营运期废气产排污情况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项目营运期废气产排污情况见下表所示。</w:t>
            </w: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p>
            <w:pPr>
              <w:pStyle w:val="9"/>
              <w:rPr>
                <w:rFonts w:hint="default" w:ascii="Times New Roman" w:hAnsi="Times New Roman" w:eastAsia="宋体" w:cs="Times New Roman"/>
                <w:b w:val="0"/>
                <w:bCs/>
                <w:color w:val="auto"/>
                <w:sz w:val="24"/>
                <w:highlight w:val="none"/>
                <w:lang w:val="en-US" w:eastAsia="zh-CN"/>
              </w:rPr>
            </w:pPr>
          </w:p>
        </w:tc>
      </w:tr>
    </w:tbl>
    <w:p>
      <w:pPr>
        <w:adjustRightInd w:val="0"/>
        <w:snapToGrid w:val="0"/>
        <w:spacing w:line="360" w:lineRule="auto"/>
        <w:rPr>
          <w:rFonts w:hint="eastAsia" w:ascii="宋体" w:hAnsi="宋体" w:eastAsia="宋体" w:cs="宋体"/>
          <w:b/>
          <w:color w:val="auto"/>
          <w:kern w:val="0"/>
          <w:sz w:val="28"/>
          <w:szCs w:val="28"/>
          <w:highlight w:val="none"/>
        </w:rPr>
        <w:sectPr>
          <w:headerReference r:id="rId7" w:type="default"/>
          <w:pgSz w:w="11907" w:h="16840"/>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13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8" w:hRule="atLeast"/>
          <w:jc w:val="center"/>
        </w:trPr>
        <w:tc>
          <w:tcPr>
            <w:tcW w:w="148"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运营</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期环</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境影</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响和</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保护</w:t>
            </w:r>
          </w:p>
          <w:p>
            <w:pPr>
              <w:adjustRightInd w:val="0"/>
              <w:snapToGrid w:val="0"/>
              <w:jc w:val="center"/>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rPr>
              <w:t>措施</w:t>
            </w:r>
          </w:p>
        </w:tc>
        <w:tc>
          <w:tcPr>
            <w:tcW w:w="4851" w:type="pct"/>
            <w:noWrap/>
            <w:vAlign w:val="top"/>
          </w:tcPr>
          <w:p>
            <w:pPr>
              <w:keepNext w:val="0"/>
              <w:keepLines w:val="0"/>
              <w:widowControl/>
              <w:suppressLineNumbers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 4-4  项目废气产排污节点、污染物及治理设施信息表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2"/>
              <w:gridCol w:w="893"/>
              <w:gridCol w:w="1010"/>
              <w:gridCol w:w="958"/>
              <w:gridCol w:w="623"/>
              <w:gridCol w:w="833"/>
              <w:gridCol w:w="1565"/>
              <w:gridCol w:w="667"/>
              <w:gridCol w:w="945"/>
              <w:gridCol w:w="945"/>
              <w:gridCol w:w="966"/>
              <w:gridCol w:w="871"/>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产排污环节</w:t>
                  </w:r>
                </w:p>
              </w:tc>
              <w:tc>
                <w:tcPr>
                  <w:tcW w:w="328"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排放形式</w:t>
                  </w:r>
                </w:p>
              </w:tc>
              <w:tc>
                <w:tcPr>
                  <w:tcW w:w="371"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污染物</w:t>
                  </w:r>
                </w:p>
              </w:tc>
              <w:tc>
                <w:tcPr>
                  <w:tcW w:w="352"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污染物产生量t/a</w:t>
                  </w:r>
                </w:p>
              </w:tc>
              <w:tc>
                <w:tcPr>
                  <w:tcW w:w="1355" w:type="pct"/>
                  <w:gridSpan w:val="4"/>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治理设施</w:t>
                  </w:r>
                </w:p>
              </w:tc>
              <w:tc>
                <w:tcPr>
                  <w:tcW w:w="347"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污染物排放浓度</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mg/</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p>
              </w:tc>
              <w:tc>
                <w:tcPr>
                  <w:tcW w:w="347"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污染物排放速率</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kg/h</w:t>
                  </w:r>
                </w:p>
              </w:tc>
              <w:tc>
                <w:tcPr>
                  <w:tcW w:w="355"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污染物</w:t>
                  </w:r>
                  <w:r>
                    <w:rPr>
                      <w:rFonts w:hint="eastAsia"/>
                      <w:sz w:val="21"/>
                      <w:szCs w:val="21"/>
                      <w:highlight w:val="none"/>
                      <w:lang w:eastAsia="zh-CN"/>
                    </w:rPr>
                    <w:t>排放量</w:t>
                  </w:r>
                  <w:r>
                    <w:rPr>
                      <w:sz w:val="21"/>
                      <w:szCs w:val="21"/>
                      <w:highlight w:val="none"/>
                    </w:rPr>
                    <w:t>t/a</w:t>
                  </w:r>
                </w:p>
              </w:tc>
              <w:tc>
                <w:tcPr>
                  <w:tcW w:w="320"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排放</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口编</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号</w:t>
                  </w:r>
                </w:p>
              </w:tc>
              <w:tc>
                <w:tcPr>
                  <w:tcW w:w="717"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28"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71"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52"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229"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收集</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效率</w:t>
                  </w:r>
                </w:p>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w:t>
                  </w:r>
                </w:p>
              </w:tc>
              <w:tc>
                <w:tcPr>
                  <w:tcW w:w="306"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处理能力</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sz w:val="21"/>
                      <w:szCs w:val="21"/>
                      <w:highlight w:val="none"/>
                    </w:rPr>
                    <w:t>/h</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工艺及去除率</w:t>
                  </w:r>
                </w:p>
              </w:tc>
              <w:tc>
                <w:tcPr>
                  <w:tcW w:w="24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是否为可行技术</w:t>
                  </w:r>
                </w:p>
              </w:tc>
              <w:tc>
                <w:tcPr>
                  <w:tcW w:w="347"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47"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55"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320"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c>
                <w:tcPr>
                  <w:tcW w:w="717"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kern w:val="2"/>
                      <w:sz w:val="21"/>
                      <w:szCs w:val="21"/>
                      <w:highlight w:val="none"/>
                      <w:lang w:val="zh-CN" w:eastAsia="zh-CN" w:bidi="ar-SA"/>
                    </w:rPr>
                  </w:pPr>
                  <w:r>
                    <w:rPr>
                      <w:rFonts w:hint="eastAsia" w:cs="Times New Roman"/>
                      <w:highlight w:val="none"/>
                      <w:lang w:val="en-US" w:eastAsia="zh-CN"/>
                    </w:rPr>
                    <w:t>物料输送粉尘</w:t>
                  </w:r>
                </w:p>
              </w:tc>
              <w:tc>
                <w:tcPr>
                  <w:tcW w:w="328"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eastAsia"/>
                      <w:sz w:val="21"/>
                      <w:szCs w:val="21"/>
                      <w:highlight w:val="none"/>
                      <w:lang w:val="en-US" w:eastAsia="zh-CN"/>
                    </w:rPr>
                    <w:t>有</w:t>
                  </w:r>
                  <w:r>
                    <w:rPr>
                      <w:sz w:val="21"/>
                      <w:szCs w:val="21"/>
                      <w:highlight w:val="none"/>
                    </w:rPr>
                    <w:t>组织</w:t>
                  </w:r>
                </w:p>
              </w:tc>
              <w:tc>
                <w:tcPr>
                  <w:tcW w:w="371"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eastAsia"/>
                      <w:sz w:val="21"/>
                      <w:szCs w:val="21"/>
                      <w:highlight w:val="none"/>
                      <w:lang w:val="en-US" w:eastAsia="zh-CN"/>
                    </w:rPr>
                    <w:t>颗粒物</w:t>
                  </w:r>
                </w:p>
              </w:tc>
              <w:tc>
                <w:tcPr>
                  <w:tcW w:w="352"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eastAsia"/>
                      <w:sz w:val="21"/>
                      <w:szCs w:val="21"/>
                      <w:highlight w:val="none"/>
                      <w:lang w:val="en-US" w:eastAsia="zh-CN"/>
                    </w:rPr>
                    <w:t>0.456</w:t>
                  </w:r>
                </w:p>
              </w:tc>
              <w:tc>
                <w:tcPr>
                  <w:tcW w:w="229"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w:t>
                  </w:r>
                </w:p>
              </w:tc>
              <w:tc>
                <w:tcPr>
                  <w:tcW w:w="306"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eastAsia"/>
                      <w:sz w:val="21"/>
                      <w:szCs w:val="21"/>
                      <w:highlight w:val="none"/>
                      <w:lang w:val="en-US" w:eastAsia="zh-CN"/>
                    </w:rPr>
                    <w:t>水泥筒仓仓顶自带脉冲式除尘器、投料料斗设备上方设置软帘包裹，集气罩收集粉尘+布袋除尘器除尘处理，</w:t>
                  </w:r>
                  <w:r>
                    <w:rPr>
                      <w:rFonts w:hint="eastAsia"/>
                      <w:sz w:val="21"/>
                      <w:szCs w:val="21"/>
                      <w:highlight w:val="none"/>
                    </w:rPr>
                    <w:t>除尘效率为9</w:t>
                  </w:r>
                  <w:r>
                    <w:rPr>
                      <w:rFonts w:hint="eastAsia"/>
                      <w:sz w:val="21"/>
                      <w:szCs w:val="21"/>
                      <w:highlight w:val="none"/>
                      <w:lang w:val="en-US" w:eastAsia="zh-CN"/>
                    </w:rPr>
                    <w:t>9</w:t>
                  </w:r>
                  <w:r>
                    <w:rPr>
                      <w:rFonts w:hint="eastAsia"/>
                      <w:sz w:val="21"/>
                      <w:szCs w:val="21"/>
                      <w:highlight w:val="none"/>
                    </w:rPr>
                    <w:t>%</w:t>
                  </w:r>
                </w:p>
              </w:tc>
              <w:tc>
                <w:tcPr>
                  <w:tcW w:w="245"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ascii="Times New Roman" w:hAnsi="Times New Roman" w:eastAsia="宋体" w:cs="Times New Roman"/>
                      <w:kern w:val="2"/>
                      <w:sz w:val="21"/>
                      <w:szCs w:val="21"/>
                      <w:highlight w:val="none"/>
                      <w:lang w:val="en-US" w:eastAsia="zh-CN" w:bidi="ar-SA"/>
                    </w:rPr>
                  </w:pPr>
                  <w:r>
                    <w:rPr>
                      <w:sz w:val="21"/>
                      <w:szCs w:val="21"/>
                      <w:highlight w:val="none"/>
                    </w:rPr>
                    <w:t>是</w:t>
                  </w:r>
                </w:p>
              </w:tc>
              <w:tc>
                <w:tcPr>
                  <w:tcW w:w="347"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sz w:val="21"/>
                      <w:szCs w:val="21"/>
                      <w:highlight w:val="none"/>
                    </w:rPr>
                    <w:t>/</w:t>
                  </w:r>
                </w:p>
              </w:tc>
              <w:tc>
                <w:tcPr>
                  <w:tcW w:w="347"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lang w:val="en-US" w:eastAsia="zh-CN"/>
                    </w:rPr>
                    <w:t>0.</w:t>
                  </w:r>
                  <w:r>
                    <w:rPr>
                      <w:rFonts w:hint="eastAsia"/>
                      <w:sz w:val="21"/>
                      <w:szCs w:val="21"/>
                      <w:highlight w:val="none"/>
                      <w:lang w:val="en-US" w:eastAsia="zh-CN"/>
                    </w:rPr>
                    <w:t>00</w:t>
                  </w:r>
                  <w:r>
                    <w:rPr>
                      <w:rFonts w:hint="default"/>
                      <w:sz w:val="21"/>
                      <w:szCs w:val="21"/>
                      <w:highlight w:val="none"/>
                      <w:lang w:val="en-US" w:eastAsia="zh-CN"/>
                    </w:rPr>
                    <w:t>271</w:t>
                  </w:r>
                </w:p>
              </w:tc>
              <w:tc>
                <w:tcPr>
                  <w:tcW w:w="355"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0.00456</w:t>
                  </w:r>
                </w:p>
              </w:tc>
              <w:tc>
                <w:tcPr>
                  <w:tcW w:w="320"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sz w:val="21"/>
                      <w:szCs w:val="21"/>
                      <w:highlight w:val="none"/>
                    </w:rPr>
                    <w:t>DA001</w:t>
                  </w:r>
                  <w:r>
                    <w:rPr>
                      <w:rFonts w:hint="eastAsia"/>
                      <w:sz w:val="21"/>
                      <w:szCs w:val="21"/>
                      <w:highlight w:val="none"/>
                      <w:lang w:eastAsia="zh-CN"/>
                    </w:rPr>
                    <w:t>、</w:t>
                  </w:r>
                  <w:r>
                    <w:rPr>
                      <w:sz w:val="21"/>
                      <w:szCs w:val="21"/>
                      <w:highlight w:val="none"/>
                    </w:rPr>
                    <w:t>DA00</w:t>
                  </w:r>
                  <w:r>
                    <w:rPr>
                      <w:rFonts w:hint="eastAsia"/>
                      <w:sz w:val="21"/>
                      <w:szCs w:val="21"/>
                      <w:highlight w:val="none"/>
                      <w:lang w:val="en-US" w:eastAsia="zh-CN"/>
                    </w:rPr>
                    <w:t>2</w:t>
                  </w:r>
                  <w:r>
                    <w:rPr>
                      <w:rFonts w:hint="eastAsia"/>
                      <w:sz w:val="21"/>
                      <w:szCs w:val="21"/>
                      <w:highlight w:val="none"/>
                      <w:lang w:eastAsia="zh-CN"/>
                    </w:rPr>
                    <w:t>、</w:t>
                  </w:r>
                  <w:r>
                    <w:rPr>
                      <w:sz w:val="21"/>
                      <w:szCs w:val="21"/>
                      <w:highlight w:val="none"/>
                    </w:rPr>
                    <w:t>DA00</w:t>
                  </w:r>
                  <w:r>
                    <w:rPr>
                      <w:rFonts w:hint="eastAsia"/>
                      <w:sz w:val="21"/>
                      <w:szCs w:val="21"/>
                      <w:highlight w:val="none"/>
                      <w:lang w:val="en-US" w:eastAsia="zh-CN"/>
                    </w:rPr>
                    <w:t>3</w:t>
                  </w:r>
                  <w:r>
                    <w:rPr>
                      <w:rFonts w:hint="eastAsia"/>
                      <w:sz w:val="21"/>
                      <w:szCs w:val="21"/>
                      <w:highlight w:val="none"/>
                      <w:lang w:eastAsia="zh-CN"/>
                    </w:rPr>
                    <w:t>、</w:t>
                  </w:r>
                </w:p>
              </w:tc>
              <w:tc>
                <w:tcPr>
                  <w:tcW w:w="71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eastAsia"/>
                      <w:sz w:val="21"/>
                      <w:szCs w:val="21"/>
                      <w:highlight w:val="none"/>
                      <w:lang w:val="en-US" w:eastAsia="zh-CN"/>
                    </w:rPr>
                    <w:t>《水泥工业大气污染物排放标准》（GB4915-2013）表1现有与新建企业大气污染物排放限值要求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vMerge w:val="restar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kern w:val="2"/>
                      <w:sz w:val="21"/>
                      <w:szCs w:val="21"/>
                      <w:highlight w:val="none"/>
                      <w:lang w:val="en-US" w:eastAsia="zh-CN" w:bidi="ar-SA"/>
                    </w:rPr>
                  </w:pPr>
                  <w:r>
                    <w:rPr>
                      <w:rFonts w:hint="eastAsia" w:cs="Times New Roman"/>
                      <w:highlight w:val="none"/>
                      <w:lang w:val="en-US" w:eastAsia="zh-CN"/>
                    </w:rPr>
                    <w:t>物料搅拌粉尘</w:t>
                  </w:r>
                </w:p>
              </w:tc>
              <w:tc>
                <w:tcPr>
                  <w:tcW w:w="328"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val="en-US" w:eastAsia="zh-CN"/>
                    </w:rPr>
                  </w:pPr>
                  <w:r>
                    <w:rPr>
                      <w:sz w:val="21"/>
                      <w:szCs w:val="21"/>
                      <w:highlight w:val="none"/>
                    </w:rPr>
                    <w:t>有组织</w:t>
                  </w:r>
                </w:p>
              </w:tc>
              <w:tc>
                <w:tcPr>
                  <w:tcW w:w="371"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val="en-US" w:eastAsia="zh-CN"/>
                    </w:rPr>
                  </w:pPr>
                  <w:r>
                    <w:rPr>
                      <w:rFonts w:hint="eastAsia"/>
                      <w:sz w:val="21"/>
                      <w:szCs w:val="21"/>
                      <w:highlight w:val="none"/>
                      <w:lang w:val="en-US" w:eastAsia="zh-CN"/>
                    </w:rPr>
                    <w:t>颗粒物</w:t>
                  </w:r>
                </w:p>
              </w:tc>
              <w:tc>
                <w:tcPr>
                  <w:tcW w:w="352"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eastAsia"/>
                      <w:sz w:val="21"/>
                      <w:szCs w:val="21"/>
                      <w:highlight w:val="none"/>
                      <w:lang w:val="en-US" w:eastAsia="zh-CN"/>
                    </w:rPr>
                    <w:t>1.12968</w:t>
                  </w:r>
                </w:p>
              </w:tc>
              <w:tc>
                <w:tcPr>
                  <w:tcW w:w="229"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90</w:t>
                  </w:r>
                </w:p>
              </w:tc>
              <w:tc>
                <w:tcPr>
                  <w:tcW w:w="306"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rFonts w:hint="eastAsia"/>
                      <w:sz w:val="21"/>
                      <w:szCs w:val="21"/>
                      <w:highlight w:val="none"/>
                      <w:lang w:val="en-US" w:eastAsia="zh-CN"/>
                    </w:rPr>
                    <w:t>2</w:t>
                  </w:r>
                  <w:r>
                    <w:rPr>
                      <w:sz w:val="21"/>
                      <w:szCs w:val="21"/>
                      <w:highlight w:val="none"/>
                    </w:rPr>
                    <w:t>000</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eastAsia="zh-CN"/>
                    </w:rPr>
                  </w:pPr>
                  <w:r>
                    <w:rPr>
                      <w:rFonts w:hint="default" w:ascii="Times New Roman" w:hAnsi="Times New Roman" w:cs="Times New Roman"/>
                      <w:sz w:val="21"/>
                      <w:szCs w:val="21"/>
                      <w:highlight w:val="none"/>
                      <w:lang w:val="en-US" w:eastAsia="zh-CN"/>
                    </w:rPr>
                    <w:t>集气罩收集</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布袋除尘器处理</w:t>
                  </w:r>
                  <w:r>
                    <w:rPr>
                      <w:rFonts w:hint="eastAsia" w:ascii="Times New Roman" w:hAnsi="Times New Roman" w:cs="Times New Roman"/>
                      <w:sz w:val="21"/>
                      <w:szCs w:val="21"/>
                      <w:highlight w:val="none"/>
                      <w:lang w:val="en-US" w:eastAsia="zh-CN"/>
                    </w:rPr>
                    <w:t>，</w:t>
                  </w:r>
                  <w:r>
                    <w:rPr>
                      <w:rFonts w:hint="eastAsia"/>
                      <w:sz w:val="21"/>
                      <w:szCs w:val="21"/>
                      <w:highlight w:val="none"/>
                    </w:rPr>
                    <w:t>除尘效率为9</w:t>
                  </w:r>
                  <w:r>
                    <w:rPr>
                      <w:rFonts w:hint="eastAsia"/>
                      <w:sz w:val="21"/>
                      <w:szCs w:val="21"/>
                      <w:highlight w:val="none"/>
                      <w:lang w:val="en-US" w:eastAsia="zh-CN"/>
                    </w:rPr>
                    <w:t>9</w:t>
                  </w:r>
                  <w:r>
                    <w:rPr>
                      <w:rFonts w:hint="eastAsia"/>
                      <w:sz w:val="21"/>
                      <w:szCs w:val="21"/>
                      <w:highlight w:val="none"/>
                    </w:rPr>
                    <w:t>%</w:t>
                  </w:r>
                </w:p>
              </w:tc>
              <w:tc>
                <w:tcPr>
                  <w:tcW w:w="24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是</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rPr>
                  </w:pPr>
                  <w:r>
                    <w:rPr>
                      <w:rFonts w:hint="eastAsia"/>
                      <w:sz w:val="21"/>
                      <w:szCs w:val="21"/>
                      <w:highlight w:val="none"/>
                      <w:lang w:val="en-US" w:eastAsia="zh-CN"/>
                    </w:rPr>
                    <w:t>3.4</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eastAsia" w:cs="Times New Roman"/>
                      <w:highlight w:val="none"/>
                      <w:lang w:val="en-US" w:eastAsia="zh-CN"/>
                    </w:rPr>
                    <w:t>0.00672</w:t>
                  </w:r>
                </w:p>
              </w:tc>
              <w:tc>
                <w:tcPr>
                  <w:tcW w:w="35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default" w:ascii="Times New Roman" w:hAnsi="Times New Roman" w:cs="Times New Roman"/>
                      <w:highlight w:val="none"/>
                      <w:lang w:val="en-US" w:eastAsia="zh-CN"/>
                    </w:rPr>
                    <w:t>0.0</w:t>
                  </w:r>
                  <w:r>
                    <w:rPr>
                      <w:rFonts w:hint="eastAsia" w:cs="Times New Roman"/>
                      <w:highlight w:val="none"/>
                      <w:lang w:val="en-US" w:eastAsia="zh-CN"/>
                    </w:rPr>
                    <w:t>11297</w:t>
                  </w:r>
                </w:p>
              </w:tc>
              <w:tc>
                <w:tcPr>
                  <w:tcW w:w="320"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eastAsia="宋体"/>
                      <w:sz w:val="21"/>
                      <w:szCs w:val="21"/>
                      <w:highlight w:val="none"/>
                      <w:lang w:eastAsia="zh-CN"/>
                    </w:rPr>
                  </w:pPr>
                  <w:r>
                    <w:rPr>
                      <w:sz w:val="21"/>
                      <w:szCs w:val="21"/>
                      <w:highlight w:val="none"/>
                    </w:rPr>
                    <w:t>DA00</w:t>
                  </w:r>
                  <w:r>
                    <w:rPr>
                      <w:rFonts w:hint="eastAsia"/>
                      <w:sz w:val="21"/>
                      <w:szCs w:val="21"/>
                      <w:highlight w:val="none"/>
                      <w:lang w:val="en-US" w:eastAsia="zh-CN"/>
                    </w:rPr>
                    <w:t>4</w:t>
                  </w:r>
                </w:p>
              </w:tc>
              <w:tc>
                <w:tcPr>
                  <w:tcW w:w="717"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eastAsia"/>
                      <w:sz w:val="21"/>
                      <w:szCs w:val="21"/>
                      <w:highlight w:val="none"/>
                      <w:lang w:val="en-US" w:eastAsia="zh-CN"/>
                    </w:rPr>
                    <w:t>《水泥工业大气污染物排放标准》（GB4915-2013）表1现有与新建企业大气污染物排放限值要求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vMerge w:val="continue"/>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cs="Times New Roman"/>
                      <w:highlight w:val="none"/>
                      <w:lang w:val="en-US" w:eastAsia="zh-CN"/>
                    </w:rPr>
                  </w:pPr>
                </w:p>
              </w:tc>
              <w:tc>
                <w:tcPr>
                  <w:tcW w:w="328"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kern w:val="2"/>
                      <w:sz w:val="21"/>
                      <w:szCs w:val="21"/>
                      <w:highlight w:val="none"/>
                      <w:lang w:val="en-US" w:eastAsia="zh-CN" w:bidi="ar-SA"/>
                    </w:rPr>
                  </w:pPr>
                  <w:r>
                    <w:rPr>
                      <w:sz w:val="21"/>
                      <w:szCs w:val="21"/>
                      <w:highlight w:val="none"/>
                    </w:rPr>
                    <w:t>无组织</w:t>
                  </w:r>
                </w:p>
              </w:tc>
              <w:tc>
                <w:tcPr>
                  <w:tcW w:w="371"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kern w:val="2"/>
                      <w:sz w:val="21"/>
                      <w:szCs w:val="21"/>
                      <w:highlight w:val="none"/>
                      <w:lang w:val="en-US" w:eastAsia="zh-CN" w:bidi="ar-SA"/>
                    </w:rPr>
                  </w:pPr>
                  <w:r>
                    <w:rPr>
                      <w:rFonts w:hint="eastAsia"/>
                      <w:sz w:val="21"/>
                      <w:szCs w:val="21"/>
                      <w:highlight w:val="none"/>
                      <w:lang w:val="en-US" w:eastAsia="zh-CN"/>
                    </w:rPr>
                    <w:t>颗粒物</w:t>
                  </w:r>
                </w:p>
              </w:tc>
              <w:tc>
                <w:tcPr>
                  <w:tcW w:w="352"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kern w:val="2"/>
                      <w:sz w:val="21"/>
                      <w:szCs w:val="21"/>
                      <w:highlight w:val="none"/>
                      <w:lang w:val="en-US" w:eastAsia="zh-CN" w:bidi="ar-SA"/>
                    </w:rPr>
                  </w:pPr>
                  <w:r>
                    <w:rPr>
                      <w:rFonts w:hint="eastAsia" w:ascii="Times New Roman" w:hAnsi="Times New Roman" w:cs="Times New Roman"/>
                      <w:highlight w:val="none"/>
                      <w:lang w:val="en-US" w:eastAsia="zh-CN"/>
                    </w:rPr>
                    <w:t>0.012552</w:t>
                  </w:r>
                </w:p>
              </w:tc>
              <w:tc>
                <w:tcPr>
                  <w:tcW w:w="229"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kern w:val="2"/>
                      <w:sz w:val="21"/>
                      <w:szCs w:val="21"/>
                      <w:highlight w:val="none"/>
                      <w:lang w:val="en-US" w:eastAsia="zh-CN" w:bidi="ar-SA"/>
                    </w:rPr>
                  </w:pPr>
                  <w:r>
                    <w:rPr>
                      <w:sz w:val="21"/>
                      <w:szCs w:val="21"/>
                      <w:highlight w:val="none"/>
                    </w:rPr>
                    <w:t>/</w:t>
                  </w:r>
                </w:p>
              </w:tc>
              <w:tc>
                <w:tcPr>
                  <w:tcW w:w="306"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kern w:val="2"/>
                      <w:sz w:val="21"/>
                      <w:szCs w:val="21"/>
                      <w:highlight w:val="none"/>
                      <w:lang w:val="en-US" w:eastAsia="zh-CN" w:bidi="ar-SA"/>
                    </w:rPr>
                  </w:pPr>
                  <w:r>
                    <w:rPr>
                      <w:sz w:val="21"/>
                      <w:szCs w:val="21"/>
                      <w:highlight w:val="none"/>
                    </w:rPr>
                    <w:t>/</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封闭式生产车间内，搅拌时连续加水抑尘</w:t>
                  </w:r>
                </w:p>
              </w:tc>
              <w:tc>
                <w:tcPr>
                  <w:tcW w:w="24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是</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sz w:val="21"/>
                      <w:szCs w:val="21"/>
                      <w:highlight w:val="none"/>
                      <w:lang w:val="en-US" w:eastAsia="zh-CN"/>
                    </w:rPr>
                  </w:pPr>
                  <w:r>
                    <w:rPr>
                      <w:rFonts w:hint="eastAsia"/>
                      <w:sz w:val="21"/>
                      <w:szCs w:val="21"/>
                      <w:highlight w:val="none"/>
                      <w:lang w:val="en-US" w:eastAsia="zh-CN"/>
                    </w:rPr>
                    <w:t>/</w:t>
                  </w:r>
                </w:p>
              </w:tc>
              <w:tc>
                <w:tcPr>
                  <w:tcW w:w="347" w:type="pct"/>
                  <w:noWrap w:val="0"/>
                  <w:vAlign w:val="center"/>
                </w:tcPr>
                <w:p>
                  <w:pPr>
                    <w:keepNext w:val="0"/>
                    <w:keepLines w:val="0"/>
                    <w:widowControl/>
                    <w:suppressLineNumbers w:val="0"/>
                    <w:jc w:val="center"/>
                    <w:textAlignment w:val="center"/>
                    <w:rPr>
                      <w:rFonts w:hint="default" w:cs="Times New Roman"/>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r>
                    <w:rPr>
                      <w:rFonts w:hint="eastAsia" w:cs="Times New Roman"/>
                      <w:i w:val="0"/>
                      <w:iCs w:val="0"/>
                      <w:color w:val="000000"/>
                      <w:kern w:val="0"/>
                      <w:sz w:val="21"/>
                      <w:szCs w:val="21"/>
                      <w:u w:val="none"/>
                      <w:lang w:val="en-US" w:eastAsia="zh-CN" w:bidi="ar"/>
                    </w:rPr>
                    <w:t>47</w:t>
                  </w:r>
                </w:p>
              </w:tc>
              <w:tc>
                <w:tcPr>
                  <w:tcW w:w="355" w:type="pct"/>
                  <w:noWrap w:val="0"/>
                  <w:vAlign w:val="center"/>
                </w:tcPr>
                <w:p>
                  <w:pPr>
                    <w:keepNext w:val="0"/>
                    <w:keepLines w:val="0"/>
                    <w:widowControl/>
                    <w:suppressLineNumbers w:val="0"/>
                    <w:jc w:val="center"/>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0.012552</w:t>
                  </w:r>
                </w:p>
              </w:tc>
              <w:tc>
                <w:tcPr>
                  <w:tcW w:w="320"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eastAsia="宋体"/>
                      <w:sz w:val="21"/>
                      <w:szCs w:val="21"/>
                      <w:highlight w:val="none"/>
                      <w:lang w:val="en-US" w:eastAsia="zh-CN"/>
                    </w:rPr>
                  </w:pPr>
                  <w:r>
                    <w:rPr>
                      <w:rFonts w:hint="eastAsia"/>
                      <w:sz w:val="21"/>
                      <w:szCs w:val="21"/>
                      <w:highlight w:val="none"/>
                      <w:lang w:val="en-US" w:eastAsia="zh-CN"/>
                    </w:rPr>
                    <w:t>/</w:t>
                  </w:r>
                </w:p>
              </w:tc>
              <w:tc>
                <w:tcPr>
                  <w:tcW w:w="717"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cs="Times New Roman"/>
                      <w:highlight w:val="none"/>
                      <w:lang w:val="en-US" w:eastAsia="zh-CN"/>
                    </w:rPr>
                  </w:pPr>
                  <w:r>
                    <w:rPr>
                      <w:rFonts w:hint="eastAsia" w:cs="Times New Roman"/>
                      <w:highlight w:val="none"/>
                      <w:lang w:val="en-US" w:eastAsia="zh-CN"/>
                    </w:rPr>
                    <w:t>原料</w:t>
                  </w:r>
                  <w:r>
                    <w:rPr>
                      <w:rFonts w:hint="eastAsia" w:ascii="Times New Roman" w:hAnsi="Times New Roman" w:cs="Times New Roman"/>
                      <w:highlight w:val="none"/>
                      <w:lang w:val="en-US" w:eastAsia="zh-CN"/>
                    </w:rPr>
                    <w:t>装卸</w:t>
                  </w:r>
                  <w:r>
                    <w:rPr>
                      <w:rFonts w:hint="eastAsia"/>
                      <w:kern w:val="2"/>
                      <w:sz w:val="21"/>
                      <w:szCs w:val="21"/>
                      <w:highlight w:val="none"/>
                      <w:lang w:val="en-US" w:eastAsia="zh-CN" w:bidi="ar-SA"/>
                    </w:rPr>
                    <w:t>、</w:t>
                  </w:r>
                  <w:r>
                    <w:rPr>
                      <w:kern w:val="2"/>
                      <w:sz w:val="21"/>
                      <w:szCs w:val="21"/>
                      <w:highlight w:val="none"/>
                      <w:lang w:val="en-US" w:eastAsia="zh-CN" w:bidi="ar-SA"/>
                    </w:rPr>
                    <w:t>堆场</w:t>
                  </w:r>
                  <w:r>
                    <w:rPr>
                      <w:rFonts w:hint="eastAsia"/>
                      <w:kern w:val="2"/>
                      <w:sz w:val="21"/>
                      <w:szCs w:val="21"/>
                      <w:highlight w:val="none"/>
                      <w:lang w:val="en-US" w:eastAsia="zh-CN" w:bidi="ar-SA"/>
                    </w:rPr>
                    <w:t>扬尘</w:t>
                  </w:r>
                </w:p>
              </w:tc>
              <w:tc>
                <w:tcPr>
                  <w:tcW w:w="328"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sz w:val="21"/>
                      <w:szCs w:val="21"/>
                      <w:highlight w:val="none"/>
                    </w:rPr>
                    <w:t>无组织</w:t>
                  </w:r>
                </w:p>
              </w:tc>
              <w:tc>
                <w:tcPr>
                  <w:tcW w:w="371"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颗粒物</w:t>
                  </w:r>
                </w:p>
              </w:tc>
              <w:tc>
                <w:tcPr>
                  <w:tcW w:w="352"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rFonts w:hint="eastAsia" w:cs="Times New Roman"/>
                      <w:highlight w:val="none"/>
                      <w:lang w:val="en-US" w:eastAsia="zh-CN"/>
                    </w:rPr>
                    <w:t>5.172</w:t>
                  </w:r>
                </w:p>
              </w:tc>
              <w:tc>
                <w:tcPr>
                  <w:tcW w:w="229"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sz w:val="21"/>
                      <w:szCs w:val="21"/>
                      <w:highlight w:val="none"/>
                    </w:rPr>
                    <w:t>/</w:t>
                  </w:r>
                </w:p>
              </w:tc>
              <w:tc>
                <w:tcPr>
                  <w:tcW w:w="306"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ascii="Times New Roman" w:hAnsi="Times New Roman" w:eastAsia="宋体" w:cs="Times New Roman"/>
                      <w:kern w:val="2"/>
                      <w:sz w:val="21"/>
                      <w:szCs w:val="21"/>
                      <w:highlight w:val="none"/>
                      <w:lang w:val="en-US" w:eastAsia="zh-CN" w:bidi="ar-SA"/>
                    </w:rPr>
                  </w:pPr>
                  <w:r>
                    <w:rPr>
                      <w:sz w:val="21"/>
                      <w:szCs w:val="21"/>
                      <w:highlight w:val="none"/>
                    </w:rPr>
                    <w:t>/</w:t>
                  </w:r>
                </w:p>
              </w:tc>
              <w:tc>
                <w:tcPr>
                  <w:tcW w:w="575"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苫盖密目防尘布并雾炮降尘，粉尘抑制率可达到</w:t>
                  </w:r>
                  <w:r>
                    <w:rPr>
                      <w:rFonts w:hint="eastAsia" w:cs="Times New Roman"/>
                      <w:sz w:val="21"/>
                      <w:szCs w:val="21"/>
                      <w:highlight w:val="none"/>
                      <w:lang w:val="en-US" w:eastAsia="zh-CN"/>
                    </w:rPr>
                    <w:t>6</w:t>
                  </w:r>
                  <w:r>
                    <w:rPr>
                      <w:rFonts w:hint="eastAsia" w:ascii="Times New Roman" w:hAnsi="Times New Roman" w:cs="Times New Roman"/>
                      <w:sz w:val="21"/>
                      <w:szCs w:val="21"/>
                      <w:highlight w:val="none"/>
                      <w:lang w:val="en-US" w:eastAsia="zh-CN"/>
                    </w:rPr>
                    <w:t>0%</w:t>
                  </w:r>
                </w:p>
              </w:tc>
              <w:tc>
                <w:tcPr>
                  <w:tcW w:w="245"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ascii="Times New Roman" w:hAnsi="Times New Roman" w:eastAsia="宋体" w:cs="Times New Roman"/>
                      <w:kern w:val="2"/>
                      <w:sz w:val="21"/>
                      <w:szCs w:val="21"/>
                      <w:highlight w:val="none"/>
                      <w:lang w:val="en-US" w:eastAsia="zh-CN" w:bidi="ar-SA"/>
                    </w:rPr>
                  </w:pPr>
                  <w:r>
                    <w:rPr>
                      <w:sz w:val="21"/>
                      <w:szCs w:val="21"/>
                      <w:highlight w:val="none"/>
                    </w:rPr>
                    <w:t>是</w:t>
                  </w:r>
                </w:p>
              </w:tc>
              <w:tc>
                <w:tcPr>
                  <w:tcW w:w="347"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sz w:val="21"/>
                      <w:szCs w:val="21"/>
                      <w:highlight w:val="none"/>
                    </w:rPr>
                    <w:t>/</w:t>
                  </w:r>
                </w:p>
              </w:tc>
              <w:tc>
                <w:tcPr>
                  <w:tcW w:w="347"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0.0</w:t>
                  </w:r>
                  <w:r>
                    <w:rPr>
                      <w:rFonts w:hint="eastAsia" w:cs="Times New Roman"/>
                      <w:highlight w:val="none"/>
                      <w:lang w:val="en-US" w:eastAsia="zh-CN"/>
                    </w:rPr>
                    <w:t>5</w:t>
                  </w:r>
                  <w:r>
                    <w:rPr>
                      <w:rFonts w:hint="eastAsia" w:ascii="Times New Roman" w:hAnsi="Times New Roman" w:cs="Times New Roman"/>
                      <w:highlight w:val="none"/>
                      <w:lang w:val="en-US" w:eastAsia="zh-CN"/>
                    </w:rPr>
                    <w:t>7</w:t>
                  </w:r>
                  <w:r>
                    <w:rPr>
                      <w:rFonts w:hint="eastAsia" w:cs="Times New Roman"/>
                      <w:highlight w:val="none"/>
                      <w:lang w:val="en-US" w:eastAsia="zh-CN"/>
                    </w:rPr>
                    <w:t>53</w:t>
                  </w:r>
                </w:p>
              </w:tc>
              <w:tc>
                <w:tcPr>
                  <w:tcW w:w="355"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0.290</w:t>
                  </w:r>
                </w:p>
              </w:tc>
              <w:tc>
                <w:tcPr>
                  <w:tcW w:w="320"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ascii="Times New Roman" w:hAnsi="Times New Roman" w:eastAsia="宋体" w:cs="Times New Roman"/>
                      <w:kern w:val="2"/>
                      <w:sz w:val="21"/>
                      <w:szCs w:val="21"/>
                      <w:highlight w:val="none"/>
                      <w:lang w:val="en-US" w:eastAsia="zh-CN" w:bidi="ar-SA"/>
                    </w:rPr>
                  </w:pPr>
                  <w:r>
                    <w:rPr>
                      <w:sz w:val="21"/>
                      <w:szCs w:val="21"/>
                      <w:highlight w:val="none"/>
                    </w:rPr>
                    <w:t>/</w:t>
                  </w:r>
                </w:p>
              </w:tc>
              <w:tc>
                <w:tcPr>
                  <w:tcW w:w="717" w:type="pct"/>
                  <w:vMerge w:val="restar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eastAsia"/>
                      <w:highlight w:val="none"/>
                      <w:lang w:val="en-US" w:eastAsia="zh-CN"/>
                    </w:rPr>
                    <w:t>《水泥工业大气污染物排放标准》（GB4915-2013）表3大气污染物无组织排放限值要求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shd w:val="clear" w:color="auto" w:fill="auto"/>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kern w:val="2"/>
                      <w:sz w:val="21"/>
                      <w:szCs w:val="21"/>
                      <w:highlight w:val="none"/>
                      <w:lang w:val="en-US" w:eastAsia="zh-CN" w:bidi="ar-SA"/>
                    </w:rPr>
                  </w:pPr>
                  <w:r>
                    <w:rPr>
                      <w:rFonts w:hint="eastAsia" w:cs="Times New Roman"/>
                      <w:highlight w:val="none"/>
                      <w:lang w:val="en-US" w:eastAsia="zh-CN"/>
                    </w:rPr>
                    <w:t>运输扬尘</w:t>
                  </w:r>
                </w:p>
              </w:tc>
              <w:tc>
                <w:tcPr>
                  <w:tcW w:w="328"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val="en-US" w:eastAsia="zh-CN"/>
                    </w:rPr>
                  </w:pPr>
                  <w:r>
                    <w:rPr>
                      <w:sz w:val="21"/>
                      <w:szCs w:val="21"/>
                      <w:highlight w:val="none"/>
                    </w:rPr>
                    <w:t>无组织</w:t>
                  </w:r>
                </w:p>
              </w:tc>
              <w:tc>
                <w:tcPr>
                  <w:tcW w:w="371"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val="en-US" w:eastAsia="zh-CN"/>
                    </w:rPr>
                  </w:pPr>
                  <w:r>
                    <w:rPr>
                      <w:rFonts w:hint="eastAsia"/>
                      <w:sz w:val="21"/>
                      <w:szCs w:val="21"/>
                      <w:highlight w:val="none"/>
                      <w:lang w:val="en-US" w:eastAsia="zh-CN"/>
                    </w:rPr>
                    <w:t>颗粒物</w:t>
                  </w:r>
                </w:p>
              </w:tc>
              <w:tc>
                <w:tcPr>
                  <w:tcW w:w="352"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eastAsia"/>
                      <w:sz w:val="21"/>
                      <w:szCs w:val="21"/>
                      <w:highlight w:val="none"/>
                      <w:lang w:val="en-US" w:eastAsia="zh-CN"/>
                    </w:rPr>
                    <w:t>0.00126</w:t>
                  </w:r>
                </w:p>
              </w:tc>
              <w:tc>
                <w:tcPr>
                  <w:tcW w:w="229"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sz w:val="21"/>
                      <w:szCs w:val="21"/>
                      <w:highlight w:val="none"/>
                    </w:rPr>
                  </w:pPr>
                  <w:r>
                    <w:rPr>
                      <w:sz w:val="21"/>
                      <w:szCs w:val="21"/>
                      <w:highlight w:val="none"/>
                    </w:rPr>
                    <w:t>/</w:t>
                  </w:r>
                </w:p>
              </w:tc>
              <w:tc>
                <w:tcPr>
                  <w:tcW w:w="306"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eastAsia="宋体"/>
                      <w:sz w:val="21"/>
                      <w:szCs w:val="21"/>
                      <w:highlight w:val="none"/>
                      <w:lang w:val="en-US" w:eastAsia="zh-CN"/>
                    </w:rPr>
                  </w:pPr>
                  <w:r>
                    <w:rPr>
                      <w:sz w:val="21"/>
                      <w:szCs w:val="21"/>
                      <w:highlight w:val="none"/>
                    </w:rPr>
                    <w:t>/</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sz w:val="21"/>
                      <w:szCs w:val="21"/>
                      <w:highlight w:val="none"/>
                      <w:lang w:eastAsia="zh-CN"/>
                    </w:rPr>
                  </w:pPr>
                  <w:r>
                    <w:rPr>
                      <w:rFonts w:hint="eastAsia"/>
                      <w:sz w:val="21"/>
                      <w:szCs w:val="21"/>
                      <w:highlight w:val="none"/>
                      <w:lang w:val="en-US" w:eastAsia="zh-CN"/>
                    </w:rPr>
                    <w:t>厂区设置洗车平台，路面定期洒水等措施，可降尘80%</w:t>
                  </w:r>
                </w:p>
              </w:tc>
              <w:tc>
                <w:tcPr>
                  <w:tcW w:w="24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sz w:val="21"/>
                      <w:szCs w:val="21"/>
                      <w:highlight w:val="none"/>
                    </w:rPr>
                    <w:t>是</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eastAsia="宋体"/>
                      <w:sz w:val="21"/>
                      <w:szCs w:val="21"/>
                      <w:highlight w:val="none"/>
                      <w:lang w:val="en-US" w:eastAsia="zh-CN"/>
                    </w:rPr>
                  </w:pPr>
                  <w:r>
                    <w:rPr>
                      <w:rFonts w:hint="eastAsia"/>
                      <w:sz w:val="21"/>
                      <w:szCs w:val="21"/>
                      <w:highlight w:val="none"/>
                      <w:lang w:val="en-US" w:eastAsia="zh-CN"/>
                    </w:rPr>
                    <w:t>/</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default" w:ascii="Times New Roman" w:hAnsi="Times New Roman" w:cs="Times New Roman"/>
                      <w:highlight w:val="none"/>
                      <w:lang w:val="en-US" w:eastAsia="zh-CN"/>
                    </w:rPr>
                    <w:t>0.00</w:t>
                  </w:r>
                  <w:r>
                    <w:rPr>
                      <w:rFonts w:hint="eastAsia" w:cs="Times New Roman"/>
                      <w:highlight w:val="none"/>
                      <w:lang w:val="en-US" w:eastAsia="zh-CN"/>
                    </w:rPr>
                    <w:t>02</w:t>
                  </w:r>
                </w:p>
              </w:tc>
              <w:tc>
                <w:tcPr>
                  <w:tcW w:w="35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default" w:ascii="Times New Roman" w:hAnsi="Times New Roman" w:cs="Times New Roman"/>
                      <w:highlight w:val="none"/>
                      <w:lang w:val="en-US" w:eastAsia="zh-CN"/>
                    </w:rPr>
                    <w:t>0.00</w:t>
                  </w:r>
                  <w:r>
                    <w:rPr>
                      <w:rFonts w:hint="eastAsia" w:ascii="Times New Roman" w:hAnsi="Times New Roman" w:cs="Times New Roman"/>
                      <w:highlight w:val="none"/>
                      <w:lang w:val="en-US" w:eastAsia="zh-CN"/>
                    </w:rPr>
                    <w:t>02</w:t>
                  </w:r>
                  <w:r>
                    <w:rPr>
                      <w:rFonts w:hint="eastAsia" w:cs="Times New Roman"/>
                      <w:highlight w:val="none"/>
                      <w:lang w:val="en-US" w:eastAsia="zh-CN"/>
                    </w:rPr>
                    <w:t>9</w:t>
                  </w:r>
                </w:p>
              </w:tc>
              <w:tc>
                <w:tcPr>
                  <w:tcW w:w="320"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eastAsia" w:ascii="Times New Roman" w:hAnsi="Times New Roman" w:cs="Times New Roman"/>
                      <w:sz w:val="21"/>
                      <w:szCs w:val="21"/>
                      <w:highlight w:val="none"/>
                      <w:lang w:val="en-US" w:eastAsia="zh-CN"/>
                    </w:rPr>
                    <w:t>/</w:t>
                  </w:r>
                </w:p>
              </w:tc>
              <w:tc>
                <w:tcPr>
                  <w:tcW w:w="717" w:type="pct"/>
                  <w:vMerge w:val="continue"/>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eastAsia" w:eastAsia="宋体"/>
                      <w:sz w:val="21"/>
                      <w:szCs w:val="21"/>
                      <w:highlight w:val="none"/>
                      <w:lang w:val="en-US" w:eastAsia="zh-CN"/>
                    </w:rPr>
                  </w:pPr>
                  <w:r>
                    <w:rPr>
                      <w:rFonts w:hint="eastAsia"/>
                      <w:sz w:val="21"/>
                      <w:szCs w:val="21"/>
                      <w:highlight w:val="none"/>
                      <w:lang w:val="en-US" w:eastAsia="zh-CN"/>
                    </w:rPr>
                    <w:t>食堂</w:t>
                  </w:r>
                </w:p>
              </w:tc>
              <w:tc>
                <w:tcPr>
                  <w:tcW w:w="328"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default" w:eastAsia="宋体"/>
                      <w:sz w:val="21"/>
                      <w:szCs w:val="21"/>
                      <w:highlight w:val="none"/>
                      <w:lang w:val="en-US" w:eastAsia="zh-CN"/>
                    </w:rPr>
                  </w:pPr>
                  <w:r>
                    <w:rPr>
                      <w:rFonts w:hint="eastAsia"/>
                      <w:sz w:val="21"/>
                      <w:szCs w:val="21"/>
                      <w:highlight w:val="none"/>
                      <w:lang w:val="en-US" w:eastAsia="zh-CN"/>
                    </w:rPr>
                    <w:t>有组织</w:t>
                  </w:r>
                </w:p>
              </w:tc>
              <w:tc>
                <w:tcPr>
                  <w:tcW w:w="371"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ind w:firstLine="0" w:firstLineChars="0"/>
                    <w:textAlignment w:val="center"/>
                    <w:rPr>
                      <w:rFonts w:hint="eastAsia" w:eastAsia="宋体" w:cs="Times New Roman"/>
                      <w:sz w:val="21"/>
                      <w:szCs w:val="21"/>
                      <w:highlight w:val="none"/>
                      <w:lang w:val="en-US" w:eastAsia="zh-CN"/>
                    </w:rPr>
                  </w:pPr>
                  <w:r>
                    <w:rPr>
                      <w:rFonts w:hint="eastAsia" w:cs="Times New Roman"/>
                      <w:sz w:val="21"/>
                      <w:szCs w:val="21"/>
                      <w:highlight w:val="none"/>
                      <w:lang w:val="en-US" w:eastAsia="zh-CN"/>
                    </w:rPr>
                    <w:t>油烟</w:t>
                  </w:r>
                </w:p>
              </w:tc>
              <w:tc>
                <w:tcPr>
                  <w:tcW w:w="352"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eastAsia" w:ascii="Times New Roman" w:hAnsi="Times New Roman" w:cs="Times New Roman"/>
                      <w:highlight w:val="none"/>
                      <w:lang w:val="en-US" w:eastAsia="zh-CN"/>
                    </w:rPr>
                    <w:t>4515</w:t>
                  </w:r>
                </w:p>
              </w:tc>
              <w:tc>
                <w:tcPr>
                  <w:tcW w:w="229"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eastAsia="宋体"/>
                      <w:sz w:val="21"/>
                      <w:szCs w:val="21"/>
                      <w:highlight w:val="none"/>
                      <w:lang w:val="en-US" w:eastAsia="zh-CN"/>
                    </w:rPr>
                  </w:pPr>
                  <w:r>
                    <w:rPr>
                      <w:rFonts w:hint="eastAsia"/>
                      <w:sz w:val="21"/>
                      <w:szCs w:val="21"/>
                      <w:highlight w:val="none"/>
                      <w:lang w:val="en-US" w:eastAsia="zh-CN"/>
                    </w:rPr>
                    <w:t>90</w:t>
                  </w:r>
                </w:p>
              </w:tc>
              <w:tc>
                <w:tcPr>
                  <w:tcW w:w="306"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eastAsia="宋体"/>
                      <w:sz w:val="21"/>
                      <w:szCs w:val="21"/>
                      <w:highlight w:val="none"/>
                      <w:lang w:val="en-US" w:eastAsia="zh-CN"/>
                    </w:rPr>
                  </w:pPr>
                  <w:r>
                    <w:rPr>
                      <w:rFonts w:hint="eastAsia"/>
                      <w:sz w:val="21"/>
                      <w:szCs w:val="21"/>
                      <w:highlight w:val="none"/>
                      <w:lang w:val="en-US" w:eastAsia="zh-CN"/>
                    </w:rPr>
                    <w:t>500</w:t>
                  </w:r>
                </w:p>
              </w:tc>
              <w:tc>
                <w:tcPr>
                  <w:tcW w:w="57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eastAsia" w:eastAsia="宋体"/>
                      <w:sz w:val="21"/>
                      <w:szCs w:val="21"/>
                      <w:highlight w:val="none"/>
                      <w:lang w:val="en-US" w:eastAsia="zh-CN"/>
                    </w:rPr>
                  </w:pPr>
                  <w:r>
                    <w:rPr>
                      <w:rFonts w:hint="eastAsia"/>
                      <w:sz w:val="21"/>
                      <w:szCs w:val="21"/>
                      <w:highlight w:val="none"/>
                      <w:lang w:val="en-US" w:eastAsia="zh-CN"/>
                    </w:rPr>
                    <w:t>油烟净化器，</w:t>
                  </w:r>
                  <w:r>
                    <w:rPr>
                      <w:rFonts w:hint="default" w:ascii="Times New Roman" w:hAnsi="Times New Roman" w:cs="Times New Roman"/>
                      <w:highlight w:val="none"/>
                      <w:lang w:val="en-US" w:eastAsia="zh-CN"/>
                    </w:rPr>
                    <w:t>处理效率大于</w:t>
                  </w:r>
                  <w:r>
                    <w:rPr>
                      <w:rFonts w:hint="eastAsia" w:ascii="Times New Roman" w:hAnsi="Times New Roman" w:cs="Times New Roman"/>
                      <w:highlight w:val="none"/>
                      <w:lang w:val="en-US" w:eastAsia="zh-CN"/>
                    </w:rPr>
                    <w:t>60</w:t>
                  </w:r>
                  <w:r>
                    <w:rPr>
                      <w:rFonts w:hint="default" w:ascii="Times New Roman" w:hAnsi="Times New Roman" w:cs="Times New Roman"/>
                      <w:highlight w:val="none"/>
                      <w:lang w:val="en-US" w:eastAsia="zh-CN"/>
                    </w:rPr>
                    <w:t>%</w:t>
                  </w:r>
                </w:p>
              </w:tc>
              <w:tc>
                <w:tcPr>
                  <w:tcW w:w="24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eastAsia" w:eastAsia="宋体"/>
                      <w:sz w:val="21"/>
                      <w:szCs w:val="21"/>
                      <w:highlight w:val="none"/>
                      <w:lang w:val="en-US" w:eastAsia="zh-CN"/>
                    </w:rPr>
                  </w:pPr>
                  <w:r>
                    <w:rPr>
                      <w:rFonts w:hint="eastAsia"/>
                      <w:sz w:val="21"/>
                      <w:szCs w:val="21"/>
                      <w:highlight w:val="none"/>
                      <w:lang w:val="en-US" w:eastAsia="zh-CN"/>
                    </w:rPr>
                    <w:t>是</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eastAsia"/>
                      <w:sz w:val="21"/>
                      <w:szCs w:val="21"/>
                      <w:highlight w:val="none"/>
                      <w:lang w:val="en-US" w:eastAsia="zh-CN"/>
                    </w:rPr>
                    <w:t>0.6</w:t>
                  </w:r>
                </w:p>
              </w:tc>
              <w:tc>
                <w:tcPr>
                  <w:tcW w:w="34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eastAsia"/>
                      <w:sz w:val="21"/>
                      <w:szCs w:val="21"/>
                      <w:highlight w:val="none"/>
                      <w:lang w:val="en-US" w:eastAsia="zh-CN"/>
                    </w:rPr>
                    <w:t>0.001075</w:t>
                  </w:r>
                </w:p>
              </w:tc>
              <w:tc>
                <w:tcPr>
                  <w:tcW w:w="355"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sz w:val="21"/>
                      <w:szCs w:val="21"/>
                      <w:highlight w:val="none"/>
                      <w:lang w:val="en-US" w:eastAsia="zh-CN"/>
                    </w:rPr>
                  </w:pP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eastAsia" w:ascii="Times New Roman" w:hAnsi="Times New Roman" w:cs="Times New Roman"/>
                      <w:highlight w:val="none"/>
                      <w:lang w:val="en-US" w:eastAsia="zh-CN"/>
                    </w:rPr>
                    <w:t>1806</w:t>
                  </w:r>
                </w:p>
              </w:tc>
              <w:tc>
                <w:tcPr>
                  <w:tcW w:w="320"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rFonts w:hint="default" w:eastAsia="宋体"/>
                      <w:sz w:val="21"/>
                      <w:szCs w:val="21"/>
                      <w:highlight w:val="none"/>
                      <w:lang w:val="en-US" w:eastAsia="zh-CN"/>
                    </w:rPr>
                  </w:pPr>
                  <w:r>
                    <w:rPr>
                      <w:rFonts w:hint="eastAsia"/>
                      <w:sz w:val="21"/>
                      <w:szCs w:val="21"/>
                      <w:highlight w:val="none"/>
                      <w:lang w:val="en-US" w:eastAsia="zh-CN"/>
                    </w:rPr>
                    <w:t>DA005</w:t>
                  </w:r>
                </w:p>
              </w:tc>
              <w:tc>
                <w:tcPr>
                  <w:tcW w:w="717" w:type="pct"/>
                  <w:noWrap w:val="0"/>
                  <w:vAlign w:val="center"/>
                </w:tcPr>
                <w:p>
                  <w:pPr>
                    <w:pStyle w:val="47"/>
                    <w:keepNext w:val="0"/>
                    <w:keepLines w:val="0"/>
                    <w:pageBreakBefore w:val="0"/>
                    <w:kinsoku/>
                    <w:wordWrap/>
                    <w:overflowPunct/>
                    <w:topLinePunct w:val="0"/>
                    <w:autoSpaceDE/>
                    <w:autoSpaceDN/>
                    <w:bidi w:val="0"/>
                    <w:adjustRightInd/>
                    <w:snapToGrid/>
                    <w:spacing w:line="320" w:lineRule="exact"/>
                    <w:textAlignment w:val="center"/>
                    <w:rPr>
                      <w:sz w:val="21"/>
                      <w:szCs w:val="21"/>
                      <w:highlight w:val="none"/>
                    </w:rPr>
                  </w:pPr>
                  <w:r>
                    <w:rPr>
                      <w:rFonts w:hint="default" w:ascii="Times New Roman" w:hAnsi="Times New Roman" w:cs="Times New Roman"/>
                      <w:highlight w:val="none"/>
                      <w:lang w:val="en-US" w:eastAsia="zh-CN"/>
                    </w:rPr>
                    <w:t>《饮食业油烟排放标准（试行）》（GB18483-2001）</w:t>
                  </w:r>
                </w:p>
              </w:tc>
            </w:tr>
          </w:tbl>
          <w:p>
            <w:pPr>
              <w:pStyle w:val="44"/>
              <w:bidi w:val="0"/>
              <w:rPr>
                <w:rFonts w:hint="eastAsia"/>
                <w:highlight w:val="none"/>
                <w:lang w:val="en-US" w:eastAsia="zh-CN"/>
              </w:rPr>
            </w:pPr>
          </w:p>
          <w:p>
            <w:pPr>
              <w:pStyle w:val="44"/>
              <w:bidi w:val="0"/>
              <w:rPr>
                <w:rFonts w:hint="eastAsia"/>
                <w:highlight w:val="none"/>
                <w:lang w:val="en-US" w:eastAsia="zh-CN"/>
              </w:rPr>
            </w:pPr>
            <w:r>
              <w:rPr>
                <w:rFonts w:hint="eastAsia"/>
                <w:highlight w:val="none"/>
                <w:lang w:val="en-US" w:eastAsia="zh-CN"/>
              </w:rPr>
              <w:t>（2）废气排放口基本情况</w:t>
            </w:r>
          </w:p>
          <w:p>
            <w:pPr>
              <w:pStyle w:val="44"/>
              <w:bidi w:val="0"/>
              <w:rPr>
                <w:rFonts w:hint="default"/>
                <w:highlight w:val="none"/>
                <w:lang w:val="en-US" w:eastAsia="zh-CN"/>
              </w:rPr>
            </w:pPr>
            <w:r>
              <w:rPr>
                <w:rFonts w:hint="default"/>
                <w:highlight w:val="none"/>
                <w:lang w:val="en-US" w:eastAsia="zh-CN"/>
              </w:rPr>
              <w:t>本项目废气有组织排放口情况见下表所示。</w:t>
            </w:r>
          </w:p>
          <w:p>
            <w:pPr>
              <w:keepNext w:val="0"/>
              <w:keepLines w:val="0"/>
              <w:widowControl/>
              <w:suppressLineNumbers w:val="0"/>
              <w:jc w:val="center"/>
              <w:rPr>
                <w:rFonts w:hint="default" w:ascii="黑体" w:hAnsi="宋体" w:eastAsia="黑体" w:cs="黑体"/>
                <w:color w:val="000000"/>
                <w:kern w:val="0"/>
                <w:sz w:val="24"/>
                <w:szCs w:val="24"/>
                <w:highlight w:val="none"/>
                <w:lang w:val="en-US" w:eastAsia="zh-CN" w:bidi="ar"/>
              </w:rPr>
            </w:pPr>
            <w:r>
              <w:rPr>
                <w:rFonts w:hint="default" w:ascii="黑体" w:hAnsi="宋体" w:eastAsia="黑体" w:cs="黑体"/>
                <w:color w:val="000000"/>
                <w:kern w:val="0"/>
                <w:sz w:val="24"/>
                <w:szCs w:val="24"/>
                <w:highlight w:val="none"/>
                <w:lang w:val="en-US" w:eastAsia="zh-CN" w:bidi="ar"/>
              </w:rPr>
              <w:t>表4-</w:t>
            </w:r>
            <w:r>
              <w:rPr>
                <w:rFonts w:hint="eastAsia" w:ascii="黑体" w:hAnsi="宋体" w:eastAsia="黑体" w:cs="黑体"/>
                <w:color w:val="000000"/>
                <w:kern w:val="0"/>
                <w:sz w:val="24"/>
                <w:szCs w:val="24"/>
                <w:highlight w:val="none"/>
                <w:lang w:val="en-US" w:eastAsia="zh-CN" w:bidi="ar"/>
              </w:rPr>
              <w:t>5</w:t>
            </w:r>
            <w:r>
              <w:rPr>
                <w:rFonts w:hint="default" w:ascii="黑体" w:hAnsi="宋体" w:eastAsia="黑体" w:cs="黑体"/>
                <w:color w:val="000000"/>
                <w:kern w:val="0"/>
                <w:sz w:val="24"/>
                <w:szCs w:val="24"/>
                <w:highlight w:val="none"/>
                <w:lang w:val="en-US" w:eastAsia="zh-CN" w:bidi="ar"/>
              </w:rPr>
              <w:t xml:space="preserve"> </w:t>
            </w:r>
            <w:r>
              <w:rPr>
                <w:rFonts w:hint="eastAsia" w:ascii="黑体" w:hAnsi="宋体" w:eastAsia="黑体" w:cs="黑体"/>
                <w:color w:val="000000"/>
                <w:kern w:val="0"/>
                <w:sz w:val="24"/>
                <w:szCs w:val="24"/>
                <w:highlight w:val="none"/>
                <w:lang w:val="en-US" w:eastAsia="zh-CN" w:bidi="ar"/>
              </w:rPr>
              <w:t xml:space="preserve"> </w:t>
            </w:r>
            <w:r>
              <w:rPr>
                <w:rFonts w:hint="default" w:ascii="黑体" w:hAnsi="宋体" w:eastAsia="黑体" w:cs="黑体"/>
                <w:color w:val="000000"/>
                <w:kern w:val="0"/>
                <w:sz w:val="24"/>
                <w:szCs w:val="24"/>
                <w:highlight w:val="none"/>
                <w:lang w:val="en-US" w:eastAsia="zh-CN" w:bidi="ar"/>
              </w:rPr>
              <w:t>项目有组织废气排放口一览表</w:t>
            </w:r>
          </w:p>
          <w:tbl>
            <w:tblPr>
              <w:tblStyle w:val="48"/>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14"/>
              <w:gridCol w:w="1082"/>
              <w:gridCol w:w="1863"/>
              <w:gridCol w:w="1011"/>
              <w:gridCol w:w="1689"/>
              <w:gridCol w:w="1068"/>
              <w:gridCol w:w="1455"/>
              <w:gridCol w:w="1596"/>
              <w:gridCol w:w="24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vMerge w:val="restart"/>
                  <w:tcBorders>
                    <w:bottom w:val="nil"/>
                  </w:tcBorders>
                  <w:noWrap w:val="0"/>
                  <w:vAlign w:val="center"/>
                </w:tcPr>
                <w:p>
                  <w:pPr>
                    <w:pStyle w:val="43"/>
                    <w:bidi w:val="0"/>
                    <w:rPr>
                      <w:rFonts w:hint="default"/>
                      <w:highlight w:val="none"/>
                      <w:lang w:val="en-US" w:eastAsia="zh-CN"/>
                    </w:rPr>
                  </w:pPr>
                  <w:r>
                    <w:rPr>
                      <w:rFonts w:hint="eastAsia"/>
                      <w:highlight w:val="none"/>
                      <w:lang w:val="en-US" w:eastAsia="zh-CN"/>
                    </w:rPr>
                    <w:t>排放口</w:t>
                  </w:r>
                  <w:r>
                    <w:rPr>
                      <w:rFonts w:hint="default"/>
                      <w:highlight w:val="none"/>
                      <w:lang w:val="en-US" w:eastAsia="zh-CN"/>
                    </w:rPr>
                    <w:t>编号</w:t>
                  </w:r>
                </w:p>
              </w:tc>
              <w:tc>
                <w:tcPr>
                  <w:tcW w:w="397" w:type="pct"/>
                  <w:vMerge w:val="restart"/>
                  <w:tcBorders>
                    <w:bottom w:val="nil"/>
                  </w:tcBorders>
                  <w:noWrap w:val="0"/>
                  <w:vAlign w:val="center"/>
                </w:tcPr>
                <w:p>
                  <w:pPr>
                    <w:pStyle w:val="43"/>
                    <w:bidi w:val="0"/>
                    <w:rPr>
                      <w:rFonts w:hint="default"/>
                      <w:highlight w:val="none"/>
                      <w:lang w:val="en-US" w:eastAsia="zh-CN"/>
                    </w:rPr>
                  </w:pPr>
                  <w:r>
                    <w:rPr>
                      <w:rFonts w:hint="eastAsia"/>
                      <w:highlight w:val="none"/>
                      <w:lang w:val="en-US" w:eastAsia="zh-CN"/>
                    </w:rPr>
                    <w:t>污染因子</w:t>
                  </w:r>
                </w:p>
              </w:tc>
              <w:tc>
                <w:tcPr>
                  <w:tcW w:w="684" w:type="pct"/>
                  <w:vMerge w:val="restart"/>
                  <w:tcBorders>
                    <w:bottom w:val="nil"/>
                  </w:tcBorders>
                  <w:noWrap w:val="0"/>
                  <w:vAlign w:val="center"/>
                </w:tcPr>
                <w:p>
                  <w:pPr>
                    <w:pStyle w:val="43"/>
                    <w:bidi w:val="0"/>
                    <w:rPr>
                      <w:rFonts w:hint="default"/>
                      <w:highlight w:val="none"/>
                      <w:lang w:val="en-US" w:eastAsia="zh-CN"/>
                    </w:rPr>
                  </w:pPr>
                  <w:r>
                    <w:rPr>
                      <w:rFonts w:hint="default"/>
                      <w:highlight w:val="none"/>
                      <w:lang w:val="en-US" w:eastAsia="zh-CN"/>
                    </w:rPr>
                    <w:t>类型</w:t>
                  </w:r>
                </w:p>
              </w:tc>
              <w:tc>
                <w:tcPr>
                  <w:tcW w:w="371" w:type="pct"/>
                  <w:vMerge w:val="restart"/>
                  <w:tcBorders>
                    <w:bottom w:val="nil"/>
                  </w:tcBorders>
                  <w:noWrap w:val="0"/>
                  <w:vAlign w:val="center"/>
                </w:tcPr>
                <w:p>
                  <w:pPr>
                    <w:pStyle w:val="43"/>
                    <w:bidi w:val="0"/>
                    <w:rPr>
                      <w:rFonts w:hint="default"/>
                      <w:highlight w:val="none"/>
                      <w:lang w:val="en-US" w:eastAsia="zh-CN"/>
                    </w:rPr>
                  </w:pPr>
                  <w:r>
                    <w:rPr>
                      <w:rFonts w:hint="default"/>
                      <w:highlight w:val="none"/>
                      <w:lang w:val="en-US" w:eastAsia="zh-CN"/>
                    </w:rPr>
                    <w:t>高度（m）</w:t>
                  </w:r>
                </w:p>
              </w:tc>
              <w:tc>
                <w:tcPr>
                  <w:tcW w:w="620" w:type="pct"/>
                  <w:vMerge w:val="restart"/>
                  <w:tcBorders>
                    <w:bottom w:val="nil"/>
                  </w:tcBorders>
                  <w:noWrap w:val="0"/>
                  <w:vAlign w:val="center"/>
                </w:tcPr>
                <w:p>
                  <w:pPr>
                    <w:pStyle w:val="43"/>
                    <w:bidi w:val="0"/>
                    <w:rPr>
                      <w:rFonts w:hint="default"/>
                      <w:highlight w:val="none"/>
                      <w:lang w:val="en-US" w:eastAsia="zh-CN"/>
                    </w:rPr>
                  </w:pPr>
                  <w:r>
                    <w:rPr>
                      <w:rFonts w:hint="default"/>
                      <w:highlight w:val="none"/>
                      <w:lang w:val="en-US" w:eastAsia="zh-CN"/>
                    </w:rPr>
                    <w:t>排气筒内径（m）</w:t>
                  </w:r>
                </w:p>
              </w:tc>
              <w:tc>
                <w:tcPr>
                  <w:tcW w:w="392" w:type="pct"/>
                  <w:vMerge w:val="restart"/>
                  <w:tcBorders>
                    <w:bottom w:val="nil"/>
                  </w:tcBorders>
                  <w:noWrap w:val="0"/>
                  <w:vAlign w:val="center"/>
                </w:tcPr>
                <w:p>
                  <w:pPr>
                    <w:pStyle w:val="43"/>
                    <w:bidi w:val="0"/>
                    <w:rPr>
                      <w:rFonts w:hint="default"/>
                      <w:highlight w:val="none"/>
                      <w:lang w:val="en-US" w:eastAsia="zh-CN"/>
                    </w:rPr>
                  </w:pPr>
                  <w:r>
                    <w:rPr>
                      <w:rFonts w:hint="default"/>
                      <w:highlight w:val="none"/>
                      <w:lang w:val="en-US" w:eastAsia="zh-CN"/>
                    </w:rPr>
                    <w:t>温度</w:t>
                  </w:r>
                  <w:r>
                    <w:rPr>
                      <w:rFonts w:hint="eastAsia"/>
                      <w:highlight w:val="none"/>
                      <w:lang w:val="en-US" w:eastAsia="zh-CN"/>
                    </w:rPr>
                    <w:t>（</w:t>
                  </w:r>
                  <w:r>
                    <w:rPr>
                      <w:rFonts w:hint="default"/>
                      <w:highlight w:val="none"/>
                      <w:lang w:val="en-US" w:eastAsia="zh-CN"/>
                    </w:rPr>
                    <w:t>℃</w:t>
                  </w:r>
                  <w:r>
                    <w:rPr>
                      <w:rFonts w:hint="eastAsia"/>
                      <w:highlight w:val="none"/>
                      <w:lang w:val="en-US" w:eastAsia="zh-CN"/>
                    </w:rPr>
                    <w:t>）</w:t>
                  </w:r>
                </w:p>
              </w:tc>
              <w:tc>
                <w:tcPr>
                  <w:tcW w:w="1120" w:type="pct"/>
                  <w:gridSpan w:val="2"/>
                  <w:noWrap w:val="0"/>
                  <w:vAlign w:val="center"/>
                </w:tcPr>
                <w:p>
                  <w:pPr>
                    <w:pStyle w:val="43"/>
                    <w:bidi w:val="0"/>
                    <w:rPr>
                      <w:rFonts w:hint="default"/>
                      <w:highlight w:val="none"/>
                      <w:lang w:val="en-US" w:eastAsia="zh-CN"/>
                    </w:rPr>
                  </w:pPr>
                  <w:r>
                    <w:rPr>
                      <w:rFonts w:hint="default"/>
                      <w:highlight w:val="none"/>
                      <w:lang w:val="en-US" w:eastAsia="zh-CN"/>
                    </w:rPr>
                    <w:t>地理坐标</w:t>
                  </w:r>
                </w:p>
              </w:tc>
              <w:tc>
                <w:tcPr>
                  <w:tcW w:w="892" w:type="pct"/>
                  <w:vMerge w:val="restart"/>
                  <w:tcBorders>
                    <w:bottom w:val="nil"/>
                    <w:right w:val="single" w:color="000000" w:sz="6" w:space="0"/>
                  </w:tcBorders>
                  <w:noWrap w:val="0"/>
                  <w:vAlign w:val="center"/>
                </w:tcPr>
                <w:p>
                  <w:pPr>
                    <w:pStyle w:val="43"/>
                    <w:bidi w:val="0"/>
                    <w:rPr>
                      <w:rFonts w:hint="default"/>
                      <w:highlight w:val="none"/>
                      <w:lang w:val="en-US" w:eastAsia="zh-CN"/>
                    </w:rPr>
                  </w:pPr>
                  <w:r>
                    <w:rPr>
                      <w:rFonts w:hint="default"/>
                      <w:highlight w:val="none"/>
                      <w:lang w:val="en-US" w:eastAsia="zh-CN"/>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9" w:type="pct"/>
                  <w:vMerge w:val="continue"/>
                  <w:tcBorders>
                    <w:top w:val="nil"/>
                  </w:tcBorders>
                  <w:noWrap w:val="0"/>
                  <w:vAlign w:val="center"/>
                </w:tcPr>
                <w:p>
                  <w:pPr>
                    <w:pStyle w:val="43"/>
                    <w:bidi w:val="0"/>
                    <w:rPr>
                      <w:rFonts w:hint="default"/>
                      <w:highlight w:val="none"/>
                      <w:lang w:val="en-US" w:eastAsia="zh-CN"/>
                    </w:rPr>
                  </w:pPr>
                </w:p>
              </w:tc>
              <w:tc>
                <w:tcPr>
                  <w:tcW w:w="397" w:type="pct"/>
                  <w:vMerge w:val="continue"/>
                  <w:tcBorders>
                    <w:top w:val="nil"/>
                  </w:tcBorders>
                  <w:noWrap w:val="0"/>
                  <w:vAlign w:val="center"/>
                </w:tcPr>
                <w:p>
                  <w:pPr>
                    <w:pStyle w:val="43"/>
                    <w:bidi w:val="0"/>
                    <w:rPr>
                      <w:rFonts w:hint="default"/>
                      <w:highlight w:val="none"/>
                      <w:lang w:val="en-US" w:eastAsia="zh-CN"/>
                    </w:rPr>
                  </w:pPr>
                </w:p>
              </w:tc>
              <w:tc>
                <w:tcPr>
                  <w:tcW w:w="684" w:type="pct"/>
                  <w:vMerge w:val="continue"/>
                  <w:tcBorders>
                    <w:top w:val="nil"/>
                  </w:tcBorders>
                  <w:noWrap w:val="0"/>
                  <w:vAlign w:val="center"/>
                </w:tcPr>
                <w:p>
                  <w:pPr>
                    <w:pStyle w:val="43"/>
                    <w:bidi w:val="0"/>
                    <w:rPr>
                      <w:rFonts w:hint="default"/>
                      <w:highlight w:val="none"/>
                      <w:lang w:val="en-US" w:eastAsia="zh-CN"/>
                    </w:rPr>
                  </w:pPr>
                </w:p>
              </w:tc>
              <w:tc>
                <w:tcPr>
                  <w:tcW w:w="371" w:type="pct"/>
                  <w:vMerge w:val="continue"/>
                  <w:tcBorders>
                    <w:top w:val="nil"/>
                  </w:tcBorders>
                  <w:noWrap w:val="0"/>
                  <w:vAlign w:val="center"/>
                </w:tcPr>
                <w:p>
                  <w:pPr>
                    <w:pStyle w:val="43"/>
                    <w:bidi w:val="0"/>
                    <w:rPr>
                      <w:rFonts w:hint="default"/>
                      <w:highlight w:val="none"/>
                      <w:lang w:val="en-US" w:eastAsia="zh-CN"/>
                    </w:rPr>
                  </w:pPr>
                </w:p>
              </w:tc>
              <w:tc>
                <w:tcPr>
                  <w:tcW w:w="620" w:type="pct"/>
                  <w:vMerge w:val="continue"/>
                  <w:tcBorders>
                    <w:top w:val="nil"/>
                  </w:tcBorders>
                  <w:noWrap w:val="0"/>
                  <w:vAlign w:val="center"/>
                </w:tcPr>
                <w:p>
                  <w:pPr>
                    <w:pStyle w:val="43"/>
                    <w:bidi w:val="0"/>
                    <w:rPr>
                      <w:rFonts w:hint="default"/>
                      <w:highlight w:val="none"/>
                      <w:lang w:val="en-US" w:eastAsia="zh-CN"/>
                    </w:rPr>
                  </w:pPr>
                </w:p>
              </w:tc>
              <w:tc>
                <w:tcPr>
                  <w:tcW w:w="392" w:type="pct"/>
                  <w:vMerge w:val="continue"/>
                  <w:tcBorders>
                    <w:top w:val="nil"/>
                  </w:tcBorders>
                  <w:noWrap w:val="0"/>
                  <w:vAlign w:val="center"/>
                </w:tcPr>
                <w:p>
                  <w:pPr>
                    <w:pStyle w:val="43"/>
                    <w:bidi w:val="0"/>
                    <w:rPr>
                      <w:rFonts w:hint="default"/>
                      <w:highlight w:val="none"/>
                      <w:lang w:val="en-US" w:eastAsia="zh-CN"/>
                    </w:rPr>
                  </w:pPr>
                </w:p>
              </w:tc>
              <w:tc>
                <w:tcPr>
                  <w:tcW w:w="534" w:type="pct"/>
                  <w:noWrap w:val="0"/>
                  <w:vAlign w:val="center"/>
                </w:tcPr>
                <w:p>
                  <w:pPr>
                    <w:pStyle w:val="43"/>
                    <w:bidi w:val="0"/>
                    <w:rPr>
                      <w:rFonts w:hint="default"/>
                      <w:highlight w:val="none"/>
                      <w:lang w:val="en-US" w:eastAsia="zh-CN"/>
                    </w:rPr>
                  </w:pPr>
                  <w:r>
                    <w:rPr>
                      <w:rFonts w:hint="default"/>
                      <w:highlight w:val="none"/>
                      <w:lang w:val="en-US" w:eastAsia="zh-CN"/>
                    </w:rPr>
                    <w:t>经度°</w:t>
                  </w:r>
                </w:p>
              </w:tc>
              <w:tc>
                <w:tcPr>
                  <w:tcW w:w="585" w:type="pct"/>
                  <w:noWrap w:val="0"/>
                  <w:vAlign w:val="center"/>
                </w:tcPr>
                <w:p>
                  <w:pPr>
                    <w:pStyle w:val="43"/>
                    <w:bidi w:val="0"/>
                    <w:rPr>
                      <w:rFonts w:hint="default"/>
                      <w:highlight w:val="none"/>
                      <w:lang w:val="en-US" w:eastAsia="zh-CN"/>
                    </w:rPr>
                  </w:pPr>
                  <w:r>
                    <w:rPr>
                      <w:rFonts w:hint="default"/>
                      <w:highlight w:val="none"/>
                      <w:lang w:val="en-US" w:eastAsia="zh-CN"/>
                    </w:rPr>
                    <w:t>纬度°</w:t>
                  </w:r>
                </w:p>
              </w:tc>
              <w:tc>
                <w:tcPr>
                  <w:tcW w:w="892" w:type="pct"/>
                  <w:vMerge w:val="continue"/>
                  <w:tcBorders>
                    <w:top w:val="nil"/>
                    <w:right w:val="single" w:color="000000" w:sz="6" w:space="0"/>
                  </w:tcBorders>
                  <w:noWrap w:val="0"/>
                  <w:vAlign w:val="center"/>
                </w:tcPr>
                <w:p>
                  <w:pPr>
                    <w:pStyle w:val="43"/>
                    <w:bidi w:val="0"/>
                    <w:rPr>
                      <w:rFonts w:hint="default"/>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noWrap w:val="0"/>
                  <w:vAlign w:val="center"/>
                </w:tcPr>
                <w:p>
                  <w:pPr>
                    <w:pStyle w:val="43"/>
                    <w:bidi w:val="0"/>
                    <w:rPr>
                      <w:rFonts w:hint="default"/>
                      <w:highlight w:val="none"/>
                      <w:lang w:val="en-US" w:eastAsia="zh-CN"/>
                    </w:rPr>
                  </w:pPr>
                  <w:r>
                    <w:rPr>
                      <w:rFonts w:hint="default"/>
                      <w:highlight w:val="none"/>
                      <w:lang w:val="en-US" w:eastAsia="zh-CN"/>
                    </w:rPr>
                    <w:t>DA001</w:t>
                  </w:r>
                </w:p>
              </w:tc>
              <w:tc>
                <w:tcPr>
                  <w:tcW w:w="397" w:type="pct"/>
                  <w:noWrap w:val="0"/>
                  <w:vAlign w:val="center"/>
                </w:tcPr>
                <w:p>
                  <w:pPr>
                    <w:pStyle w:val="43"/>
                    <w:bidi w:val="0"/>
                    <w:rPr>
                      <w:rFonts w:hint="default"/>
                      <w:highlight w:val="none"/>
                      <w:lang w:val="en-US" w:eastAsia="zh-CN"/>
                    </w:rPr>
                  </w:pPr>
                  <w:r>
                    <w:rPr>
                      <w:rFonts w:hint="eastAsia"/>
                      <w:highlight w:val="none"/>
                      <w:lang w:val="en-US" w:eastAsia="zh-CN"/>
                    </w:rPr>
                    <w:t>颗粒物</w:t>
                  </w:r>
                </w:p>
              </w:tc>
              <w:tc>
                <w:tcPr>
                  <w:tcW w:w="684" w:type="pct"/>
                  <w:noWrap w:val="0"/>
                  <w:vAlign w:val="center"/>
                </w:tcPr>
                <w:p>
                  <w:pPr>
                    <w:pStyle w:val="43"/>
                    <w:bidi w:val="0"/>
                    <w:rPr>
                      <w:rFonts w:hint="default"/>
                      <w:highlight w:val="none"/>
                      <w:lang w:val="en-US" w:eastAsia="zh-CN"/>
                    </w:rPr>
                  </w:pPr>
                  <w:r>
                    <w:rPr>
                      <w:rFonts w:hint="default"/>
                      <w:highlight w:val="none"/>
                      <w:lang w:val="en-US" w:eastAsia="zh-CN"/>
                    </w:rPr>
                    <w:t>一般排</w:t>
                  </w:r>
                  <w:r>
                    <w:rPr>
                      <w:rFonts w:hint="eastAsia"/>
                      <w:highlight w:val="none"/>
                      <w:lang w:val="en-US" w:eastAsia="zh-CN"/>
                    </w:rPr>
                    <w:t>放</w:t>
                  </w:r>
                  <w:r>
                    <w:rPr>
                      <w:rFonts w:hint="default"/>
                      <w:highlight w:val="none"/>
                      <w:lang w:val="en-US" w:eastAsia="zh-CN"/>
                    </w:rPr>
                    <w:t>口</w:t>
                  </w:r>
                </w:p>
              </w:tc>
              <w:tc>
                <w:tcPr>
                  <w:tcW w:w="371" w:type="pct"/>
                  <w:noWrap w:val="0"/>
                  <w:vAlign w:val="center"/>
                </w:tcPr>
                <w:p>
                  <w:pPr>
                    <w:pStyle w:val="43"/>
                    <w:bidi w:val="0"/>
                    <w:rPr>
                      <w:rFonts w:hint="default"/>
                      <w:highlight w:val="none"/>
                      <w:lang w:val="en-US" w:eastAsia="zh-CN"/>
                    </w:rPr>
                  </w:pPr>
                  <w:r>
                    <w:rPr>
                      <w:rFonts w:hint="default"/>
                      <w:highlight w:val="none"/>
                      <w:lang w:val="en-US" w:eastAsia="zh-CN"/>
                    </w:rPr>
                    <w:t>15</w:t>
                  </w:r>
                </w:p>
              </w:tc>
              <w:tc>
                <w:tcPr>
                  <w:tcW w:w="620" w:type="pct"/>
                  <w:noWrap w:val="0"/>
                  <w:vAlign w:val="center"/>
                </w:tcPr>
                <w:p>
                  <w:pPr>
                    <w:pStyle w:val="43"/>
                    <w:bidi w:val="0"/>
                    <w:rPr>
                      <w:rFonts w:hint="default"/>
                      <w:highlight w:val="none"/>
                      <w:lang w:val="en-US" w:eastAsia="zh-CN"/>
                    </w:rPr>
                  </w:pPr>
                  <w:r>
                    <w:rPr>
                      <w:rFonts w:hint="default"/>
                      <w:highlight w:val="none"/>
                      <w:lang w:val="en-US" w:eastAsia="zh-CN"/>
                    </w:rPr>
                    <w:t>0.</w:t>
                  </w:r>
                  <w:r>
                    <w:rPr>
                      <w:rFonts w:hint="eastAsia"/>
                      <w:highlight w:val="none"/>
                      <w:lang w:val="en-US" w:eastAsia="zh-CN"/>
                    </w:rPr>
                    <w:t>2</w:t>
                  </w:r>
                </w:p>
              </w:tc>
              <w:tc>
                <w:tcPr>
                  <w:tcW w:w="392" w:type="pct"/>
                  <w:noWrap w:val="0"/>
                  <w:vAlign w:val="center"/>
                </w:tcPr>
                <w:p>
                  <w:pPr>
                    <w:pStyle w:val="43"/>
                    <w:bidi w:val="0"/>
                    <w:rPr>
                      <w:rFonts w:hint="default"/>
                      <w:highlight w:val="none"/>
                      <w:lang w:val="en-US" w:eastAsia="zh-CN"/>
                    </w:rPr>
                  </w:pPr>
                  <w:r>
                    <w:rPr>
                      <w:rFonts w:hint="default"/>
                      <w:highlight w:val="none"/>
                      <w:lang w:val="en-US" w:eastAsia="zh-CN"/>
                    </w:rPr>
                    <w:t>25</w:t>
                  </w:r>
                </w:p>
              </w:tc>
              <w:tc>
                <w:tcPr>
                  <w:tcW w:w="534" w:type="pct"/>
                  <w:noWrap w:val="0"/>
                  <w:vAlign w:val="center"/>
                </w:tcPr>
                <w:p>
                  <w:pPr>
                    <w:bidi w:val="0"/>
                    <w:jc w:val="center"/>
                    <w:rPr>
                      <w:rFonts w:hint="default"/>
                      <w:highlight w:val="none"/>
                      <w:lang w:val="en-US" w:eastAsia="zh-CN"/>
                    </w:rPr>
                  </w:pPr>
                  <w:r>
                    <w:rPr>
                      <w:rFonts w:hint="eastAsia"/>
                    </w:rPr>
                    <w:t>86.60549551</w:t>
                  </w:r>
                </w:p>
              </w:tc>
              <w:tc>
                <w:tcPr>
                  <w:tcW w:w="585" w:type="pct"/>
                  <w:noWrap w:val="0"/>
                  <w:vAlign w:val="center"/>
                </w:tcPr>
                <w:p>
                  <w:pPr>
                    <w:bidi w:val="0"/>
                    <w:jc w:val="center"/>
                    <w:rPr>
                      <w:rFonts w:hint="default"/>
                      <w:highlight w:val="none"/>
                      <w:lang w:val="en-US" w:eastAsia="zh-CN"/>
                    </w:rPr>
                  </w:pPr>
                  <w:r>
                    <w:rPr>
                      <w:rFonts w:hint="eastAsia"/>
                    </w:rPr>
                    <w:t>42.04216186</w:t>
                  </w:r>
                </w:p>
              </w:tc>
              <w:tc>
                <w:tcPr>
                  <w:tcW w:w="892" w:type="pct"/>
                  <w:vMerge w:val="restart"/>
                  <w:tcBorders>
                    <w:right w:val="single" w:color="000000" w:sz="6" w:space="0"/>
                  </w:tcBorders>
                  <w:noWrap w:val="0"/>
                  <w:vAlign w:val="center"/>
                </w:tcPr>
                <w:p>
                  <w:pPr>
                    <w:pStyle w:val="43"/>
                    <w:bidi w:val="0"/>
                    <w:ind w:left="0" w:leftChars="0" w:firstLine="0" w:firstLineChars="0"/>
                    <w:jc w:val="center"/>
                    <w:rPr>
                      <w:rFonts w:hint="default"/>
                      <w:highlight w:val="none"/>
                      <w:lang w:val="en-US" w:eastAsia="zh-CN"/>
                    </w:rPr>
                  </w:pPr>
                  <w:r>
                    <w:rPr>
                      <w:rFonts w:hint="default"/>
                      <w:highlight w:val="none"/>
                      <w:lang w:val="en-US" w:eastAsia="zh-CN"/>
                    </w:rPr>
                    <w:t>《水泥工业大气污染物排放标准》（GB4915-2013）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noWrap w:val="0"/>
                  <w:vAlign w:val="center"/>
                </w:tcPr>
                <w:p>
                  <w:pPr>
                    <w:pStyle w:val="43"/>
                    <w:bidi w:val="0"/>
                    <w:rPr>
                      <w:rFonts w:hint="default"/>
                      <w:highlight w:val="none"/>
                      <w:lang w:val="en-US" w:eastAsia="zh-CN"/>
                    </w:rPr>
                  </w:pPr>
                  <w:r>
                    <w:rPr>
                      <w:rFonts w:hint="default"/>
                      <w:highlight w:val="none"/>
                      <w:lang w:val="en-US" w:eastAsia="zh-CN"/>
                    </w:rPr>
                    <w:t>DA00</w:t>
                  </w:r>
                  <w:r>
                    <w:rPr>
                      <w:rFonts w:hint="eastAsia"/>
                      <w:highlight w:val="none"/>
                      <w:lang w:val="en-US" w:eastAsia="zh-CN"/>
                    </w:rPr>
                    <w:t>2</w:t>
                  </w:r>
                </w:p>
              </w:tc>
              <w:tc>
                <w:tcPr>
                  <w:tcW w:w="397" w:type="pct"/>
                  <w:noWrap w:val="0"/>
                  <w:vAlign w:val="center"/>
                </w:tcPr>
                <w:p>
                  <w:pPr>
                    <w:pStyle w:val="43"/>
                    <w:bidi w:val="0"/>
                    <w:rPr>
                      <w:rFonts w:hint="eastAsia"/>
                      <w:highlight w:val="none"/>
                      <w:lang w:val="en-US" w:eastAsia="zh-CN"/>
                    </w:rPr>
                  </w:pPr>
                  <w:r>
                    <w:rPr>
                      <w:rFonts w:hint="eastAsia"/>
                      <w:highlight w:val="none"/>
                      <w:lang w:val="en-US" w:eastAsia="zh-CN"/>
                    </w:rPr>
                    <w:t>颗粒物</w:t>
                  </w:r>
                </w:p>
              </w:tc>
              <w:tc>
                <w:tcPr>
                  <w:tcW w:w="684" w:type="pct"/>
                  <w:noWrap w:val="0"/>
                  <w:vAlign w:val="center"/>
                </w:tcPr>
                <w:p>
                  <w:pPr>
                    <w:pStyle w:val="43"/>
                    <w:bidi w:val="0"/>
                    <w:rPr>
                      <w:rFonts w:hint="default"/>
                      <w:highlight w:val="none"/>
                      <w:lang w:val="en-US" w:eastAsia="zh-CN"/>
                    </w:rPr>
                  </w:pPr>
                  <w:r>
                    <w:rPr>
                      <w:rFonts w:hint="default"/>
                      <w:highlight w:val="none"/>
                      <w:lang w:val="en-US" w:eastAsia="zh-CN"/>
                    </w:rPr>
                    <w:t>一般排</w:t>
                  </w:r>
                  <w:r>
                    <w:rPr>
                      <w:rFonts w:hint="eastAsia"/>
                      <w:highlight w:val="none"/>
                      <w:lang w:val="en-US" w:eastAsia="zh-CN"/>
                    </w:rPr>
                    <w:t>放</w:t>
                  </w:r>
                  <w:r>
                    <w:rPr>
                      <w:rFonts w:hint="default"/>
                      <w:highlight w:val="none"/>
                      <w:lang w:val="en-US" w:eastAsia="zh-CN"/>
                    </w:rPr>
                    <w:t>口</w:t>
                  </w:r>
                </w:p>
              </w:tc>
              <w:tc>
                <w:tcPr>
                  <w:tcW w:w="371" w:type="pct"/>
                  <w:noWrap w:val="0"/>
                  <w:vAlign w:val="center"/>
                </w:tcPr>
                <w:p>
                  <w:pPr>
                    <w:pStyle w:val="43"/>
                    <w:bidi w:val="0"/>
                    <w:rPr>
                      <w:rFonts w:hint="default"/>
                      <w:highlight w:val="none"/>
                      <w:lang w:val="en-US" w:eastAsia="zh-CN"/>
                    </w:rPr>
                  </w:pPr>
                  <w:r>
                    <w:rPr>
                      <w:rFonts w:hint="default"/>
                      <w:highlight w:val="none"/>
                      <w:lang w:val="en-US" w:eastAsia="zh-CN"/>
                    </w:rPr>
                    <w:t>15</w:t>
                  </w:r>
                </w:p>
              </w:tc>
              <w:tc>
                <w:tcPr>
                  <w:tcW w:w="620" w:type="pct"/>
                  <w:noWrap w:val="0"/>
                  <w:vAlign w:val="center"/>
                </w:tcPr>
                <w:p>
                  <w:pPr>
                    <w:pStyle w:val="43"/>
                    <w:bidi w:val="0"/>
                    <w:rPr>
                      <w:rFonts w:hint="default"/>
                      <w:highlight w:val="none"/>
                      <w:lang w:val="en-US" w:eastAsia="zh-CN"/>
                    </w:rPr>
                  </w:pPr>
                  <w:r>
                    <w:rPr>
                      <w:rFonts w:hint="default"/>
                      <w:highlight w:val="none"/>
                      <w:lang w:val="en-US" w:eastAsia="zh-CN"/>
                    </w:rPr>
                    <w:t>0.</w:t>
                  </w:r>
                  <w:r>
                    <w:rPr>
                      <w:rFonts w:hint="eastAsia"/>
                      <w:highlight w:val="none"/>
                      <w:lang w:val="en-US" w:eastAsia="zh-CN"/>
                    </w:rPr>
                    <w:t>2</w:t>
                  </w:r>
                </w:p>
              </w:tc>
              <w:tc>
                <w:tcPr>
                  <w:tcW w:w="392" w:type="pct"/>
                  <w:noWrap w:val="0"/>
                  <w:vAlign w:val="center"/>
                </w:tcPr>
                <w:p>
                  <w:pPr>
                    <w:pStyle w:val="43"/>
                    <w:bidi w:val="0"/>
                    <w:rPr>
                      <w:rFonts w:hint="default"/>
                      <w:highlight w:val="none"/>
                      <w:lang w:val="en-US" w:eastAsia="zh-CN"/>
                    </w:rPr>
                  </w:pPr>
                  <w:r>
                    <w:rPr>
                      <w:rFonts w:hint="default"/>
                      <w:highlight w:val="none"/>
                      <w:lang w:val="en-US" w:eastAsia="zh-CN"/>
                    </w:rPr>
                    <w:t>25</w:t>
                  </w:r>
                </w:p>
              </w:tc>
              <w:tc>
                <w:tcPr>
                  <w:tcW w:w="534" w:type="pct"/>
                  <w:noWrap w:val="0"/>
                  <w:vAlign w:val="center"/>
                </w:tcPr>
                <w:p>
                  <w:pPr>
                    <w:pStyle w:val="43"/>
                    <w:bidi w:val="0"/>
                    <w:jc w:val="center"/>
                    <w:rPr>
                      <w:rFonts w:hint="eastAsia"/>
                      <w:highlight w:val="none"/>
                      <w:lang w:val="en-US" w:eastAsia="zh-CN"/>
                    </w:rPr>
                  </w:pPr>
                  <w:r>
                    <w:rPr>
                      <w:rFonts w:hint="eastAsia"/>
                      <w:highlight w:val="none"/>
                      <w:lang w:val="en-US" w:eastAsia="zh-CN"/>
                    </w:rPr>
                    <w:t>86.60545260</w:t>
                  </w:r>
                </w:p>
              </w:tc>
              <w:tc>
                <w:tcPr>
                  <w:tcW w:w="585" w:type="pct"/>
                  <w:noWrap w:val="0"/>
                  <w:vAlign w:val="center"/>
                </w:tcPr>
                <w:p>
                  <w:pPr>
                    <w:pStyle w:val="43"/>
                    <w:bidi w:val="0"/>
                    <w:jc w:val="center"/>
                    <w:rPr>
                      <w:rFonts w:hint="eastAsia"/>
                      <w:highlight w:val="none"/>
                      <w:lang w:val="en-US" w:eastAsia="zh-CN"/>
                    </w:rPr>
                  </w:pPr>
                  <w:r>
                    <w:rPr>
                      <w:rFonts w:hint="eastAsia"/>
                      <w:highlight w:val="none"/>
                      <w:lang w:val="en-US" w:eastAsia="zh-CN"/>
                    </w:rPr>
                    <w:t>42.04217979</w:t>
                  </w:r>
                </w:p>
              </w:tc>
              <w:tc>
                <w:tcPr>
                  <w:tcW w:w="892" w:type="pct"/>
                  <w:vMerge w:val="continue"/>
                  <w:tcBorders>
                    <w:right w:val="single" w:color="000000" w:sz="6" w:space="0"/>
                  </w:tcBorders>
                  <w:noWrap w:val="0"/>
                  <w:vAlign w:val="center"/>
                </w:tcPr>
                <w:p>
                  <w:pPr>
                    <w:pStyle w:val="43"/>
                    <w:bidi w:val="0"/>
                    <w:ind w:left="0" w:leftChars="0" w:firstLine="0" w:firstLineChars="0"/>
                    <w:jc w:val="center"/>
                    <w:rPr>
                      <w:rFonts w:hint="default"/>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noWrap w:val="0"/>
                  <w:vAlign w:val="center"/>
                </w:tcPr>
                <w:p>
                  <w:pPr>
                    <w:pStyle w:val="43"/>
                    <w:bidi w:val="0"/>
                    <w:rPr>
                      <w:rFonts w:hint="default"/>
                      <w:highlight w:val="none"/>
                      <w:lang w:val="en-US" w:eastAsia="zh-CN"/>
                    </w:rPr>
                  </w:pPr>
                  <w:r>
                    <w:rPr>
                      <w:rFonts w:hint="default"/>
                      <w:highlight w:val="none"/>
                      <w:lang w:val="en-US" w:eastAsia="zh-CN"/>
                    </w:rPr>
                    <w:t>DA00</w:t>
                  </w:r>
                  <w:r>
                    <w:rPr>
                      <w:rFonts w:hint="eastAsia"/>
                      <w:highlight w:val="none"/>
                      <w:lang w:val="en-US" w:eastAsia="zh-CN"/>
                    </w:rPr>
                    <w:t>3</w:t>
                  </w:r>
                </w:p>
              </w:tc>
              <w:tc>
                <w:tcPr>
                  <w:tcW w:w="397" w:type="pct"/>
                  <w:noWrap w:val="0"/>
                  <w:vAlign w:val="center"/>
                </w:tcPr>
                <w:p>
                  <w:pPr>
                    <w:pStyle w:val="43"/>
                    <w:bidi w:val="0"/>
                    <w:rPr>
                      <w:rFonts w:hint="eastAsia"/>
                      <w:highlight w:val="none"/>
                      <w:lang w:val="en-US" w:eastAsia="zh-CN"/>
                    </w:rPr>
                  </w:pPr>
                  <w:r>
                    <w:rPr>
                      <w:rFonts w:hint="eastAsia"/>
                      <w:highlight w:val="none"/>
                      <w:lang w:val="en-US" w:eastAsia="zh-CN"/>
                    </w:rPr>
                    <w:t>颗粒物</w:t>
                  </w:r>
                </w:p>
              </w:tc>
              <w:tc>
                <w:tcPr>
                  <w:tcW w:w="684" w:type="pct"/>
                  <w:noWrap w:val="0"/>
                  <w:vAlign w:val="center"/>
                </w:tcPr>
                <w:p>
                  <w:pPr>
                    <w:pStyle w:val="43"/>
                    <w:bidi w:val="0"/>
                    <w:rPr>
                      <w:rFonts w:hint="default"/>
                      <w:highlight w:val="none"/>
                      <w:lang w:val="en-US" w:eastAsia="zh-CN"/>
                    </w:rPr>
                  </w:pPr>
                  <w:r>
                    <w:rPr>
                      <w:rFonts w:hint="default"/>
                      <w:highlight w:val="none"/>
                      <w:lang w:val="en-US" w:eastAsia="zh-CN"/>
                    </w:rPr>
                    <w:t>一般排</w:t>
                  </w:r>
                  <w:r>
                    <w:rPr>
                      <w:rFonts w:hint="eastAsia"/>
                      <w:highlight w:val="none"/>
                      <w:lang w:val="en-US" w:eastAsia="zh-CN"/>
                    </w:rPr>
                    <w:t>放</w:t>
                  </w:r>
                  <w:r>
                    <w:rPr>
                      <w:rFonts w:hint="default"/>
                      <w:highlight w:val="none"/>
                      <w:lang w:val="en-US" w:eastAsia="zh-CN"/>
                    </w:rPr>
                    <w:t>口</w:t>
                  </w:r>
                </w:p>
              </w:tc>
              <w:tc>
                <w:tcPr>
                  <w:tcW w:w="371" w:type="pct"/>
                  <w:noWrap w:val="0"/>
                  <w:vAlign w:val="center"/>
                </w:tcPr>
                <w:p>
                  <w:pPr>
                    <w:pStyle w:val="43"/>
                    <w:bidi w:val="0"/>
                    <w:rPr>
                      <w:rFonts w:hint="default"/>
                      <w:highlight w:val="none"/>
                      <w:lang w:val="en-US" w:eastAsia="zh-CN"/>
                    </w:rPr>
                  </w:pPr>
                  <w:r>
                    <w:rPr>
                      <w:rFonts w:hint="default"/>
                      <w:highlight w:val="none"/>
                      <w:lang w:val="en-US" w:eastAsia="zh-CN"/>
                    </w:rPr>
                    <w:t>15</w:t>
                  </w:r>
                </w:p>
              </w:tc>
              <w:tc>
                <w:tcPr>
                  <w:tcW w:w="620" w:type="pct"/>
                  <w:noWrap w:val="0"/>
                  <w:vAlign w:val="center"/>
                </w:tcPr>
                <w:p>
                  <w:pPr>
                    <w:pStyle w:val="43"/>
                    <w:bidi w:val="0"/>
                    <w:rPr>
                      <w:rFonts w:hint="default"/>
                      <w:highlight w:val="none"/>
                      <w:lang w:val="en-US" w:eastAsia="zh-CN"/>
                    </w:rPr>
                  </w:pPr>
                  <w:r>
                    <w:rPr>
                      <w:rFonts w:hint="default"/>
                      <w:highlight w:val="none"/>
                      <w:lang w:val="en-US" w:eastAsia="zh-CN"/>
                    </w:rPr>
                    <w:t>0.</w:t>
                  </w:r>
                  <w:r>
                    <w:rPr>
                      <w:rFonts w:hint="eastAsia"/>
                      <w:highlight w:val="none"/>
                      <w:lang w:val="en-US" w:eastAsia="zh-CN"/>
                    </w:rPr>
                    <w:t>3</w:t>
                  </w:r>
                </w:p>
              </w:tc>
              <w:tc>
                <w:tcPr>
                  <w:tcW w:w="392" w:type="pct"/>
                  <w:noWrap w:val="0"/>
                  <w:vAlign w:val="center"/>
                </w:tcPr>
                <w:p>
                  <w:pPr>
                    <w:pStyle w:val="43"/>
                    <w:bidi w:val="0"/>
                    <w:rPr>
                      <w:rFonts w:hint="default"/>
                      <w:highlight w:val="none"/>
                      <w:lang w:val="en-US" w:eastAsia="zh-CN"/>
                    </w:rPr>
                  </w:pPr>
                  <w:r>
                    <w:rPr>
                      <w:rFonts w:hint="default"/>
                      <w:highlight w:val="none"/>
                      <w:lang w:val="en-US" w:eastAsia="zh-CN"/>
                    </w:rPr>
                    <w:t>25</w:t>
                  </w:r>
                </w:p>
              </w:tc>
              <w:tc>
                <w:tcPr>
                  <w:tcW w:w="534" w:type="pct"/>
                  <w:noWrap w:val="0"/>
                  <w:vAlign w:val="center"/>
                </w:tcPr>
                <w:p>
                  <w:pPr>
                    <w:pStyle w:val="43"/>
                    <w:bidi w:val="0"/>
                    <w:jc w:val="center"/>
                    <w:rPr>
                      <w:rFonts w:hint="eastAsia"/>
                      <w:highlight w:val="none"/>
                      <w:lang w:val="en-US" w:eastAsia="zh-CN"/>
                    </w:rPr>
                  </w:pPr>
                  <w:r>
                    <w:rPr>
                      <w:rFonts w:hint="eastAsia"/>
                      <w:highlight w:val="none"/>
                      <w:lang w:val="en-US" w:eastAsia="zh-CN"/>
                    </w:rPr>
                    <w:t>86.60542980</w:t>
                  </w:r>
                </w:p>
              </w:tc>
              <w:tc>
                <w:tcPr>
                  <w:tcW w:w="585" w:type="pct"/>
                  <w:noWrap w:val="0"/>
                  <w:vAlign w:val="center"/>
                </w:tcPr>
                <w:p>
                  <w:pPr>
                    <w:pStyle w:val="43"/>
                    <w:bidi w:val="0"/>
                    <w:jc w:val="center"/>
                    <w:rPr>
                      <w:rFonts w:hint="eastAsia"/>
                      <w:highlight w:val="none"/>
                      <w:lang w:val="en-US" w:eastAsia="zh-CN"/>
                    </w:rPr>
                  </w:pPr>
                  <w:r>
                    <w:rPr>
                      <w:rFonts w:hint="eastAsia"/>
                      <w:highlight w:val="none"/>
                      <w:lang w:val="en-US" w:eastAsia="zh-CN"/>
                    </w:rPr>
                    <w:t>42.04231823</w:t>
                  </w:r>
                </w:p>
              </w:tc>
              <w:tc>
                <w:tcPr>
                  <w:tcW w:w="892" w:type="pct"/>
                  <w:vMerge w:val="continue"/>
                  <w:tcBorders>
                    <w:right w:val="single" w:color="000000" w:sz="6" w:space="0"/>
                  </w:tcBorders>
                  <w:noWrap w:val="0"/>
                  <w:vAlign w:val="center"/>
                </w:tcPr>
                <w:p>
                  <w:pPr>
                    <w:pStyle w:val="43"/>
                    <w:bidi w:val="0"/>
                    <w:ind w:left="0" w:leftChars="0" w:firstLine="0" w:firstLineChars="0"/>
                    <w:jc w:val="center"/>
                    <w:rPr>
                      <w:rFonts w:hint="default"/>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noWrap w:val="0"/>
                  <w:vAlign w:val="center"/>
                </w:tcPr>
                <w:p>
                  <w:pPr>
                    <w:pStyle w:val="43"/>
                    <w:bidi w:val="0"/>
                    <w:rPr>
                      <w:rFonts w:hint="default"/>
                      <w:highlight w:val="none"/>
                      <w:lang w:val="en-US" w:eastAsia="zh-CN"/>
                    </w:rPr>
                  </w:pPr>
                  <w:r>
                    <w:rPr>
                      <w:rFonts w:hint="default"/>
                      <w:highlight w:val="none"/>
                      <w:lang w:val="en-US" w:eastAsia="zh-CN"/>
                    </w:rPr>
                    <w:t>DA00</w:t>
                  </w:r>
                  <w:r>
                    <w:rPr>
                      <w:rFonts w:hint="eastAsia"/>
                      <w:highlight w:val="none"/>
                      <w:lang w:val="en-US" w:eastAsia="zh-CN"/>
                    </w:rPr>
                    <w:t>4</w:t>
                  </w:r>
                </w:p>
              </w:tc>
              <w:tc>
                <w:tcPr>
                  <w:tcW w:w="397" w:type="pct"/>
                  <w:noWrap w:val="0"/>
                  <w:vAlign w:val="center"/>
                </w:tcPr>
                <w:p>
                  <w:pPr>
                    <w:pStyle w:val="43"/>
                    <w:bidi w:val="0"/>
                    <w:rPr>
                      <w:rFonts w:hint="eastAsia"/>
                      <w:highlight w:val="none"/>
                      <w:lang w:val="en-US" w:eastAsia="zh-CN"/>
                    </w:rPr>
                  </w:pPr>
                  <w:r>
                    <w:rPr>
                      <w:rFonts w:hint="eastAsia"/>
                      <w:highlight w:val="none"/>
                      <w:lang w:val="en-US" w:eastAsia="zh-CN"/>
                    </w:rPr>
                    <w:t>颗粒物</w:t>
                  </w:r>
                </w:p>
              </w:tc>
              <w:tc>
                <w:tcPr>
                  <w:tcW w:w="684" w:type="pct"/>
                  <w:noWrap w:val="0"/>
                  <w:vAlign w:val="center"/>
                </w:tcPr>
                <w:p>
                  <w:pPr>
                    <w:pStyle w:val="43"/>
                    <w:bidi w:val="0"/>
                    <w:rPr>
                      <w:rFonts w:hint="default"/>
                      <w:highlight w:val="none"/>
                      <w:lang w:val="en-US" w:eastAsia="zh-CN"/>
                    </w:rPr>
                  </w:pPr>
                  <w:r>
                    <w:rPr>
                      <w:rFonts w:hint="default"/>
                      <w:highlight w:val="none"/>
                      <w:lang w:val="en-US" w:eastAsia="zh-CN"/>
                    </w:rPr>
                    <w:t>一般排</w:t>
                  </w:r>
                  <w:r>
                    <w:rPr>
                      <w:rFonts w:hint="eastAsia"/>
                      <w:highlight w:val="none"/>
                      <w:lang w:val="en-US" w:eastAsia="zh-CN"/>
                    </w:rPr>
                    <w:t>放</w:t>
                  </w:r>
                  <w:r>
                    <w:rPr>
                      <w:rFonts w:hint="default"/>
                      <w:highlight w:val="none"/>
                      <w:lang w:val="en-US" w:eastAsia="zh-CN"/>
                    </w:rPr>
                    <w:t>口</w:t>
                  </w:r>
                </w:p>
              </w:tc>
              <w:tc>
                <w:tcPr>
                  <w:tcW w:w="371" w:type="pct"/>
                  <w:noWrap w:val="0"/>
                  <w:vAlign w:val="center"/>
                </w:tcPr>
                <w:p>
                  <w:pPr>
                    <w:pStyle w:val="43"/>
                    <w:bidi w:val="0"/>
                    <w:rPr>
                      <w:rFonts w:hint="default"/>
                      <w:highlight w:val="none"/>
                      <w:lang w:val="en-US" w:eastAsia="zh-CN"/>
                    </w:rPr>
                  </w:pPr>
                  <w:r>
                    <w:rPr>
                      <w:rFonts w:hint="default"/>
                      <w:highlight w:val="none"/>
                      <w:lang w:val="en-US" w:eastAsia="zh-CN"/>
                    </w:rPr>
                    <w:t>15</w:t>
                  </w:r>
                </w:p>
              </w:tc>
              <w:tc>
                <w:tcPr>
                  <w:tcW w:w="620" w:type="pct"/>
                  <w:noWrap w:val="0"/>
                  <w:vAlign w:val="center"/>
                </w:tcPr>
                <w:p>
                  <w:pPr>
                    <w:pStyle w:val="43"/>
                    <w:bidi w:val="0"/>
                    <w:rPr>
                      <w:rFonts w:hint="default"/>
                      <w:highlight w:val="none"/>
                      <w:lang w:val="en-US" w:eastAsia="zh-CN"/>
                    </w:rPr>
                  </w:pPr>
                  <w:r>
                    <w:rPr>
                      <w:rFonts w:hint="default"/>
                      <w:highlight w:val="none"/>
                      <w:lang w:val="en-US" w:eastAsia="zh-CN"/>
                    </w:rPr>
                    <w:t>0.</w:t>
                  </w:r>
                  <w:r>
                    <w:rPr>
                      <w:rFonts w:hint="eastAsia"/>
                      <w:highlight w:val="none"/>
                      <w:lang w:val="en-US" w:eastAsia="zh-CN"/>
                    </w:rPr>
                    <w:t>3</w:t>
                  </w:r>
                </w:p>
              </w:tc>
              <w:tc>
                <w:tcPr>
                  <w:tcW w:w="392" w:type="pct"/>
                  <w:noWrap w:val="0"/>
                  <w:vAlign w:val="center"/>
                </w:tcPr>
                <w:p>
                  <w:pPr>
                    <w:pStyle w:val="43"/>
                    <w:bidi w:val="0"/>
                    <w:rPr>
                      <w:rFonts w:hint="default"/>
                      <w:highlight w:val="none"/>
                      <w:lang w:val="en-US" w:eastAsia="zh-CN"/>
                    </w:rPr>
                  </w:pPr>
                  <w:r>
                    <w:rPr>
                      <w:rFonts w:hint="default"/>
                      <w:highlight w:val="none"/>
                      <w:lang w:val="en-US" w:eastAsia="zh-CN"/>
                    </w:rPr>
                    <w:t>25</w:t>
                  </w:r>
                </w:p>
              </w:tc>
              <w:tc>
                <w:tcPr>
                  <w:tcW w:w="534" w:type="pct"/>
                  <w:noWrap w:val="0"/>
                  <w:vAlign w:val="center"/>
                </w:tcPr>
                <w:p>
                  <w:pPr>
                    <w:pStyle w:val="43"/>
                    <w:bidi w:val="0"/>
                    <w:jc w:val="center"/>
                    <w:rPr>
                      <w:rFonts w:hint="eastAsia"/>
                      <w:highlight w:val="none"/>
                      <w:lang w:val="en-US" w:eastAsia="zh-CN"/>
                    </w:rPr>
                  </w:pPr>
                  <w:r>
                    <w:rPr>
                      <w:rFonts w:hint="eastAsia"/>
                      <w:highlight w:val="none"/>
                      <w:lang w:val="en-US" w:eastAsia="zh-CN"/>
                    </w:rPr>
                    <w:t>86.60553575</w:t>
                  </w:r>
                </w:p>
              </w:tc>
              <w:tc>
                <w:tcPr>
                  <w:tcW w:w="585" w:type="pct"/>
                  <w:noWrap w:val="0"/>
                  <w:vAlign w:val="center"/>
                </w:tcPr>
                <w:p>
                  <w:pPr>
                    <w:pStyle w:val="43"/>
                    <w:bidi w:val="0"/>
                    <w:jc w:val="center"/>
                    <w:rPr>
                      <w:rFonts w:hint="eastAsia"/>
                      <w:highlight w:val="none"/>
                      <w:lang w:val="en-US" w:eastAsia="zh-CN"/>
                    </w:rPr>
                  </w:pPr>
                  <w:r>
                    <w:rPr>
                      <w:rFonts w:hint="eastAsia"/>
                      <w:highlight w:val="none"/>
                      <w:lang w:val="en-US" w:eastAsia="zh-CN"/>
                    </w:rPr>
                    <w:t>42.04223557</w:t>
                  </w:r>
                </w:p>
              </w:tc>
              <w:tc>
                <w:tcPr>
                  <w:tcW w:w="892" w:type="pct"/>
                  <w:vMerge w:val="continue"/>
                  <w:tcBorders>
                    <w:right w:val="single" w:color="000000" w:sz="6" w:space="0"/>
                  </w:tcBorders>
                  <w:noWrap w:val="0"/>
                  <w:vAlign w:val="center"/>
                </w:tcPr>
                <w:p>
                  <w:pPr>
                    <w:pStyle w:val="43"/>
                    <w:bidi w:val="0"/>
                    <w:ind w:left="0" w:leftChars="0" w:firstLine="0" w:firstLineChars="0"/>
                    <w:jc w:val="center"/>
                    <w:rPr>
                      <w:rFonts w:hint="default"/>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9" w:type="pct"/>
                  <w:noWrap w:val="0"/>
                  <w:vAlign w:val="center"/>
                </w:tcPr>
                <w:p>
                  <w:pPr>
                    <w:pStyle w:val="43"/>
                    <w:bidi w:val="0"/>
                    <w:rPr>
                      <w:rFonts w:hint="default"/>
                      <w:highlight w:val="none"/>
                      <w:lang w:val="en-US" w:eastAsia="zh-CN"/>
                    </w:rPr>
                  </w:pPr>
                  <w:r>
                    <w:rPr>
                      <w:rFonts w:hint="eastAsia"/>
                      <w:highlight w:val="none"/>
                      <w:lang w:val="en-US" w:eastAsia="zh-CN"/>
                    </w:rPr>
                    <w:t>DA005</w:t>
                  </w:r>
                </w:p>
              </w:tc>
              <w:tc>
                <w:tcPr>
                  <w:tcW w:w="397" w:type="pct"/>
                  <w:noWrap w:val="0"/>
                  <w:vAlign w:val="center"/>
                </w:tcPr>
                <w:p>
                  <w:pPr>
                    <w:pStyle w:val="43"/>
                    <w:bidi w:val="0"/>
                    <w:ind w:left="0" w:leftChars="0" w:firstLine="0" w:firstLineChars="0"/>
                    <w:jc w:val="center"/>
                    <w:rPr>
                      <w:rFonts w:hint="default"/>
                      <w:highlight w:val="none"/>
                      <w:lang w:val="en-US" w:eastAsia="zh-CN"/>
                    </w:rPr>
                  </w:pPr>
                  <w:r>
                    <w:rPr>
                      <w:rFonts w:hint="eastAsia"/>
                      <w:highlight w:val="none"/>
                      <w:lang w:val="en-US" w:eastAsia="zh-CN"/>
                    </w:rPr>
                    <w:t>油烟</w:t>
                  </w:r>
                </w:p>
              </w:tc>
              <w:tc>
                <w:tcPr>
                  <w:tcW w:w="684" w:type="pct"/>
                  <w:noWrap w:val="0"/>
                  <w:vAlign w:val="center"/>
                </w:tcPr>
                <w:p>
                  <w:pPr>
                    <w:pStyle w:val="43"/>
                    <w:bidi w:val="0"/>
                    <w:rPr>
                      <w:rFonts w:hint="default"/>
                      <w:highlight w:val="none"/>
                      <w:lang w:val="en-US" w:eastAsia="zh-CN"/>
                    </w:rPr>
                  </w:pPr>
                  <w:r>
                    <w:rPr>
                      <w:rFonts w:hint="default"/>
                      <w:highlight w:val="none"/>
                      <w:lang w:val="en-US" w:eastAsia="zh-CN"/>
                    </w:rPr>
                    <w:t>一般排</w:t>
                  </w:r>
                  <w:r>
                    <w:rPr>
                      <w:rFonts w:hint="eastAsia"/>
                      <w:highlight w:val="none"/>
                      <w:lang w:val="en-US" w:eastAsia="zh-CN"/>
                    </w:rPr>
                    <w:t>放</w:t>
                  </w:r>
                  <w:r>
                    <w:rPr>
                      <w:rFonts w:hint="default"/>
                      <w:highlight w:val="none"/>
                      <w:lang w:val="en-US" w:eastAsia="zh-CN"/>
                    </w:rPr>
                    <w:t>口</w:t>
                  </w:r>
                </w:p>
              </w:tc>
              <w:tc>
                <w:tcPr>
                  <w:tcW w:w="371" w:type="pct"/>
                  <w:noWrap w:val="0"/>
                  <w:vAlign w:val="center"/>
                </w:tcPr>
                <w:p>
                  <w:pPr>
                    <w:pStyle w:val="43"/>
                    <w:bidi w:val="0"/>
                    <w:ind w:left="420" w:leftChars="0" w:hanging="420" w:hangingChars="200"/>
                    <w:rPr>
                      <w:rFonts w:hint="default"/>
                      <w:highlight w:val="none"/>
                      <w:lang w:val="en-US" w:eastAsia="zh-CN"/>
                    </w:rPr>
                  </w:pPr>
                  <w:r>
                    <w:rPr>
                      <w:rFonts w:hint="eastAsia"/>
                      <w:highlight w:val="none"/>
                      <w:lang w:val="en-US" w:eastAsia="zh-CN"/>
                    </w:rPr>
                    <w:t>2</w:t>
                  </w:r>
                </w:p>
              </w:tc>
              <w:tc>
                <w:tcPr>
                  <w:tcW w:w="620" w:type="pct"/>
                  <w:noWrap w:val="0"/>
                  <w:vAlign w:val="center"/>
                </w:tcPr>
                <w:p>
                  <w:pPr>
                    <w:pStyle w:val="43"/>
                    <w:bidi w:val="0"/>
                    <w:rPr>
                      <w:rFonts w:hint="default"/>
                      <w:highlight w:val="none"/>
                      <w:lang w:val="en-US" w:eastAsia="zh-CN"/>
                    </w:rPr>
                  </w:pPr>
                  <w:r>
                    <w:rPr>
                      <w:rFonts w:hint="eastAsia"/>
                      <w:highlight w:val="none"/>
                      <w:lang w:val="en-US" w:eastAsia="zh-CN"/>
                    </w:rPr>
                    <w:t>0.1</w:t>
                  </w:r>
                </w:p>
              </w:tc>
              <w:tc>
                <w:tcPr>
                  <w:tcW w:w="392" w:type="pct"/>
                  <w:noWrap w:val="0"/>
                  <w:vAlign w:val="center"/>
                </w:tcPr>
                <w:p>
                  <w:pPr>
                    <w:pStyle w:val="43"/>
                    <w:bidi w:val="0"/>
                    <w:ind w:left="420" w:leftChars="0" w:hanging="420" w:hangingChars="200"/>
                    <w:rPr>
                      <w:rFonts w:hint="default"/>
                      <w:highlight w:val="none"/>
                      <w:lang w:val="en-US" w:eastAsia="zh-CN"/>
                    </w:rPr>
                  </w:pPr>
                  <w:r>
                    <w:rPr>
                      <w:rFonts w:hint="eastAsia"/>
                      <w:highlight w:val="none"/>
                      <w:lang w:val="en-US" w:eastAsia="zh-CN"/>
                    </w:rPr>
                    <w:t>45</w:t>
                  </w:r>
                </w:p>
              </w:tc>
              <w:tc>
                <w:tcPr>
                  <w:tcW w:w="534" w:type="pct"/>
                  <w:noWrap w:val="0"/>
                  <w:vAlign w:val="center"/>
                </w:tcPr>
                <w:p>
                  <w:pPr>
                    <w:pStyle w:val="43"/>
                    <w:bidi w:val="0"/>
                    <w:jc w:val="center"/>
                    <w:rPr>
                      <w:rFonts w:hint="eastAsia"/>
                      <w:highlight w:val="none"/>
                      <w:lang w:val="en-US" w:eastAsia="zh-CN"/>
                    </w:rPr>
                  </w:pPr>
                  <w:r>
                    <w:rPr>
                      <w:rFonts w:hint="eastAsia"/>
                      <w:highlight w:val="none"/>
                      <w:lang w:val="en-US" w:eastAsia="zh-CN"/>
                    </w:rPr>
                    <w:t>86.60440654</w:t>
                  </w:r>
                </w:p>
              </w:tc>
              <w:tc>
                <w:tcPr>
                  <w:tcW w:w="585" w:type="pct"/>
                  <w:noWrap w:val="0"/>
                  <w:vAlign w:val="center"/>
                </w:tcPr>
                <w:p>
                  <w:pPr>
                    <w:pStyle w:val="43"/>
                    <w:bidi w:val="0"/>
                    <w:jc w:val="center"/>
                    <w:rPr>
                      <w:rFonts w:hint="eastAsia"/>
                      <w:highlight w:val="none"/>
                      <w:lang w:val="en-US" w:eastAsia="zh-CN"/>
                    </w:rPr>
                  </w:pPr>
                  <w:r>
                    <w:rPr>
                      <w:rFonts w:hint="eastAsia"/>
                      <w:highlight w:val="none"/>
                      <w:lang w:val="en-US" w:eastAsia="zh-CN"/>
                    </w:rPr>
                    <w:t>42.04297656</w:t>
                  </w:r>
                </w:p>
              </w:tc>
              <w:tc>
                <w:tcPr>
                  <w:tcW w:w="892" w:type="pct"/>
                  <w:tcBorders>
                    <w:right w:val="single" w:color="000000" w:sz="6" w:space="0"/>
                  </w:tcBorders>
                  <w:noWrap w:val="0"/>
                  <w:vAlign w:val="center"/>
                </w:tcPr>
                <w:p>
                  <w:pPr>
                    <w:pStyle w:val="43"/>
                    <w:bidi w:val="0"/>
                    <w:ind w:left="0" w:leftChars="0" w:firstLine="0" w:firstLineChars="0"/>
                    <w:jc w:val="center"/>
                    <w:rPr>
                      <w:rFonts w:hint="eastAsia"/>
                      <w:sz w:val="21"/>
                      <w:szCs w:val="21"/>
                      <w:highlight w:val="none"/>
                      <w:lang w:val="en-US" w:eastAsia="zh-CN"/>
                    </w:rPr>
                  </w:pPr>
                  <w:r>
                    <w:rPr>
                      <w:rFonts w:hint="default" w:ascii="Times New Roman" w:hAnsi="Times New Roman" w:cs="Times New Roman"/>
                      <w:highlight w:val="none"/>
                      <w:lang w:val="en-US" w:eastAsia="zh-CN"/>
                    </w:rPr>
                    <w:t>《饮食业油烟排放标准（试行）》（GB18483-2001）</w:t>
                  </w:r>
                </w:p>
              </w:tc>
            </w:tr>
          </w:tbl>
          <w:p>
            <w:pPr>
              <w:pStyle w:val="40"/>
              <w:spacing w:line="240" w:lineRule="auto"/>
              <w:rPr>
                <w:rFonts w:hint="default" w:eastAsia="宋体"/>
                <w:highlight w:val="none"/>
                <w:lang w:val="en-US" w:eastAsia="zh-CN"/>
              </w:rPr>
            </w:pPr>
          </w:p>
          <w:p>
            <w:pPr>
              <w:pStyle w:val="40"/>
              <w:spacing w:line="240" w:lineRule="auto"/>
              <w:rPr>
                <w:rFonts w:hint="default" w:eastAsia="宋体"/>
                <w:highlight w:val="none"/>
                <w:lang w:val="en-US" w:eastAsia="zh-CN"/>
              </w:rPr>
            </w:pPr>
          </w:p>
          <w:p>
            <w:pPr>
              <w:pStyle w:val="40"/>
              <w:spacing w:line="240" w:lineRule="auto"/>
              <w:rPr>
                <w:rFonts w:hint="default" w:eastAsia="宋体"/>
                <w:highlight w:val="none"/>
                <w:lang w:val="en-US" w:eastAsia="zh-CN"/>
              </w:rPr>
            </w:pPr>
          </w:p>
          <w:p>
            <w:pPr>
              <w:pStyle w:val="40"/>
              <w:spacing w:line="240" w:lineRule="auto"/>
              <w:rPr>
                <w:rFonts w:hint="default" w:eastAsia="宋体"/>
                <w:highlight w:val="none"/>
                <w:lang w:val="en-US" w:eastAsia="zh-CN"/>
              </w:rPr>
            </w:pPr>
          </w:p>
          <w:p>
            <w:pPr>
              <w:pStyle w:val="40"/>
              <w:spacing w:line="240" w:lineRule="auto"/>
              <w:rPr>
                <w:rFonts w:hint="default" w:eastAsia="宋体"/>
                <w:highlight w:val="none"/>
                <w:lang w:val="en-US" w:eastAsia="zh-CN"/>
              </w:rPr>
            </w:pPr>
          </w:p>
          <w:p>
            <w:pPr>
              <w:pStyle w:val="40"/>
              <w:spacing w:line="240" w:lineRule="auto"/>
              <w:rPr>
                <w:rFonts w:hint="default" w:eastAsia="宋体"/>
                <w:highlight w:val="none"/>
                <w:lang w:val="en-US" w:eastAsia="zh-CN"/>
              </w:rPr>
            </w:pPr>
          </w:p>
        </w:tc>
      </w:tr>
    </w:tbl>
    <w:p>
      <w:pPr>
        <w:adjustRightInd w:val="0"/>
        <w:snapToGrid w:val="0"/>
        <w:spacing w:line="360" w:lineRule="auto"/>
        <w:rPr>
          <w:rFonts w:hint="eastAsia" w:ascii="宋体" w:hAnsi="宋体" w:eastAsia="宋体" w:cs="宋体"/>
          <w:b/>
          <w:color w:val="auto"/>
          <w:kern w:val="0"/>
          <w:sz w:val="28"/>
          <w:szCs w:val="28"/>
          <w:highlight w:val="none"/>
        </w:rPr>
        <w:sectPr>
          <w:pgSz w:w="16840" w:h="11907"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2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20" w:hRule="atLeast"/>
          <w:jc w:val="center"/>
        </w:trPr>
        <w:tc>
          <w:tcPr>
            <w:tcW w:w="268"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运营</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期环</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境影</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响和</w:t>
            </w:r>
          </w:p>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保护</w:t>
            </w:r>
          </w:p>
          <w:p>
            <w:pPr>
              <w:adjustRightInd w:val="0"/>
              <w:snapToGrid w:val="0"/>
              <w:jc w:val="center"/>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rPr>
              <w:t>措施</w:t>
            </w:r>
          </w:p>
        </w:tc>
        <w:tc>
          <w:tcPr>
            <w:tcW w:w="4731" w:type="pct"/>
            <w:noWrap/>
            <w:vAlign w:val="top"/>
          </w:tcPr>
          <w:p>
            <w:pPr>
              <w:pStyle w:val="44"/>
              <w:bidi w:val="0"/>
              <w:rPr>
                <w:rFonts w:hint="eastAsia"/>
                <w:highlight w:val="none"/>
                <w:lang w:val="en-US" w:eastAsia="zh-CN"/>
              </w:rPr>
            </w:pPr>
            <w:r>
              <w:rPr>
                <w:rFonts w:hint="eastAsia"/>
                <w:highlight w:val="none"/>
                <w:lang w:val="en-US" w:eastAsia="zh-CN"/>
              </w:rPr>
              <w:t>1.3非正常工况废气排放情况</w:t>
            </w:r>
          </w:p>
          <w:p>
            <w:pPr>
              <w:pStyle w:val="44"/>
              <w:bidi w:val="0"/>
              <w:rPr>
                <w:rFonts w:hint="eastAsia"/>
                <w:highlight w:val="none"/>
                <w:lang w:val="en-US" w:eastAsia="zh-CN"/>
              </w:rPr>
            </w:pPr>
            <w:r>
              <w:rPr>
                <w:rFonts w:hint="eastAsia"/>
                <w:highlight w:val="none"/>
                <w:lang w:val="en-US" w:eastAsia="zh-CN"/>
              </w:rPr>
              <w:t>当废气处理设备出现故障时，生产过程排放的废气将未经处理直接排入大气，造成非正常排放。本工程排风系统均设有安全保护电源和报警系统，设备每年检修一次，基本上能保证无故障运行。日常运行中，若出现故障，检修人员可立即到现场进行维修，一般操作在30分钟内基本上可以完成，预计最长不会超过60分钟。</w:t>
            </w:r>
          </w:p>
          <w:p>
            <w:pPr>
              <w:pStyle w:val="44"/>
              <w:bidi w:val="0"/>
              <w:rPr>
                <w:rFonts w:hint="eastAsia"/>
                <w:highlight w:val="none"/>
                <w:lang w:val="en-US" w:eastAsia="zh-CN"/>
              </w:rPr>
            </w:pPr>
            <w:r>
              <w:rPr>
                <w:rFonts w:hint="eastAsia"/>
                <w:highlight w:val="none"/>
                <w:lang w:val="en-US" w:eastAsia="zh-CN"/>
              </w:rPr>
              <w:t>废气处理系统出现故障，一般有3种情况：停电、净化装置和风机出现故障，对生产异常情况，采取以下措施：</w:t>
            </w:r>
          </w:p>
          <w:p>
            <w:pPr>
              <w:pStyle w:val="44"/>
              <w:bidi w:val="0"/>
              <w:rPr>
                <w:rFonts w:hint="eastAsia"/>
                <w:highlight w:val="none"/>
                <w:lang w:val="en-US" w:eastAsia="zh-CN"/>
              </w:rPr>
            </w:pPr>
            <w:r>
              <w:rPr>
                <w:rFonts w:hint="eastAsia"/>
                <w:highlight w:val="none"/>
                <w:lang w:val="en-US" w:eastAsia="zh-CN"/>
              </w:rPr>
              <w:t>①如果全厂停电，停止生产，无污染物产生。为确保安全，风机仍然继续运转（采用UPS）。</w:t>
            </w:r>
          </w:p>
          <w:p>
            <w:pPr>
              <w:pStyle w:val="44"/>
              <w:bidi w:val="0"/>
              <w:rPr>
                <w:rFonts w:hint="eastAsia"/>
                <w:highlight w:val="none"/>
                <w:lang w:val="en-US" w:eastAsia="zh-CN"/>
              </w:rPr>
            </w:pPr>
            <w:r>
              <w:rPr>
                <w:rFonts w:hint="eastAsia"/>
                <w:highlight w:val="none"/>
                <w:lang w:val="en-US" w:eastAsia="zh-CN"/>
              </w:rPr>
              <w:t>②风机出现故障时，备用风机立即启动。</w:t>
            </w:r>
          </w:p>
          <w:p>
            <w:pPr>
              <w:pStyle w:val="44"/>
              <w:bidi w:val="0"/>
              <w:rPr>
                <w:rFonts w:hint="eastAsia"/>
                <w:highlight w:val="none"/>
                <w:lang w:val="en-US" w:eastAsia="zh-CN"/>
              </w:rPr>
            </w:pPr>
            <w:r>
              <w:rPr>
                <w:rFonts w:hint="eastAsia"/>
                <w:highlight w:val="none"/>
                <w:lang w:val="en-US" w:eastAsia="zh-CN"/>
              </w:rPr>
              <w:t>③当废气处理设施出现故障时，应立即进行维修，必要时停止生产原料的供给。</w:t>
            </w:r>
          </w:p>
          <w:p>
            <w:pPr>
              <w:pStyle w:val="44"/>
              <w:bidi w:val="0"/>
              <w:rPr>
                <w:rFonts w:hint="eastAsia"/>
                <w:highlight w:val="none"/>
                <w:lang w:val="en-US" w:eastAsia="zh-CN"/>
              </w:rPr>
            </w:pPr>
            <w:r>
              <w:rPr>
                <w:rFonts w:hint="eastAsia"/>
                <w:highlight w:val="none"/>
                <w:lang w:val="en-US" w:eastAsia="zh-CN"/>
              </w:rPr>
              <w:t>本报告废气非正常排放考虑装置处理效率为0的情况，非正常排放情况见下表。</w:t>
            </w:r>
          </w:p>
          <w:p>
            <w:pPr>
              <w:keepNext w:val="0"/>
              <w:keepLines w:val="0"/>
              <w:widowControl/>
              <w:suppressLineNumbers w:val="0"/>
              <w:jc w:val="center"/>
              <w:rPr>
                <w:rFonts w:hint="default" w:ascii="黑体" w:hAnsi="宋体" w:eastAsia="黑体" w:cs="黑体"/>
                <w:color w:val="000000"/>
                <w:kern w:val="0"/>
                <w:sz w:val="24"/>
                <w:szCs w:val="24"/>
                <w:highlight w:val="none"/>
                <w:lang w:val="en-US" w:eastAsia="zh-CN" w:bidi="ar"/>
              </w:rPr>
            </w:pPr>
            <w:r>
              <w:rPr>
                <w:rFonts w:hint="default" w:ascii="黑体" w:hAnsi="宋体" w:eastAsia="黑体" w:cs="黑体"/>
                <w:color w:val="000000"/>
                <w:kern w:val="0"/>
                <w:sz w:val="24"/>
                <w:szCs w:val="24"/>
                <w:highlight w:val="none"/>
                <w:lang w:val="en-US" w:eastAsia="zh-CN" w:bidi="ar"/>
              </w:rPr>
              <w:t>表4-</w:t>
            </w:r>
            <w:r>
              <w:rPr>
                <w:rFonts w:hint="eastAsia" w:ascii="黑体" w:hAnsi="宋体" w:eastAsia="黑体" w:cs="黑体"/>
                <w:color w:val="000000"/>
                <w:kern w:val="0"/>
                <w:sz w:val="24"/>
                <w:szCs w:val="24"/>
                <w:highlight w:val="none"/>
                <w:lang w:val="en-US" w:eastAsia="zh-CN" w:bidi="ar"/>
              </w:rPr>
              <w:t>6</w:t>
            </w:r>
            <w:r>
              <w:rPr>
                <w:rFonts w:hint="default" w:ascii="黑体" w:hAnsi="宋体" w:eastAsia="黑体" w:cs="黑体"/>
                <w:color w:val="000000"/>
                <w:kern w:val="0"/>
                <w:sz w:val="24"/>
                <w:szCs w:val="24"/>
                <w:highlight w:val="none"/>
                <w:lang w:val="en-US" w:eastAsia="zh-CN" w:bidi="ar"/>
              </w:rPr>
              <w:t xml:space="preserve">  项目非正常排放情况一览表</w:t>
            </w:r>
          </w:p>
          <w:tbl>
            <w:tblPr>
              <w:tblStyle w:val="4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0"/>
              <w:gridCol w:w="1416"/>
              <w:gridCol w:w="941"/>
              <w:gridCol w:w="952"/>
              <w:gridCol w:w="952"/>
              <w:gridCol w:w="856"/>
              <w:gridCol w:w="767"/>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3" w:hRule="atLeast"/>
              </w:trPr>
              <w:tc>
                <w:tcPr>
                  <w:tcW w:w="508"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污染源</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非正常排放原因</w:t>
                  </w:r>
                </w:p>
              </w:tc>
              <w:tc>
                <w:tcPr>
                  <w:tcW w:w="589"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污染物</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非正常排放浓度</w:t>
                  </w:r>
                </w:p>
                <w:p>
                  <w:pPr>
                    <w:pStyle w:val="7"/>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highlight w:val="none"/>
                      <w:lang w:val="en-US" w:eastAsia="zh-CN"/>
                    </w:rPr>
                    <w:t>mg/m</w:t>
                  </w:r>
                  <w:r>
                    <w:rPr>
                      <w:rFonts w:hint="default" w:ascii="Times New Roman" w:hAnsi="Times New Roman" w:cs="Times New Roman"/>
                      <w:highlight w:val="none"/>
                      <w:vertAlign w:val="superscript"/>
                      <w:lang w:val="en-US" w:eastAsia="zh-CN"/>
                    </w:rPr>
                    <w:t>3</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非正常排放速率</w:t>
                  </w:r>
                </w:p>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kg/h</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单次持续时间</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年发生频次（次/年）</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trPr>
              <w:tc>
                <w:tcPr>
                  <w:tcW w:w="508" w:type="pct"/>
                  <w:noWrap w:val="0"/>
                  <w:vAlign w:val="center"/>
                </w:tcPr>
                <w:p>
                  <w:pPr>
                    <w:pStyle w:val="43"/>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DA001</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停电、废气处理设施失效</w:t>
                  </w:r>
                </w:p>
              </w:tc>
              <w:tc>
                <w:tcPr>
                  <w:tcW w:w="589"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颗粒物</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eastAsia" w:ascii="微软雅黑" w:hAnsi="微软雅黑" w:eastAsia="微软雅黑" w:cs="微软雅黑"/>
                      <w:highlight w:val="none"/>
                      <w:lang w:val="en-US" w:eastAsia="zh-CN"/>
                    </w:rPr>
                    <w:t>&gt;</w:t>
                  </w:r>
                  <w:r>
                    <w:rPr>
                      <w:rFonts w:hint="eastAsia" w:cs="Times New Roman"/>
                      <w:highlight w:val="none"/>
                      <w:lang w:val="en-US" w:eastAsia="zh-CN"/>
                    </w:rPr>
                    <w:t>20</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0.271</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1h</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及时关停相应废气产生工艺，定期检修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508" w:type="pct"/>
                  <w:noWrap w:val="0"/>
                  <w:vAlign w:val="center"/>
                </w:tcPr>
                <w:p>
                  <w:pPr>
                    <w:pStyle w:val="43"/>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DA002</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停电、废气处理设施失效</w:t>
                  </w:r>
                </w:p>
              </w:tc>
              <w:tc>
                <w:tcPr>
                  <w:tcW w:w="589"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颗粒物</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eastAsia" w:ascii="微软雅黑" w:hAnsi="微软雅黑" w:eastAsia="微软雅黑" w:cs="微软雅黑"/>
                      <w:highlight w:val="none"/>
                      <w:lang w:val="en-US" w:eastAsia="zh-CN"/>
                    </w:rPr>
                    <w:t>&gt;</w:t>
                  </w:r>
                  <w:r>
                    <w:rPr>
                      <w:rFonts w:hint="eastAsia" w:cs="Times New Roman"/>
                      <w:highlight w:val="none"/>
                      <w:lang w:val="en-US" w:eastAsia="zh-CN"/>
                    </w:rPr>
                    <w:t>20</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0.271</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1h</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及时关停相应废气产生工艺，定期检修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508" w:type="pct"/>
                  <w:noWrap w:val="0"/>
                  <w:vAlign w:val="center"/>
                </w:tcPr>
                <w:p>
                  <w:pPr>
                    <w:pStyle w:val="43"/>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DA003</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停电、废气处理设施失效</w:t>
                  </w:r>
                </w:p>
              </w:tc>
              <w:tc>
                <w:tcPr>
                  <w:tcW w:w="589"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颗粒物</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eastAsia" w:ascii="微软雅黑" w:hAnsi="微软雅黑" w:eastAsia="微软雅黑" w:cs="微软雅黑"/>
                      <w:highlight w:val="none"/>
                      <w:lang w:val="en-US" w:eastAsia="zh-CN"/>
                    </w:rPr>
                    <w:t>&gt;</w:t>
                  </w:r>
                  <w:r>
                    <w:rPr>
                      <w:rFonts w:hint="eastAsia" w:cs="Times New Roman"/>
                      <w:highlight w:val="none"/>
                      <w:lang w:val="en-US" w:eastAsia="zh-CN"/>
                    </w:rPr>
                    <w:t>20</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0.271</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1h</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及时关停相应废气产生工艺，定期检修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508" w:type="pct"/>
                  <w:noWrap w:val="0"/>
                  <w:vAlign w:val="center"/>
                </w:tcPr>
                <w:p>
                  <w:pPr>
                    <w:pStyle w:val="43"/>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DA004</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停电、废气处理设施失效</w:t>
                  </w:r>
                </w:p>
              </w:tc>
              <w:tc>
                <w:tcPr>
                  <w:tcW w:w="589"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颗粒物</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340</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0.672</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1h</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及时关停相应废气产生工艺，定期检修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508" w:type="pct"/>
                  <w:noWrap w:val="0"/>
                  <w:vAlign w:val="center"/>
                </w:tcPr>
                <w:p>
                  <w:pPr>
                    <w:pStyle w:val="43"/>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DA005</w:t>
                  </w:r>
                </w:p>
              </w:tc>
              <w:tc>
                <w:tcPr>
                  <w:tcW w:w="887"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停电、废气处理设施失效</w:t>
                  </w:r>
                </w:p>
              </w:tc>
              <w:tc>
                <w:tcPr>
                  <w:tcW w:w="589" w:type="pct"/>
                  <w:noWrap w:val="0"/>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油烟</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cs="Times New Roman"/>
                      <w:highlight w:val="none"/>
                      <w:lang w:val="en-US" w:eastAsia="zh-CN"/>
                    </w:rPr>
                    <w:t>5</w:t>
                  </w:r>
                </w:p>
              </w:tc>
              <w:tc>
                <w:tcPr>
                  <w:tcW w:w="59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default" w:ascii="Times New Roman" w:hAnsi="Times New Roman" w:cs="Times New Roman"/>
                      <w:highlight w:val="none"/>
                      <w:lang w:val="en-US" w:eastAsia="zh-CN"/>
                    </w:rPr>
                    <w:t>269</w:t>
                  </w:r>
                </w:p>
              </w:tc>
              <w:tc>
                <w:tcPr>
                  <w:tcW w:w="536"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1h</w:t>
                  </w:r>
                </w:p>
              </w:tc>
              <w:tc>
                <w:tcPr>
                  <w:tcW w:w="480"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805" w:type="pct"/>
                  <w:noWrap w:val="0"/>
                  <w:vAlign w:val="center"/>
                </w:tcPr>
                <w:p>
                  <w:pPr>
                    <w:pStyle w:val="30"/>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及时关停，定期检修</w:t>
                  </w:r>
                </w:p>
              </w:tc>
            </w:tr>
          </w:tbl>
          <w:p>
            <w:pPr>
              <w:keepNext w:val="0"/>
              <w:keepLines w:val="0"/>
              <w:widowControl/>
              <w:suppressLineNumbers w:val="0"/>
              <w:jc w:val="center"/>
              <w:rPr>
                <w:rFonts w:hint="eastAsia" w:ascii="黑体" w:hAnsi="宋体" w:eastAsia="黑体" w:cs="黑体"/>
                <w:color w:val="000000"/>
                <w:kern w:val="0"/>
                <w:sz w:val="24"/>
                <w:szCs w:val="24"/>
                <w:highlight w:val="none"/>
                <w:lang w:val="en-US" w:eastAsia="zh-CN" w:bidi="ar"/>
              </w:rPr>
            </w:pPr>
          </w:p>
          <w:p>
            <w:pPr>
              <w:pStyle w:val="44"/>
              <w:bidi w:val="0"/>
              <w:rPr>
                <w:rFonts w:hint="eastAsia"/>
                <w:highlight w:val="none"/>
                <w:lang w:val="en-US" w:eastAsia="zh-CN"/>
              </w:rPr>
            </w:pPr>
            <w:r>
              <w:rPr>
                <w:rFonts w:hint="eastAsia"/>
                <w:highlight w:val="none"/>
                <w:lang w:val="en-US" w:eastAsia="zh-CN"/>
              </w:rPr>
              <w:t>由上表可知，非正常工况下，为防止生产废气非正常排放增加大气污染，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pStyle w:val="44"/>
              <w:bidi w:val="0"/>
              <w:rPr>
                <w:rFonts w:hint="eastAsia"/>
                <w:highlight w:val="none"/>
                <w:lang w:val="en-US" w:eastAsia="zh-CN"/>
              </w:rPr>
            </w:pPr>
            <w:r>
              <w:rPr>
                <w:rFonts w:hint="eastAsia"/>
                <w:highlight w:val="none"/>
                <w:lang w:val="en-US" w:eastAsia="zh-CN"/>
              </w:rPr>
              <w:t>①安排专人负责环保设备的日常维护和管理，每隔固定时间检查、汇报情况，及时发现废气处理设备的隐患，确保废气处理系统正常运行；</w:t>
            </w:r>
          </w:p>
          <w:p>
            <w:pPr>
              <w:pStyle w:val="44"/>
              <w:bidi w:val="0"/>
              <w:rPr>
                <w:rFonts w:hint="eastAsia"/>
                <w:highlight w:val="none"/>
                <w:lang w:val="en-US" w:eastAsia="zh-CN"/>
              </w:rPr>
            </w:pPr>
            <w:r>
              <w:rPr>
                <w:rFonts w:hint="eastAsia"/>
                <w:highlight w:val="none"/>
                <w:lang w:val="en-US" w:eastAsia="zh-CN"/>
              </w:rPr>
              <w:t>②建立健全的环保管理机构，对环保管理人员和技术人员进行岗位培训，委托具有专业资质的环境监测单位对项目排放的各类污染物进行定期检测；</w:t>
            </w:r>
          </w:p>
          <w:p>
            <w:pPr>
              <w:pStyle w:val="44"/>
              <w:bidi w:val="0"/>
              <w:rPr>
                <w:rFonts w:hint="eastAsia"/>
                <w:highlight w:val="none"/>
                <w:lang w:val="en-US" w:eastAsia="zh-CN"/>
              </w:rPr>
            </w:pPr>
            <w:r>
              <w:rPr>
                <w:rFonts w:hint="eastAsia"/>
                <w:highlight w:val="none"/>
                <w:lang w:val="en-US" w:eastAsia="zh-CN"/>
              </w:rPr>
              <w:t>③应定期维护、检修废气净化装置，以保持废气处理装置的净化能力。</w:t>
            </w:r>
          </w:p>
          <w:p>
            <w:pPr>
              <w:pStyle w:val="44"/>
              <w:bidi w:val="0"/>
              <w:rPr>
                <w:rFonts w:hint="default"/>
                <w:highlight w:val="none"/>
                <w:lang w:val="en-US" w:eastAsia="zh-CN"/>
              </w:rPr>
            </w:pPr>
            <w:r>
              <w:rPr>
                <w:rFonts w:hint="eastAsia"/>
                <w:highlight w:val="none"/>
                <w:lang w:val="en-US" w:eastAsia="zh-CN"/>
              </w:rPr>
              <w:t>1.4大气污染防治措施可行性分析</w:t>
            </w:r>
          </w:p>
          <w:p>
            <w:pPr>
              <w:pStyle w:val="44"/>
              <w:bidi w:val="0"/>
              <w:rPr>
                <w:rFonts w:hint="eastAsia" w:cs="Times New Roman"/>
                <w:highlight w:val="none"/>
                <w:lang w:val="en-US" w:eastAsia="zh-CN"/>
              </w:rPr>
            </w:pPr>
            <w:r>
              <w:rPr>
                <w:rFonts w:hint="eastAsia" w:cs="Times New Roman"/>
                <w:highlight w:val="none"/>
                <w:lang w:val="en-US" w:eastAsia="zh-CN"/>
              </w:rPr>
              <w:t>（1）有组织废气</w:t>
            </w:r>
            <w:r>
              <w:rPr>
                <w:rFonts w:hint="eastAsia"/>
                <w:highlight w:val="none"/>
                <w:lang w:val="en-US" w:eastAsia="zh-CN"/>
              </w:rPr>
              <w:t>污染防治措施</w:t>
            </w:r>
            <w:r>
              <w:rPr>
                <w:rFonts w:hint="eastAsia" w:cs="Times New Roman"/>
                <w:highlight w:val="none"/>
                <w:lang w:val="en-US" w:eastAsia="zh-CN"/>
              </w:rPr>
              <w:t>可行性分析</w:t>
            </w:r>
          </w:p>
          <w:p>
            <w:pPr>
              <w:pStyle w:val="44"/>
              <w:bidi w:val="0"/>
              <w:rPr>
                <w:rFonts w:hint="default"/>
                <w:highlight w:val="none"/>
                <w:lang w:val="en-US" w:eastAsia="zh-CN"/>
              </w:rPr>
            </w:pPr>
            <w:r>
              <w:rPr>
                <w:rFonts w:hint="eastAsia"/>
                <w:highlight w:val="none"/>
                <w:lang w:val="en-US" w:eastAsia="zh-CN"/>
              </w:rPr>
              <w:t>①有组织废气集气收集可行性</w:t>
            </w:r>
          </w:p>
          <w:p>
            <w:pPr>
              <w:pStyle w:val="44"/>
              <w:bidi w:val="0"/>
              <w:rPr>
                <w:rFonts w:hint="eastAsia"/>
                <w:highlight w:val="none"/>
                <w:lang w:val="en-US" w:eastAsia="zh-CN"/>
              </w:rPr>
            </w:pPr>
            <w:r>
              <w:rPr>
                <w:rFonts w:hint="eastAsia"/>
                <w:highlight w:val="none"/>
                <w:lang w:val="en-US" w:eastAsia="zh-CN"/>
              </w:rPr>
              <w:t>针对各产污环节废气收集设施集气罩，参考GB/T 16758-2008《排风罩的分类及技术条件》，拟建项目所采用的集气罩类型包括密闭罩、外部罩（侧吸、顶吸）、接收罩等，根据《局部排风罩的捕集效率实验》，此设计参数下，集气罩捕集效率为98.4%，保守估计，本项目取90%。</w:t>
            </w:r>
          </w:p>
          <w:p>
            <w:pPr>
              <w:pStyle w:val="44"/>
              <w:bidi w:val="0"/>
              <w:rPr>
                <w:rFonts w:hint="default"/>
                <w:highlight w:val="none"/>
                <w:lang w:val="en-US" w:eastAsia="zh-CN"/>
              </w:rPr>
            </w:pPr>
            <w:r>
              <w:rPr>
                <w:rFonts w:hint="eastAsia"/>
                <w:highlight w:val="none"/>
                <w:lang w:val="en-US" w:eastAsia="zh-CN"/>
              </w:rPr>
              <w:t>由此可见，采用集气收集措施可行。</w:t>
            </w:r>
          </w:p>
          <w:p>
            <w:pPr>
              <w:pStyle w:val="44"/>
              <w:bidi w:val="0"/>
              <w:rPr>
                <w:rFonts w:hint="eastAsia"/>
                <w:highlight w:val="none"/>
                <w:lang w:val="en-US" w:eastAsia="zh-CN"/>
              </w:rPr>
            </w:pPr>
            <w:r>
              <w:rPr>
                <w:rFonts w:hint="eastAsia"/>
                <w:highlight w:val="none"/>
                <w:lang w:val="en-US" w:eastAsia="zh-CN"/>
              </w:rPr>
              <w:t>②布袋除尘技术属国内外应用较多的成熟技术，除尘效率高、适用范围广，可辅带去除吸附在颗粒物上的重金属。当烟气温度低于120°C时，可选用涤纶绒布和涤纶针刺毡；烟气温度为120~250℃时，可选用石墨化玻璃丝布，为进一步提高除尘效率，还可选用覆膜滤料。</w:t>
            </w:r>
          </w:p>
          <w:p>
            <w:pPr>
              <w:pStyle w:val="44"/>
              <w:bidi w:val="0"/>
              <w:rPr>
                <w:rFonts w:hint="eastAsia"/>
                <w:highlight w:val="none"/>
                <w:lang w:val="en-US" w:eastAsia="zh-CN"/>
              </w:rPr>
            </w:pPr>
            <w:r>
              <w:rPr>
                <w:rFonts w:hint="eastAsia"/>
                <w:highlight w:val="none"/>
                <w:lang w:val="en-US" w:eastAsia="zh-CN"/>
              </w:rPr>
              <w:t>布袋除尘器的特点是除尘效率高，一般可达99.9%以上，适应力强，布袋能处理不同类型的颗粒物，袋式除尘器对10um以下尤其1um以下的亚微粒颗粒物有较好的捕集效果，是捕集PM2.5的重要手段。参照环境保护部2014年12月5日发布的《水泥工业污染防治可行技术指南（试行）》（公告2014年第81号）“3.2.1.1袋式除尘技术该技术”布袋除尘效率为99.80%～99.99%，本环评保守按除尘效率99%计算。</w:t>
            </w:r>
          </w:p>
          <w:p>
            <w:pPr>
              <w:pStyle w:val="44"/>
              <w:bidi w:val="0"/>
              <w:rPr>
                <w:rFonts w:hint="eastAsia"/>
                <w:highlight w:val="none"/>
                <w:lang w:val="en-US" w:eastAsia="zh-CN"/>
              </w:rPr>
            </w:pPr>
            <w:r>
              <w:rPr>
                <w:rFonts w:hint="eastAsia"/>
                <w:highlight w:val="none"/>
                <w:lang w:val="en-US" w:eastAsia="zh-CN"/>
              </w:rPr>
              <w:t>参照《排污许可证申请与核发技术规范 水泥工业》（HJ847-2017）附录B，项目生产过程中“物料输送、混合搅拌”产生的颗粒物采取袋式除尘器处理后有组织排放，废气处理措施满足废气污染防治可行技术要求。</w:t>
            </w:r>
          </w:p>
          <w:p>
            <w:pPr>
              <w:pStyle w:val="44"/>
              <w:bidi w:val="0"/>
              <w:rPr>
                <w:rFonts w:hint="eastAsia"/>
                <w:highlight w:val="none"/>
                <w:lang w:val="en-US" w:eastAsia="zh-CN"/>
              </w:rPr>
            </w:pPr>
            <w:r>
              <w:rPr>
                <w:rFonts w:hint="eastAsia"/>
                <w:highlight w:val="none"/>
                <w:lang w:val="en-US" w:eastAsia="zh-CN"/>
              </w:rPr>
              <w:t>因此，环评对搅拌工序粉尘废气提出袋式除尘的环保措施可行。</w:t>
            </w:r>
          </w:p>
          <w:p>
            <w:pPr>
              <w:pStyle w:val="44"/>
              <w:bidi w:val="0"/>
              <w:rPr>
                <w:rFonts w:hint="eastAsia"/>
                <w:highlight w:val="none"/>
                <w:lang w:val="en-US" w:eastAsia="zh-CN"/>
              </w:rPr>
            </w:pPr>
            <w:r>
              <w:rPr>
                <w:rFonts w:hint="eastAsia"/>
                <w:highlight w:val="none"/>
                <w:lang w:val="en-US" w:eastAsia="zh-CN"/>
              </w:rPr>
              <w:t>（2）无组织废气污染防治措施</w:t>
            </w:r>
            <w:r>
              <w:rPr>
                <w:rFonts w:hint="eastAsia" w:cs="Times New Roman"/>
                <w:highlight w:val="none"/>
                <w:lang w:val="en-US" w:eastAsia="zh-CN"/>
              </w:rPr>
              <w:t>可行性分析</w:t>
            </w:r>
          </w:p>
          <w:p>
            <w:pPr>
              <w:pStyle w:val="44"/>
              <w:bidi w:val="0"/>
              <w:rPr>
                <w:rFonts w:hint="eastAsia"/>
                <w:highlight w:val="none"/>
                <w:lang w:val="en-US" w:eastAsia="zh-CN"/>
              </w:rPr>
            </w:pPr>
            <w:r>
              <w:rPr>
                <w:rFonts w:hint="eastAsia"/>
                <w:highlight w:val="none"/>
                <w:lang w:val="en-US" w:eastAsia="zh-CN"/>
              </w:rPr>
              <w:t>①</w:t>
            </w:r>
            <w:r>
              <w:rPr>
                <w:rFonts w:ascii="宋体" w:hAnsi="宋体" w:eastAsia="宋体" w:cs="宋体"/>
                <w:spacing w:val="3"/>
                <w:sz w:val="24"/>
                <w:szCs w:val="24"/>
              </w:rPr>
              <w:t>全密闭车间</w:t>
            </w:r>
          </w:p>
          <w:p>
            <w:pPr>
              <w:pStyle w:val="44"/>
              <w:bidi w:val="0"/>
              <w:rPr>
                <w:rFonts w:hint="eastAsia" w:ascii="宋体" w:hAnsi="宋体" w:eastAsia="宋体" w:cs="宋体"/>
                <w:color w:val="auto"/>
                <w:highlight w:val="none"/>
                <w:lang w:val="en-US" w:eastAsia="zh-CN"/>
              </w:rPr>
            </w:pPr>
            <w:r>
              <w:rPr>
                <w:rFonts w:ascii="宋体" w:hAnsi="宋体" w:eastAsia="宋体" w:cs="宋体"/>
                <w:sz w:val="24"/>
                <w:szCs w:val="24"/>
              </w:rPr>
              <w:t>项目原料</w:t>
            </w:r>
            <w:r>
              <w:rPr>
                <w:rFonts w:hint="eastAsia" w:ascii="宋体" w:hAnsi="宋体" w:cs="宋体"/>
                <w:sz w:val="24"/>
                <w:szCs w:val="24"/>
                <w:lang w:val="en-US" w:eastAsia="zh-CN"/>
              </w:rPr>
              <w:t>输送</w:t>
            </w:r>
            <w:r>
              <w:rPr>
                <w:rFonts w:ascii="宋体" w:hAnsi="宋体" w:eastAsia="宋体" w:cs="宋体"/>
                <w:sz w:val="24"/>
                <w:szCs w:val="24"/>
              </w:rPr>
              <w:t>、</w:t>
            </w:r>
            <w:r>
              <w:rPr>
                <w:rFonts w:hint="eastAsia" w:ascii="宋体" w:hAnsi="宋体" w:cs="宋体"/>
                <w:sz w:val="24"/>
                <w:szCs w:val="24"/>
                <w:lang w:val="en-US" w:eastAsia="zh-CN"/>
              </w:rPr>
              <w:t>投料</w:t>
            </w:r>
            <w:r>
              <w:rPr>
                <w:rFonts w:ascii="宋体" w:hAnsi="宋体" w:eastAsia="宋体" w:cs="宋体"/>
                <w:sz w:val="24"/>
                <w:szCs w:val="24"/>
              </w:rPr>
              <w:t>、混合拌料等生产过程均设置在全密闭厂房内，</w:t>
            </w:r>
            <w:r>
              <w:rPr>
                <w:rFonts w:hint="eastAsia" w:ascii="宋体" w:hAnsi="宋体" w:eastAsia="宋体" w:cs="宋体"/>
                <w:color w:val="auto"/>
                <w:highlight w:val="none"/>
                <w:lang w:val="en-US" w:eastAsia="zh-CN"/>
              </w:rPr>
              <w:t>且要求建设单位皮带输送</w:t>
            </w:r>
            <w:r>
              <w:rPr>
                <w:rFonts w:hint="eastAsia" w:ascii="宋体" w:hAnsi="宋体" w:cs="宋体"/>
                <w:color w:val="auto"/>
                <w:highlight w:val="none"/>
                <w:lang w:val="en-US" w:eastAsia="zh-CN"/>
              </w:rPr>
              <w:t>工序</w:t>
            </w:r>
            <w:r>
              <w:rPr>
                <w:rFonts w:hint="eastAsia" w:ascii="宋体" w:hAnsi="宋体" w:eastAsia="宋体" w:cs="宋体"/>
                <w:color w:val="auto"/>
                <w:highlight w:val="none"/>
                <w:lang w:val="en-US" w:eastAsia="zh-CN"/>
              </w:rPr>
              <w:t>尽量降低跌落高度，抑制皮带运输及衔接转载产生的粉尘。生产车间内经常进行清扫，经洒水措施后降低无组织粉尘排放。</w:t>
            </w:r>
          </w:p>
          <w:p>
            <w:pPr>
              <w:pStyle w:val="44"/>
              <w:bidi w:val="0"/>
              <w:rPr>
                <w:rFonts w:hint="eastAsia"/>
                <w:highlight w:val="none"/>
                <w:lang w:val="en-US" w:eastAsia="zh-CN"/>
              </w:rPr>
            </w:pPr>
            <w:r>
              <w:rPr>
                <w:rFonts w:hint="eastAsia"/>
                <w:highlight w:val="none"/>
                <w:lang w:val="en-US" w:eastAsia="zh-CN"/>
              </w:rPr>
              <w:t>②</w:t>
            </w:r>
            <w:r>
              <w:rPr>
                <w:rFonts w:ascii="宋体" w:hAnsi="宋体" w:eastAsia="宋体" w:cs="宋体"/>
                <w:sz w:val="24"/>
                <w:szCs w:val="24"/>
              </w:rPr>
              <w:t>洒水喷雾防尘</w:t>
            </w:r>
          </w:p>
          <w:p>
            <w:pPr>
              <w:pStyle w:val="44"/>
              <w:bidi w:val="0"/>
              <w:rPr>
                <w:rFonts w:ascii="宋体" w:hAnsi="宋体" w:eastAsia="宋体" w:cs="宋体"/>
                <w:sz w:val="24"/>
                <w:szCs w:val="24"/>
              </w:rPr>
            </w:pPr>
            <w:r>
              <w:rPr>
                <w:rFonts w:ascii="宋体" w:hAnsi="宋体" w:eastAsia="宋体" w:cs="宋体"/>
                <w:sz w:val="24"/>
                <w:szCs w:val="24"/>
              </w:rPr>
              <w:t>采用湿法作业去除空闲悬浮粉尘，降尘效率可达到80%</w:t>
            </w:r>
            <w:r>
              <w:rPr>
                <w:rFonts w:hint="eastAsia" w:ascii="宋体" w:hAnsi="宋体" w:cs="宋体"/>
                <w:sz w:val="24"/>
                <w:szCs w:val="24"/>
                <w:lang w:eastAsia="zh-CN"/>
              </w:rPr>
              <w:t>，</w:t>
            </w:r>
            <w:r>
              <w:rPr>
                <w:rFonts w:ascii="宋体" w:hAnsi="宋体" w:eastAsia="宋体" w:cs="宋体"/>
                <w:sz w:val="24"/>
                <w:szCs w:val="24"/>
              </w:rPr>
              <w:t>扬尘的产排量也将得到强有力</w:t>
            </w:r>
            <w:r>
              <w:rPr>
                <w:rFonts w:hint="eastAsia" w:ascii="宋体" w:hAnsi="宋体" w:cs="宋体"/>
                <w:sz w:val="24"/>
                <w:szCs w:val="24"/>
                <w:lang w:eastAsia="zh-CN"/>
              </w:rPr>
              <w:t>地</w:t>
            </w:r>
            <w:r>
              <w:rPr>
                <w:rFonts w:ascii="宋体" w:hAnsi="宋体" w:eastAsia="宋体" w:cs="宋体"/>
                <w:sz w:val="24"/>
                <w:szCs w:val="24"/>
              </w:rPr>
              <w:t>控制。</w:t>
            </w:r>
          </w:p>
          <w:p>
            <w:pPr>
              <w:pStyle w:val="44"/>
              <w:bidi w:val="0"/>
              <w:rPr>
                <w:rFonts w:hint="eastAsia" w:ascii="宋体" w:hAnsi="宋体" w:cs="宋体"/>
                <w:sz w:val="24"/>
                <w:szCs w:val="24"/>
                <w:lang w:val="en-US" w:eastAsia="zh-CN"/>
              </w:rPr>
            </w:pPr>
            <w:r>
              <w:rPr>
                <w:rFonts w:hint="eastAsia" w:ascii="宋体" w:hAnsi="宋体" w:cs="宋体"/>
                <w:spacing w:val="1"/>
                <w:sz w:val="24"/>
                <w:szCs w:val="24"/>
                <w:lang w:val="en-US" w:eastAsia="zh-CN"/>
              </w:rPr>
              <w:t>根据</w:t>
            </w:r>
            <w:r>
              <w:rPr>
                <w:rFonts w:hint="default" w:ascii="宋体" w:hAnsi="宋体" w:eastAsia="宋体" w:cs="宋体"/>
                <w:spacing w:val="1"/>
                <w:sz w:val="24"/>
                <w:szCs w:val="24"/>
                <w:lang w:val="en-US" w:eastAsia="zh-CN"/>
              </w:rPr>
              <w:t>《工业料堆场扬尘整治规范》（DB65/T4061-2017）</w:t>
            </w:r>
            <w:r>
              <w:rPr>
                <w:rFonts w:hint="eastAsia" w:ascii="宋体" w:hAnsi="宋体" w:cs="宋体"/>
                <w:spacing w:val="1"/>
                <w:sz w:val="24"/>
                <w:szCs w:val="24"/>
                <w:lang w:val="en-US" w:eastAsia="zh-CN"/>
              </w:rPr>
              <w:t>，本项目位于“一般控制区”，</w:t>
            </w:r>
            <w:r>
              <w:rPr>
                <w:rFonts w:hint="eastAsia" w:ascii="宋体" w:hAnsi="宋体" w:eastAsia="宋体" w:cs="宋体"/>
                <w:sz w:val="24"/>
                <w:szCs w:val="24"/>
                <w:lang w:val="en-US" w:eastAsia="zh-CN"/>
              </w:rPr>
              <w:t>沙子、石子分区堆存，沙子原料堆场属于</w:t>
            </w:r>
            <w:r>
              <w:rPr>
                <w:rFonts w:hint="eastAsia" w:ascii="宋体" w:hAnsi="宋体" w:cs="宋体"/>
                <w:sz w:val="24"/>
                <w:szCs w:val="24"/>
                <w:lang w:val="en-US" w:eastAsia="zh-CN"/>
              </w:rPr>
              <w:t>Ⅱ类</w:t>
            </w:r>
            <w:r>
              <w:rPr>
                <w:rFonts w:hint="eastAsia" w:ascii="宋体" w:hAnsi="宋体" w:eastAsia="宋体" w:cs="宋体"/>
                <w:sz w:val="24"/>
                <w:szCs w:val="24"/>
                <w:lang w:val="en-US" w:eastAsia="zh-CN"/>
              </w:rPr>
              <w:t>料堆场，暂存于全封闭库房内；石子原料堆场属于类料堆场，暂存于露天堆场、苫盖密目防尘布并雾炮降尘</w:t>
            </w:r>
            <w:r>
              <w:rPr>
                <w:rFonts w:hint="eastAsia" w:ascii="宋体" w:hAnsi="宋体" w:cs="宋体"/>
                <w:sz w:val="24"/>
                <w:szCs w:val="24"/>
                <w:lang w:val="en-US" w:eastAsia="zh-CN"/>
              </w:rPr>
              <w:t>。</w:t>
            </w:r>
          </w:p>
          <w:p>
            <w:pPr>
              <w:pStyle w:val="44"/>
              <w:bidi w:val="0"/>
              <w:rPr>
                <w:rFonts w:ascii="宋体" w:hAnsi="宋体" w:eastAsia="宋体" w:cs="宋体"/>
                <w:spacing w:val="1"/>
                <w:sz w:val="24"/>
                <w:szCs w:val="24"/>
              </w:rPr>
            </w:pPr>
            <w:r>
              <w:rPr>
                <w:rFonts w:ascii="宋体" w:hAnsi="宋体" w:eastAsia="宋体" w:cs="宋体"/>
                <w:sz w:val="24"/>
                <w:szCs w:val="24"/>
              </w:rPr>
              <w:t>洒水喷雾防尘的作用主要在于湿润颗粒细小的干燥粉尘，增加粉尘含湿量，从而使其密度增大，并黏结成较大的颗粒，使之在外力作用下不能飞扬项目在堆场区定期进行洒水喷雾，增加原料和成品的含水率，并遮盖防尘布</w:t>
            </w:r>
            <w:r>
              <w:rPr>
                <w:rFonts w:ascii="宋体" w:hAnsi="宋体" w:eastAsia="宋体" w:cs="宋体"/>
                <w:spacing w:val="1"/>
                <w:sz w:val="24"/>
                <w:szCs w:val="24"/>
              </w:rPr>
              <w:t>处理，可以极大程度的降低扬尘产排。</w:t>
            </w:r>
          </w:p>
          <w:p>
            <w:pPr>
              <w:pStyle w:val="44"/>
              <w:bidi w:val="0"/>
              <w:rPr>
                <w:rFonts w:hint="eastAsia"/>
                <w:highlight w:val="none"/>
                <w:lang w:val="en-US" w:eastAsia="zh-CN"/>
              </w:rPr>
            </w:pPr>
            <w:r>
              <w:rPr>
                <w:rFonts w:hint="eastAsia"/>
                <w:highlight w:val="none"/>
                <w:lang w:val="en-US" w:eastAsia="zh-CN"/>
              </w:rPr>
              <w:t>③加强生产管理</w:t>
            </w:r>
          </w:p>
          <w:p>
            <w:pPr>
              <w:pStyle w:val="44"/>
              <w:numPr>
                <w:ilvl w:val="0"/>
                <w:numId w:val="1"/>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加强生产工艺和设备管理来减少无组织排放的产生。如，原料装卸过程降低物料落差，对装卸点雾炮抑尘</w:t>
            </w:r>
            <w:r>
              <w:rPr>
                <w:rFonts w:hint="eastAsia" w:cs="Times New Roman"/>
                <w:highlight w:val="none"/>
                <w:lang w:val="en-US" w:eastAsia="zh-CN"/>
              </w:rPr>
              <w:t>；</w:t>
            </w:r>
          </w:p>
          <w:p>
            <w:pPr>
              <w:pStyle w:val="44"/>
              <w:numPr>
                <w:ilvl w:val="0"/>
                <w:numId w:val="1"/>
              </w:numPr>
              <w:bidi w:val="0"/>
              <w:rPr>
                <w:rFonts w:hint="default" w:ascii="Times New Roman" w:hAnsi="Times New Roman" w:cs="Times New Roman"/>
                <w:highlight w:val="none"/>
                <w:lang w:val="en-US" w:eastAsia="zh-CN"/>
              </w:rPr>
            </w:pPr>
            <w:r>
              <w:rPr>
                <w:rFonts w:hint="eastAsia"/>
                <w:highlight w:val="none"/>
                <w:lang w:val="en-US" w:eastAsia="zh-CN"/>
              </w:rPr>
              <w:t>投料口下方与装载斗口对口进行输送，</w:t>
            </w:r>
            <w:r>
              <w:rPr>
                <w:rFonts w:hint="default" w:ascii="Times New Roman" w:hAnsi="Times New Roman" w:cs="Times New Roman"/>
                <w:highlight w:val="none"/>
                <w:lang w:val="en-US" w:eastAsia="zh-CN"/>
              </w:rPr>
              <w:t>以减少</w:t>
            </w:r>
            <w:r>
              <w:rPr>
                <w:rFonts w:hint="eastAsia" w:ascii="Times New Roman" w:hAnsi="Times New Roman" w:cs="Times New Roman"/>
                <w:highlight w:val="none"/>
                <w:lang w:val="en-US" w:eastAsia="zh-CN"/>
              </w:rPr>
              <w:t>粉尘</w:t>
            </w:r>
            <w:r>
              <w:rPr>
                <w:rFonts w:hint="default" w:ascii="Times New Roman" w:hAnsi="Times New Roman" w:cs="Times New Roman"/>
                <w:highlight w:val="none"/>
                <w:lang w:val="en-US" w:eastAsia="zh-CN"/>
              </w:rPr>
              <w:t>废气的泄漏和发</w:t>
            </w:r>
            <w:r>
              <w:rPr>
                <w:rFonts w:hint="eastAsia" w:ascii="Times New Roman" w:hAnsi="Times New Roman" w:cs="Times New Roman"/>
                <w:highlight w:val="none"/>
                <w:lang w:val="en-US" w:eastAsia="zh-CN"/>
              </w:rPr>
              <w:t>散</w:t>
            </w:r>
            <w:r>
              <w:rPr>
                <w:rFonts w:hint="default" w:ascii="Times New Roman" w:hAnsi="Times New Roman" w:cs="Times New Roman"/>
                <w:highlight w:val="none"/>
                <w:lang w:val="en-US" w:eastAsia="zh-CN"/>
              </w:rPr>
              <w:t>。</w:t>
            </w:r>
          </w:p>
          <w:p>
            <w:pPr>
              <w:pStyle w:val="44"/>
              <w:numPr>
                <w:ilvl w:val="0"/>
                <w:numId w:val="1"/>
              </w:numPr>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生产时</w:t>
            </w:r>
            <w:r>
              <w:rPr>
                <w:rFonts w:hint="eastAsia"/>
                <w:highlight w:val="none"/>
                <w:lang w:val="en-US" w:eastAsia="zh-CN"/>
              </w:rPr>
              <w:t>车间密闭，厂区内道路全部硬化，运输车辆采用篷布全覆盖密闭运输，粉料需采用粉料罐车运输；</w:t>
            </w:r>
          </w:p>
          <w:p>
            <w:pPr>
              <w:pStyle w:val="44"/>
              <w:numPr>
                <w:ilvl w:val="0"/>
                <w:numId w:val="1"/>
              </w:numPr>
              <w:bidi w:val="0"/>
              <w:rPr>
                <w:rFonts w:hint="default" w:ascii="Times New Roman" w:hAnsi="Times New Roman" w:cs="Times New Roman"/>
                <w:highlight w:val="none"/>
                <w:lang w:val="en-US" w:eastAsia="zh-CN"/>
              </w:rPr>
            </w:pPr>
            <w:r>
              <w:rPr>
                <w:rFonts w:hint="eastAsia"/>
                <w:highlight w:val="none"/>
                <w:lang w:val="en-US" w:eastAsia="zh-CN"/>
              </w:rPr>
              <w:t>厂区道路出口一侧设置1处洗车平台，冲洗轮胎后上路；场外运输过程遮盖篷布，控制车速，控制装料高度和装载量；厂区内车辆限速行驶。</w:t>
            </w:r>
          </w:p>
          <w:p>
            <w:pPr>
              <w:pStyle w:val="44"/>
              <w:numPr>
                <w:ilvl w:val="0"/>
                <w:numId w:val="1"/>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加强日常管理和监测工作等措施来确保厂界达标可行性。</w:t>
            </w:r>
          </w:p>
          <w:p>
            <w:pPr>
              <w:pStyle w:val="44"/>
              <w:bidi w:val="0"/>
              <w:rPr>
                <w:rFonts w:hint="eastAsia"/>
                <w:highlight w:val="none"/>
                <w:lang w:val="en-US" w:eastAsia="zh-CN"/>
              </w:rPr>
            </w:pPr>
            <w:r>
              <w:rPr>
                <w:rFonts w:hint="eastAsia"/>
                <w:highlight w:val="none"/>
                <w:lang w:val="en-US" w:eastAsia="zh-CN"/>
              </w:rPr>
              <w:t>综上所述，本项目采用上述控制措施可以有效减少无组织粉尘污染物对周围环境的影响，无组织粉尘污染防治措施是可行的。</w:t>
            </w:r>
          </w:p>
          <w:p>
            <w:pPr>
              <w:pStyle w:val="44"/>
              <w:bidi w:val="0"/>
              <w:rPr>
                <w:rFonts w:hint="eastAsia"/>
                <w:highlight w:val="none"/>
              </w:rPr>
            </w:pPr>
            <w:r>
              <w:rPr>
                <w:rFonts w:hint="eastAsia"/>
                <w:highlight w:val="none"/>
                <w:lang w:val="en-US" w:eastAsia="zh-CN"/>
              </w:rPr>
              <w:t>1.5</w:t>
            </w:r>
            <w:r>
              <w:rPr>
                <w:rFonts w:hint="eastAsia"/>
                <w:highlight w:val="none"/>
              </w:rPr>
              <w:t>环境影响分析</w:t>
            </w:r>
          </w:p>
          <w:p>
            <w:pPr>
              <w:pStyle w:val="44"/>
              <w:bidi w:val="0"/>
              <w:rPr>
                <w:rFonts w:hint="eastAsia"/>
                <w:highlight w:val="none"/>
                <w:lang w:val="en-US" w:eastAsia="zh-CN"/>
              </w:rPr>
            </w:pPr>
            <w:r>
              <w:rPr>
                <w:rFonts w:hint="eastAsia"/>
                <w:highlight w:val="none"/>
                <w:lang w:val="en-US" w:eastAsia="zh-CN"/>
              </w:rPr>
              <w:t>根据前文分析，项目正常排放情况下筒仓呼吸粉尘经仓顶自带脉冲式除尘器处理、输送工序及搅拌粉尘经集气罩+布袋除尘器处理后，</w:t>
            </w:r>
            <w:r>
              <w:rPr>
                <w:rFonts w:hint="eastAsia" w:cs="Times New Roman"/>
                <w:color w:val="auto"/>
                <w:sz w:val="24"/>
                <w:szCs w:val="24"/>
                <w:highlight w:val="none"/>
                <w:vertAlign w:val="baseline"/>
                <w:lang w:val="en-US" w:eastAsia="zh-CN"/>
              </w:rPr>
              <w:t>有组织排放浓度满足《水泥工业大气污染物排放标准》（GB4915-2013）表1现有与新建企业大气污染物排放限值，颗粒物20mg/m</w:t>
            </w:r>
            <w:r>
              <w:rPr>
                <w:rFonts w:hint="eastAsia"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eastAsia="zh-CN"/>
              </w:rPr>
              <w:t>；</w:t>
            </w:r>
            <w:r>
              <w:rPr>
                <w:rFonts w:hint="eastAsia"/>
                <w:highlight w:val="none"/>
                <w:lang w:val="en-US" w:eastAsia="zh-CN"/>
              </w:rPr>
              <w:t>砂石卸料粉尘经水喷淋装置进行处理、车辆运输扬尘设置洗车平台并定期洒水处理后，颗粒物排放浓度均满足《水泥工业大气污染物排放标准》（GB4915-2013）中表3 大气污染物无组织排放限值；食堂油烟经油烟净化器处理后，油烟排放浓度满足《饮食业油烟排放标准》（GB18483-2001）（试行）小型标准要求。</w:t>
            </w:r>
          </w:p>
          <w:p>
            <w:pPr>
              <w:pStyle w:val="44"/>
              <w:bidi w:val="0"/>
              <w:rPr>
                <w:rFonts w:hint="eastAsia" w:ascii="宋体" w:hAnsi="宋体" w:eastAsia="宋体" w:cs="宋体"/>
                <w:color w:val="auto"/>
                <w:highlight w:val="none"/>
              </w:rPr>
            </w:pPr>
            <w:r>
              <w:rPr>
                <w:rFonts w:hint="eastAsia"/>
                <w:highlight w:val="none"/>
                <w:lang w:val="en-US" w:eastAsia="zh-CN"/>
              </w:rPr>
              <w:t>本项目废气处理方式技术可行，本项目产生的各类废气污染物经治理后，均能实现达标排放，</w:t>
            </w:r>
            <w:r>
              <w:rPr>
                <w:rFonts w:hint="eastAsia" w:ascii="宋体" w:hAnsi="宋体" w:eastAsia="宋体" w:cs="宋体"/>
                <w:color w:val="auto"/>
                <w:highlight w:val="none"/>
              </w:rPr>
              <w:t>本项目运营期对周围大气环境影响不大。</w:t>
            </w:r>
          </w:p>
          <w:p>
            <w:pPr>
              <w:pStyle w:val="44"/>
              <w:bidi w:val="0"/>
              <w:rPr>
                <w:rFonts w:hint="eastAsia"/>
                <w:highlight w:val="none"/>
              </w:rPr>
            </w:pPr>
            <w:r>
              <w:rPr>
                <w:rFonts w:hint="eastAsia"/>
                <w:highlight w:val="none"/>
                <w:lang w:val="en-US" w:eastAsia="zh-CN"/>
              </w:rPr>
              <w:t>1.6</w:t>
            </w:r>
            <w:r>
              <w:rPr>
                <w:rFonts w:hint="eastAsia"/>
                <w:highlight w:val="none"/>
              </w:rPr>
              <w:t>监测计划</w:t>
            </w:r>
          </w:p>
          <w:p>
            <w:pPr>
              <w:pStyle w:val="44"/>
              <w:bidi w:val="0"/>
              <w:rPr>
                <w:rFonts w:hint="eastAsia"/>
                <w:highlight w:val="none"/>
              </w:rPr>
            </w:pPr>
            <w:r>
              <w:rPr>
                <w:rFonts w:hint="eastAsia"/>
                <w:highlight w:val="none"/>
                <w:lang w:val="en-US" w:eastAsia="zh-CN"/>
              </w:rPr>
              <w:t>据生产特征和污染物排放情况，依据《排污许可申请与核发技术规范 总则》（HJ942-2018）、《排污许可证申请与核发技术规范 水泥工业》（HJ847-2017）、《饮食业油烟排放标准（试行）》（GB18483-2001）和《排污单位自行监测技术指南 水泥工业》（HJ 848-2017）、《排污单位自行监测技术指南 总则》（HJ819-2017）中相关要求，制定本项目的废气污染源监测计划，本项目大气监测计划</w:t>
            </w:r>
            <w:r>
              <w:rPr>
                <w:rFonts w:hint="eastAsia"/>
                <w:highlight w:val="none"/>
              </w:rPr>
              <w:t>详见表4-</w:t>
            </w:r>
            <w:r>
              <w:rPr>
                <w:rFonts w:hint="eastAsia"/>
                <w:highlight w:val="none"/>
                <w:lang w:val="en-US" w:eastAsia="zh-CN"/>
              </w:rPr>
              <w:t>7</w:t>
            </w:r>
            <w:r>
              <w:rPr>
                <w:rFonts w:hint="eastAsia"/>
                <w:highlight w:val="none"/>
              </w:rPr>
              <w:t>。</w:t>
            </w:r>
          </w:p>
          <w:p>
            <w:pPr>
              <w:keepNext w:val="0"/>
              <w:keepLines w:val="0"/>
              <w:widowControl/>
              <w:suppressLineNumbers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表4-7  项目运营期废气污染物监测计划一览表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070"/>
              <w:gridCol w:w="1428"/>
              <w:gridCol w:w="968"/>
              <w:gridCol w:w="1122"/>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污染源类别</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排污口编号及名称</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rPr>
                    <w:t>监测</w:t>
                  </w:r>
                  <w:r>
                    <w:rPr>
                      <w:rFonts w:hint="default" w:ascii="Times New Roman" w:hAnsi="Times New Roman" w:eastAsia="宋体" w:cs="Times New Roman"/>
                      <w:sz w:val="21"/>
                      <w:szCs w:val="21"/>
                      <w:highlight w:val="none"/>
                      <w:lang w:val="en-US" w:eastAsia="zh-CN"/>
                    </w:rPr>
                    <w:t>点位</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监测</w:t>
                  </w:r>
                  <w:r>
                    <w:rPr>
                      <w:rFonts w:hint="default" w:ascii="Times New Roman" w:hAnsi="Times New Roman" w:eastAsia="宋体" w:cs="Times New Roman"/>
                      <w:sz w:val="21"/>
                      <w:szCs w:val="21"/>
                      <w:highlight w:val="none"/>
                      <w:lang w:val="en-US" w:eastAsia="zh-CN"/>
                    </w:rPr>
                    <w:t>因子</w:t>
                  </w:r>
                </w:p>
              </w:tc>
              <w:tc>
                <w:tcPr>
                  <w:tcW w:w="702"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监测频率</w:t>
                  </w:r>
                </w:p>
              </w:tc>
              <w:tc>
                <w:tcPr>
                  <w:tcW w:w="15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DA001</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排气筒出口</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702"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rPr>
                    <w:t>次</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两</w:t>
                  </w:r>
                  <w:r>
                    <w:rPr>
                      <w:rFonts w:hint="default" w:ascii="Times New Roman" w:hAnsi="Times New Roman" w:eastAsia="宋体" w:cs="Times New Roman"/>
                      <w:b w:val="0"/>
                      <w:bCs/>
                      <w:color w:val="auto"/>
                      <w:sz w:val="21"/>
                      <w:szCs w:val="21"/>
                      <w:highlight w:val="none"/>
                      <w:lang w:val="en-US" w:eastAsia="zh-CN"/>
                    </w:rPr>
                    <w:t>年</w:t>
                  </w:r>
                </w:p>
              </w:tc>
              <w:tc>
                <w:tcPr>
                  <w:tcW w:w="1570" w:type="pct"/>
                  <w:vMerge w:val="restar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《水泥工业大气污染物排放标准》（GB4915-2013）表</w:t>
                  </w:r>
                  <w:r>
                    <w:rPr>
                      <w:rFonts w:hint="eastAsia" w:cs="Times New Roman"/>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w:t>
                  </w:r>
                  <w:r>
                    <w:rPr>
                      <w:rFonts w:hint="eastAsia" w:ascii="Times New Roman" w:hAnsi="Times New Roman" w:cs="Times New Roman"/>
                      <w:sz w:val="21"/>
                      <w:szCs w:val="21"/>
                      <w:highlight w:val="none"/>
                      <w:lang w:val="en-US" w:eastAsia="zh-CN"/>
                    </w:rPr>
                    <w:t>2</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排气筒出口</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702" w:type="pct"/>
                  <w:tcBorders>
                    <w:tl2br w:val="nil"/>
                    <w:tr2bl w:val="nil"/>
                  </w:tcBorders>
                  <w:noWrap/>
                  <w:vAlign w:val="center"/>
                </w:tcPr>
                <w:p>
                  <w:pPr>
                    <w:pStyle w:val="30"/>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rPr>
                    <w:t>次</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两</w:t>
                  </w:r>
                  <w:r>
                    <w:rPr>
                      <w:rFonts w:hint="default" w:ascii="Times New Roman" w:hAnsi="Times New Roman" w:eastAsia="宋体" w:cs="Times New Roman"/>
                      <w:b w:val="0"/>
                      <w:bCs/>
                      <w:color w:val="auto"/>
                      <w:sz w:val="21"/>
                      <w:szCs w:val="21"/>
                      <w:highlight w:val="none"/>
                      <w:lang w:val="en-US" w:eastAsia="zh-CN"/>
                    </w:rPr>
                    <w:t>年</w:t>
                  </w:r>
                </w:p>
              </w:tc>
              <w:tc>
                <w:tcPr>
                  <w:tcW w:w="1570" w:type="pct"/>
                  <w:vMerge w:val="continue"/>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w:t>
                  </w:r>
                  <w:r>
                    <w:rPr>
                      <w:rFonts w:hint="eastAsia" w:ascii="Times New Roman" w:hAnsi="Times New Roman" w:cs="Times New Roman"/>
                      <w:sz w:val="21"/>
                      <w:szCs w:val="21"/>
                      <w:highlight w:val="none"/>
                      <w:lang w:val="en-US" w:eastAsia="zh-CN"/>
                    </w:rPr>
                    <w:t>3</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排气筒出口</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702" w:type="pct"/>
                  <w:tcBorders>
                    <w:tl2br w:val="nil"/>
                    <w:tr2bl w:val="nil"/>
                  </w:tcBorders>
                  <w:noWrap/>
                  <w:vAlign w:val="center"/>
                </w:tcPr>
                <w:p>
                  <w:pPr>
                    <w:pStyle w:val="30"/>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rPr>
                    <w:t>次</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两</w:t>
                  </w:r>
                  <w:r>
                    <w:rPr>
                      <w:rFonts w:hint="default" w:ascii="Times New Roman" w:hAnsi="Times New Roman" w:eastAsia="宋体" w:cs="Times New Roman"/>
                      <w:b w:val="0"/>
                      <w:bCs/>
                      <w:color w:val="auto"/>
                      <w:sz w:val="21"/>
                      <w:szCs w:val="21"/>
                      <w:highlight w:val="none"/>
                      <w:lang w:val="en-US" w:eastAsia="zh-CN"/>
                    </w:rPr>
                    <w:t>年</w:t>
                  </w:r>
                </w:p>
              </w:tc>
              <w:tc>
                <w:tcPr>
                  <w:tcW w:w="1570" w:type="pct"/>
                  <w:vMerge w:val="continue"/>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有组织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w:t>
                  </w:r>
                  <w:r>
                    <w:rPr>
                      <w:rFonts w:hint="eastAsia" w:ascii="Times New Roman" w:hAnsi="Times New Roman" w:cs="Times New Roman"/>
                      <w:sz w:val="21"/>
                      <w:szCs w:val="21"/>
                      <w:highlight w:val="none"/>
                      <w:lang w:val="en-US" w:eastAsia="zh-CN"/>
                    </w:rPr>
                    <w:t>4</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排气筒出口</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702" w:type="pct"/>
                  <w:tcBorders>
                    <w:tl2br w:val="nil"/>
                    <w:tr2bl w:val="nil"/>
                  </w:tcBorders>
                  <w:noWrap/>
                  <w:vAlign w:val="center"/>
                </w:tcPr>
                <w:p>
                  <w:pPr>
                    <w:pStyle w:val="30"/>
                    <w:bidi w:val="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rPr>
                    <w:t>次</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两</w:t>
                  </w:r>
                  <w:r>
                    <w:rPr>
                      <w:rFonts w:hint="default" w:ascii="Times New Roman" w:hAnsi="Times New Roman" w:eastAsia="宋体" w:cs="Times New Roman"/>
                      <w:b w:val="0"/>
                      <w:bCs/>
                      <w:color w:val="auto"/>
                      <w:sz w:val="21"/>
                      <w:szCs w:val="21"/>
                      <w:highlight w:val="none"/>
                      <w:lang w:val="en-US" w:eastAsia="zh-CN"/>
                    </w:rPr>
                    <w:t>年</w:t>
                  </w:r>
                </w:p>
              </w:tc>
              <w:tc>
                <w:tcPr>
                  <w:tcW w:w="1570" w:type="pct"/>
                  <w:vMerge w:val="continue"/>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有组织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DA00</w:t>
                  </w:r>
                  <w:r>
                    <w:rPr>
                      <w:rFonts w:hint="eastAsia" w:cs="Times New Roman"/>
                      <w:sz w:val="21"/>
                      <w:szCs w:val="21"/>
                      <w:highlight w:val="none"/>
                      <w:lang w:val="en-US" w:eastAsia="zh-CN"/>
                    </w:rPr>
                    <w:t>5</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排气筒出口</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油烟</w:t>
                  </w:r>
                </w:p>
              </w:tc>
              <w:tc>
                <w:tcPr>
                  <w:tcW w:w="702"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年/</w:t>
                  </w:r>
                  <w:r>
                    <w:rPr>
                      <w:rFonts w:hint="default" w:ascii="Times New Roman" w:hAnsi="Times New Roman" w:eastAsia="宋体" w:cs="Times New Roman"/>
                      <w:sz w:val="21"/>
                      <w:szCs w:val="21"/>
                      <w:highlight w:val="none"/>
                    </w:rPr>
                    <w:t>次</w:t>
                  </w:r>
                </w:p>
              </w:tc>
              <w:tc>
                <w:tcPr>
                  <w:tcW w:w="15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cs="Times New Roman"/>
                      <w:color w:val="auto"/>
                      <w:highlight w:val="none"/>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w:t>
                  </w:r>
                </w:p>
              </w:tc>
              <w:tc>
                <w:tcPr>
                  <w:tcW w:w="6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厂界</w:t>
                  </w:r>
                </w:p>
              </w:tc>
              <w:tc>
                <w:tcPr>
                  <w:tcW w:w="893"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上风向1个、下风向3个</w:t>
                  </w:r>
                </w:p>
              </w:tc>
              <w:tc>
                <w:tcPr>
                  <w:tcW w:w="606"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702"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rPr>
                    <w:t>次</w:t>
                  </w:r>
                  <w:r>
                    <w:rPr>
                      <w:rFonts w:hint="default" w:ascii="Times New Roman" w:hAnsi="Times New Roman" w:eastAsia="宋体" w:cs="Times New Roman"/>
                      <w:sz w:val="21"/>
                      <w:szCs w:val="21"/>
                      <w:highlight w:val="none"/>
                      <w:lang w:val="en-US" w:eastAsia="zh-CN"/>
                    </w:rPr>
                    <w:t>/季度</w:t>
                  </w:r>
                </w:p>
              </w:tc>
              <w:tc>
                <w:tcPr>
                  <w:tcW w:w="1570" w:type="pct"/>
                  <w:tcBorders>
                    <w:tl2br w:val="nil"/>
                    <w:tr2bl w:val="nil"/>
                  </w:tcBorders>
                  <w:noWrap/>
                  <w:vAlign w:val="center"/>
                </w:tcPr>
                <w:p>
                  <w:pPr>
                    <w:pStyle w:val="30"/>
                    <w:bidi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《水泥工业大气污染物排放标准》（GB4915-2013）表3</w:t>
                  </w:r>
                </w:p>
              </w:tc>
            </w:tr>
          </w:tbl>
          <w:p>
            <w:pPr>
              <w:pStyle w:val="44"/>
              <w:bidi w:val="0"/>
              <w:ind w:left="0" w:leftChars="0" w:firstLine="0" w:firstLineChars="0"/>
              <w:rPr>
                <w:rFonts w:hint="eastAsia"/>
                <w:highlight w:val="none"/>
              </w:rPr>
            </w:pPr>
          </w:p>
          <w:p>
            <w:pPr>
              <w:pStyle w:val="44"/>
              <w:bidi w:val="0"/>
              <w:rPr>
                <w:rFonts w:hint="eastAsia"/>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77" w:hRule="atLeast"/>
          <w:jc w:val="center"/>
        </w:trPr>
        <w:tc>
          <w:tcPr>
            <w:tcW w:w="268"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lang w:val="en-US" w:eastAsia="zh-CN"/>
              </w:rPr>
            </w:pPr>
          </w:p>
          <w:p>
            <w:pPr>
              <w:adjustRightInd w:val="0"/>
              <w:snapToGrid w:val="0"/>
              <w:jc w:val="center"/>
              <w:rPr>
                <w:rFonts w:hint="eastAsia" w:ascii="宋体" w:hAnsi="宋体" w:eastAsia="宋体" w:cs="宋体"/>
                <w:bCs/>
                <w:color w:val="auto"/>
                <w:kern w:val="0"/>
                <w:sz w:val="24"/>
                <w:highlight w:val="none"/>
                <w:lang w:val="en-US" w:eastAsia="zh-CN"/>
              </w:rPr>
            </w:pPr>
          </w:p>
        </w:tc>
        <w:tc>
          <w:tcPr>
            <w:tcW w:w="4731" w:type="pct"/>
            <w:noWrap/>
            <w:vAlign w:val="top"/>
          </w:tcPr>
          <w:p>
            <w:pPr>
              <w:pStyle w:val="44"/>
              <w:bidi w:val="0"/>
              <w:rPr>
                <w:rFonts w:hint="eastAsia"/>
                <w:b/>
                <w:bCs/>
                <w:highlight w:val="none"/>
              </w:rPr>
            </w:pPr>
            <w:r>
              <w:rPr>
                <w:rFonts w:hint="eastAsia"/>
                <w:b/>
                <w:bCs/>
                <w:highlight w:val="none"/>
                <w:lang w:eastAsia="zh-CN"/>
              </w:rPr>
              <w:t>2.</w:t>
            </w:r>
            <w:r>
              <w:rPr>
                <w:rFonts w:hint="eastAsia"/>
                <w:b/>
                <w:bCs/>
                <w:highlight w:val="none"/>
              </w:rPr>
              <w:t>水环境影响和保护措施</w:t>
            </w:r>
          </w:p>
          <w:p>
            <w:pPr>
              <w:pStyle w:val="44"/>
              <w:bidi w:val="0"/>
              <w:rPr>
                <w:rFonts w:hint="eastAsia"/>
                <w:highlight w:val="none"/>
                <w:lang w:val="en-US" w:eastAsia="zh-CN"/>
              </w:rPr>
            </w:pPr>
            <w:r>
              <w:rPr>
                <w:rFonts w:hint="eastAsia"/>
                <w:highlight w:val="none"/>
                <w:lang w:val="en-US" w:eastAsia="zh-CN"/>
              </w:rPr>
              <w:t>2.1源强分析</w:t>
            </w:r>
          </w:p>
          <w:p>
            <w:pPr>
              <w:pStyle w:val="44"/>
              <w:bidi w:val="0"/>
              <w:rPr>
                <w:rFonts w:hint="eastAsia"/>
                <w:highlight w:val="none"/>
                <w:lang w:val="en-US" w:eastAsia="zh-CN"/>
              </w:rPr>
            </w:pPr>
            <w:r>
              <w:rPr>
                <w:rFonts w:hint="eastAsia"/>
                <w:highlight w:val="none"/>
                <w:lang w:val="en-US" w:eastAsia="zh-CN"/>
              </w:rPr>
              <w:t>根据工艺分析，砼预制件配料用水随产品带出或自然蒸发，洗车废水、养护废水经沉淀池沉淀后回用地表抑尘与雾炮降尘用水自然蒸发，无生产废水外排。故本项目产生的废水主要为生活污水。</w:t>
            </w:r>
          </w:p>
          <w:p>
            <w:pPr>
              <w:pStyle w:val="44"/>
              <w:bidi w:val="0"/>
              <w:rPr>
                <w:color w:val="auto"/>
                <w:sz w:val="24"/>
                <w:highlight w:val="none"/>
              </w:rPr>
            </w:pPr>
            <w:r>
              <w:rPr>
                <w:rFonts w:hint="eastAsia"/>
                <w:highlight w:val="none"/>
                <w:lang w:val="en-US" w:eastAsia="zh-CN"/>
              </w:rPr>
              <w:t>本项目劳动定员为15人，</w:t>
            </w:r>
            <w:r>
              <w:rPr>
                <w:rFonts w:hint="eastAsia"/>
                <w:color w:val="auto"/>
                <w:sz w:val="24"/>
                <w:highlight w:val="none"/>
                <w:lang w:val="en-US" w:eastAsia="zh-CN"/>
              </w:rPr>
              <w:t>参照</w:t>
            </w:r>
            <w:r>
              <w:rPr>
                <w:color w:val="auto"/>
                <w:sz w:val="24"/>
                <w:highlight w:val="none"/>
              </w:rPr>
              <w:t>《新疆维吾尔自治区生活用水定额》生活用水量按</w:t>
            </w:r>
            <w:r>
              <w:rPr>
                <w:rFonts w:hint="eastAsia"/>
                <w:color w:val="auto"/>
                <w:sz w:val="24"/>
                <w:highlight w:val="none"/>
                <w:lang w:val="en-US" w:eastAsia="zh-CN"/>
              </w:rPr>
              <w:t>5</w:t>
            </w:r>
            <w:r>
              <w:rPr>
                <w:color w:val="auto"/>
                <w:sz w:val="24"/>
                <w:highlight w:val="none"/>
              </w:rPr>
              <w:t>0L/d·人计算，则生活用水量为</w:t>
            </w:r>
            <w:r>
              <w:rPr>
                <w:rFonts w:hint="eastAsia"/>
                <w:color w:val="auto"/>
                <w:sz w:val="24"/>
                <w:highlight w:val="none"/>
                <w:lang w:val="en-US" w:eastAsia="zh-CN"/>
              </w:rPr>
              <w:t>0.75</w:t>
            </w:r>
            <w:r>
              <w:rPr>
                <w:color w:val="auto"/>
                <w:sz w:val="24"/>
                <w:highlight w:val="none"/>
              </w:rPr>
              <w:t>m</w:t>
            </w:r>
            <w:r>
              <w:rPr>
                <w:color w:val="auto"/>
                <w:sz w:val="24"/>
                <w:highlight w:val="none"/>
                <w:vertAlign w:val="superscript"/>
              </w:rPr>
              <w:t>3</w:t>
            </w:r>
            <w:r>
              <w:rPr>
                <w:color w:val="auto"/>
                <w:sz w:val="24"/>
                <w:highlight w:val="none"/>
              </w:rPr>
              <w:t>/d，年用水量</w:t>
            </w:r>
            <w:r>
              <w:rPr>
                <w:rFonts w:hint="eastAsia"/>
                <w:color w:val="auto"/>
                <w:sz w:val="24"/>
                <w:highlight w:val="none"/>
                <w:lang w:val="en-US" w:eastAsia="zh-CN"/>
              </w:rPr>
              <w:t>157.5</w:t>
            </w:r>
            <w:r>
              <w:rPr>
                <w:color w:val="auto"/>
                <w:sz w:val="24"/>
                <w:highlight w:val="none"/>
              </w:rPr>
              <w:t>m</w:t>
            </w:r>
            <w:r>
              <w:rPr>
                <w:color w:val="auto"/>
                <w:sz w:val="24"/>
                <w:highlight w:val="none"/>
                <w:vertAlign w:val="superscript"/>
              </w:rPr>
              <w:t>3</w:t>
            </w:r>
            <w:r>
              <w:rPr>
                <w:color w:val="auto"/>
                <w:sz w:val="24"/>
                <w:highlight w:val="none"/>
              </w:rPr>
              <w:t>/a。</w:t>
            </w:r>
            <w:r>
              <w:rPr>
                <w:bCs/>
                <w:color w:val="auto"/>
                <w:sz w:val="24"/>
                <w:highlight w:val="none"/>
              </w:rPr>
              <w:t>排水量</w:t>
            </w:r>
            <w:r>
              <w:rPr>
                <w:color w:val="auto"/>
                <w:sz w:val="24"/>
                <w:highlight w:val="none"/>
              </w:rPr>
              <w:t>按照生活用水量的80%统计，日排污量</w:t>
            </w:r>
            <w:r>
              <w:rPr>
                <w:rFonts w:hint="eastAsia"/>
                <w:color w:val="auto"/>
                <w:sz w:val="24"/>
                <w:highlight w:val="none"/>
                <w:lang w:val="en-US" w:eastAsia="zh-CN"/>
              </w:rPr>
              <w:t>0.6</w:t>
            </w:r>
            <w:r>
              <w:rPr>
                <w:color w:val="auto"/>
                <w:sz w:val="24"/>
                <w:highlight w:val="none"/>
              </w:rPr>
              <w:t>m</w:t>
            </w:r>
            <w:r>
              <w:rPr>
                <w:color w:val="auto"/>
                <w:sz w:val="24"/>
                <w:highlight w:val="none"/>
                <w:vertAlign w:val="superscript"/>
              </w:rPr>
              <w:t>3</w:t>
            </w:r>
            <w:r>
              <w:rPr>
                <w:color w:val="auto"/>
                <w:sz w:val="24"/>
                <w:highlight w:val="none"/>
              </w:rPr>
              <w:t>/d，年排污量</w:t>
            </w:r>
            <w:r>
              <w:rPr>
                <w:rFonts w:hint="eastAsia"/>
                <w:color w:val="auto"/>
                <w:sz w:val="24"/>
                <w:highlight w:val="none"/>
                <w:lang w:val="en-US" w:eastAsia="zh-CN"/>
              </w:rPr>
              <w:t>126</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本项目生活污水经30</w:t>
            </w:r>
            <w:r>
              <w:rPr>
                <w:color w:val="auto"/>
                <w:sz w:val="24"/>
                <w:highlight w:val="none"/>
              </w:rPr>
              <w:t>m</w:t>
            </w:r>
            <w:r>
              <w:rPr>
                <w:color w:val="auto"/>
                <w:sz w:val="24"/>
                <w:highlight w:val="none"/>
                <w:vertAlign w:val="superscript"/>
              </w:rPr>
              <w:t>3</w:t>
            </w:r>
            <w:r>
              <w:rPr>
                <w:rFonts w:hint="eastAsia"/>
                <w:color w:val="auto"/>
                <w:sz w:val="24"/>
                <w:highlight w:val="none"/>
                <w:vertAlign w:val="baseline"/>
                <w:lang w:val="en-US" w:eastAsia="zh-CN"/>
              </w:rPr>
              <w:t>防渗</w:t>
            </w:r>
            <w:r>
              <w:rPr>
                <w:rFonts w:hint="eastAsia"/>
                <w:color w:val="auto"/>
                <w:sz w:val="24"/>
                <w:highlight w:val="none"/>
                <w:lang w:val="en-US" w:eastAsia="zh-CN"/>
              </w:rPr>
              <w:t>化粪池处理。</w:t>
            </w:r>
            <w:r>
              <w:rPr>
                <w:color w:val="auto"/>
                <w:sz w:val="24"/>
                <w:highlight w:val="none"/>
              </w:rPr>
              <w:t>生活</w:t>
            </w:r>
            <w:r>
              <w:rPr>
                <w:rFonts w:hint="eastAsia"/>
                <w:color w:val="auto"/>
                <w:sz w:val="24"/>
                <w:highlight w:val="none"/>
              </w:rPr>
              <w:t>污</w:t>
            </w:r>
            <w:r>
              <w:rPr>
                <w:color w:val="auto"/>
                <w:sz w:val="24"/>
                <w:highlight w:val="none"/>
              </w:rPr>
              <w:t>水各污染物</w:t>
            </w:r>
            <w:r>
              <w:rPr>
                <w:rFonts w:hint="eastAsia"/>
                <w:color w:val="auto"/>
                <w:sz w:val="24"/>
                <w:highlight w:val="none"/>
              </w:rPr>
              <w:t>产</w:t>
            </w:r>
            <w:r>
              <w:rPr>
                <w:color w:val="auto"/>
                <w:sz w:val="24"/>
                <w:highlight w:val="none"/>
              </w:rPr>
              <w:t>排</w:t>
            </w:r>
            <w:r>
              <w:rPr>
                <w:rFonts w:hint="eastAsia"/>
                <w:color w:val="auto"/>
                <w:sz w:val="24"/>
                <w:highlight w:val="none"/>
              </w:rPr>
              <w:t>情况</w:t>
            </w:r>
            <w:r>
              <w:rPr>
                <w:color w:val="auto"/>
                <w:sz w:val="24"/>
                <w:highlight w:val="none"/>
              </w:rPr>
              <w:t>详见表</w:t>
            </w:r>
            <w:r>
              <w:rPr>
                <w:rFonts w:hint="eastAsia"/>
                <w:color w:val="auto"/>
                <w:sz w:val="24"/>
                <w:highlight w:val="none"/>
                <w:lang w:val="en-US" w:eastAsia="zh-CN"/>
              </w:rPr>
              <w:t>4-8</w:t>
            </w:r>
            <w:r>
              <w:rPr>
                <w:color w:val="auto"/>
                <w:sz w:val="24"/>
                <w:highlight w:val="none"/>
              </w:rPr>
              <w:t>。</w:t>
            </w:r>
          </w:p>
          <w:p>
            <w:pPr>
              <w:keepNext w:val="0"/>
              <w:keepLines w:val="0"/>
              <w:widowControl/>
              <w:suppressLineNumbers w:val="0"/>
              <w:jc w:val="center"/>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表4-8  生活污水各污染物产排情况表</w:t>
            </w:r>
          </w:p>
          <w:tbl>
            <w:tblPr>
              <w:tblStyle w:val="21"/>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5"/>
              <w:gridCol w:w="1597"/>
              <w:gridCol w:w="1597"/>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生活</w:t>
                  </w:r>
                  <w:r>
                    <w:rPr>
                      <w:rFonts w:hint="eastAsia" w:ascii="Times New Roman" w:hAnsi="Times New Roman" w:eastAsia="宋体" w:cs="Times New Roman"/>
                      <w:color w:val="auto"/>
                      <w:kern w:val="2"/>
                      <w:sz w:val="21"/>
                      <w:szCs w:val="21"/>
                      <w:highlight w:val="none"/>
                      <w:lang w:val="en-US" w:eastAsia="zh-CN" w:bidi="ar-SA"/>
                    </w:rPr>
                    <w:t>污</w:t>
                  </w:r>
                  <w:r>
                    <w:rPr>
                      <w:rFonts w:ascii="Times New Roman" w:hAnsi="Times New Roman" w:eastAsia="宋体" w:cs="Times New Roman"/>
                      <w:color w:val="auto"/>
                      <w:kern w:val="2"/>
                      <w:sz w:val="21"/>
                      <w:szCs w:val="21"/>
                      <w:highlight w:val="none"/>
                      <w:lang w:val="en-US" w:eastAsia="zh-CN" w:bidi="ar-SA"/>
                    </w:rPr>
                    <w:t>水</w:t>
                  </w:r>
                </w:p>
              </w:tc>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COD</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BOD</w:t>
                  </w:r>
                  <w:r>
                    <w:rPr>
                      <w:rFonts w:ascii="Times New Roman" w:hAnsi="Times New Roman" w:eastAsia="宋体" w:cs="Times New Roman"/>
                      <w:color w:val="auto"/>
                      <w:kern w:val="2"/>
                      <w:sz w:val="21"/>
                      <w:szCs w:val="21"/>
                      <w:highlight w:val="none"/>
                      <w:vertAlign w:val="subscript"/>
                      <w:lang w:val="en-US" w:eastAsia="zh-CN" w:bidi="ar-SA"/>
                    </w:rPr>
                    <w:t>5</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SS</w:t>
                  </w:r>
                </w:p>
              </w:tc>
              <w:tc>
                <w:tcPr>
                  <w:tcW w:w="1567"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产生浓度（mg/L）</w:t>
                  </w:r>
                </w:p>
              </w:tc>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350</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200</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220</w:t>
                  </w:r>
                </w:p>
              </w:tc>
              <w:tc>
                <w:tcPr>
                  <w:tcW w:w="1567"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产生量</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t/a</w:t>
                  </w:r>
                  <w:r>
                    <w:rPr>
                      <w:rFonts w:hint="eastAsia" w:ascii="Times New Roman" w:hAnsi="Times New Roman" w:eastAsia="宋体" w:cs="Times New Roman"/>
                      <w:color w:val="auto"/>
                      <w:kern w:val="2"/>
                      <w:sz w:val="21"/>
                      <w:szCs w:val="21"/>
                      <w:highlight w:val="none"/>
                      <w:lang w:val="en-US" w:eastAsia="zh-CN" w:bidi="ar-SA"/>
                    </w:rPr>
                    <w:t>）</w:t>
                  </w:r>
                </w:p>
              </w:tc>
              <w:tc>
                <w:tcPr>
                  <w:tcW w:w="1564"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0.0441</w:t>
                  </w:r>
                </w:p>
              </w:tc>
              <w:tc>
                <w:tcPr>
                  <w:tcW w:w="1566"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0.0252</w:t>
                  </w:r>
                </w:p>
              </w:tc>
              <w:tc>
                <w:tcPr>
                  <w:tcW w:w="1566"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0.02772</w:t>
                  </w:r>
                </w:p>
              </w:tc>
              <w:tc>
                <w:tcPr>
                  <w:tcW w:w="1567"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排放浓度（mg/L）</w:t>
                  </w:r>
                </w:p>
              </w:tc>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284</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182</w:t>
                  </w:r>
                </w:p>
              </w:tc>
              <w:tc>
                <w:tcPr>
                  <w:tcW w:w="1566"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154</w:t>
                  </w:r>
                </w:p>
              </w:tc>
              <w:tc>
                <w:tcPr>
                  <w:tcW w:w="1567"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4" w:type="dxa"/>
                  <w:noWrap w:val="0"/>
                  <w:vAlign w:val="center"/>
                </w:tcPr>
                <w:p>
                  <w:pPr>
                    <w:widowControl w:val="0"/>
                    <w:tabs>
                      <w:tab w:val="left" w:pos="2700"/>
                    </w:tabs>
                    <w:adjustRightInd w:val="0"/>
                    <w:snapToGrid w:val="0"/>
                    <w:spacing w:line="240" w:lineRule="auto"/>
                    <w:ind w:firstLine="0" w:firstLineChars="0"/>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排放量</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t/a</w:t>
                  </w:r>
                  <w:r>
                    <w:rPr>
                      <w:rFonts w:hint="eastAsia" w:ascii="Times New Roman" w:hAnsi="Times New Roman" w:eastAsia="宋体" w:cs="Times New Roman"/>
                      <w:color w:val="auto"/>
                      <w:kern w:val="2"/>
                      <w:sz w:val="21"/>
                      <w:szCs w:val="21"/>
                      <w:highlight w:val="none"/>
                      <w:lang w:val="en-US" w:eastAsia="zh-CN" w:bidi="ar-SA"/>
                    </w:rPr>
                    <w:t>）</w:t>
                  </w:r>
                </w:p>
              </w:tc>
              <w:tc>
                <w:tcPr>
                  <w:tcW w:w="1564"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0.035784</w:t>
                  </w:r>
                </w:p>
              </w:tc>
              <w:tc>
                <w:tcPr>
                  <w:tcW w:w="1566"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0.022932</w:t>
                  </w:r>
                </w:p>
              </w:tc>
              <w:tc>
                <w:tcPr>
                  <w:tcW w:w="1566"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0.019404</w:t>
                  </w:r>
                </w:p>
              </w:tc>
              <w:tc>
                <w:tcPr>
                  <w:tcW w:w="1567"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0.003024</w:t>
                  </w:r>
                </w:p>
              </w:tc>
            </w:tr>
          </w:tbl>
          <w:p>
            <w:pPr>
              <w:pStyle w:val="44"/>
              <w:bidi w:val="0"/>
              <w:ind w:left="0" w:leftChars="0" w:firstLine="480" w:firstLineChars="200"/>
              <w:rPr>
                <w:rFonts w:hint="eastAsia" w:eastAsia="宋体"/>
                <w:highlight w:val="none"/>
                <w:lang w:val="en-US" w:eastAsia="zh-CN"/>
              </w:rPr>
            </w:pPr>
            <w:r>
              <w:rPr>
                <w:bCs/>
                <w:color w:val="auto"/>
                <w:sz w:val="24"/>
                <w:highlight w:val="none"/>
              </w:rPr>
              <w:t>生活污水</w:t>
            </w:r>
            <w:r>
              <w:rPr>
                <w:rFonts w:hint="eastAsia"/>
                <w:bCs/>
                <w:color w:val="auto"/>
                <w:sz w:val="24"/>
                <w:highlight w:val="none"/>
              </w:rPr>
              <w:t>经</w:t>
            </w:r>
            <w:r>
              <w:rPr>
                <w:bCs/>
                <w:color w:val="auto"/>
                <w:sz w:val="24"/>
                <w:highlight w:val="none"/>
              </w:rPr>
              <w:t>防渗化粪池处理后，</w:t>
            </w:r>
            <w:r>
              <w:rPr>
                <w:color w:val="auto"/>
                <w:sz w:val="24"/>
                <w:highlight w:val="none"/>
              </w:rPr>
              <w:t>水质达到《污水综合排放标准》（GB 8978-1996）中三级标准后，</w:t>
            </w:r>
            <w:r>
              <w:rPr>
                <w:rFonts w:hint="eastAsia"/>
                <w:bCs/>
                <w:color w:val="auto"/>
                <w:sz w:val="24"/>
                <w:highlight w:val="none"/>
                <w:lang w:val="en-US" w:eastAsia="zh-CN"/>
              </w:rPr>
              <w:t>定期清运至博湖县城镇</w:t>
            </w:r>
            <w:r>
              <w:rPr>
                <w:rFonts w:hint="default"/>
                <w:bCs/>
                <w:color w:val="auto"/>
                <w:sz w:val="24"/>
                <w:highlight w:val="none"/>
                <w:lang w:val="en-US" w:eastAsia="zh-CN"/>
              </w:rPr>
              <w:t>污水处理厂</w:t>
            </w:r>
            <w:r>
              <w:rPr>
                <w:rFonts w:hint="eastAsia"/>
                <w:bCs/>
                <w:color w:val="auto"/>
                <w:sz w:val="24"/>
                <w:highlight w:val="none"/>
                <w:lang w:val="en-US" w:eastAsia="zh-CN"/>
              </w:rPr>
              <w:t>进一步处理</w:t>
            </w:r>
            <w:r>
              <w:rPr>
                <w:rFonts w:hint="eastAsia"/>
                <w:bCs/>
                <w:color w:val="auto"/>
                <w:sz w:val="24"/>
                <w:highlight w:val="none"/>
                <w:lang w:eastAsia="zh-CN"/>
              </w:rPr>
              <w:t>。</w:t>
            </w:r>
          </w:p>
          <w:p>
            <w:pPr>
              <w:pStyle w:val="44"/>
              <w:bidi w:val="0"/>
              <w:rPr>
                <w:rFonts w:hint="eastAsia"/>
                <w:highlight w:val="none"/>
                <w:lang w:val="en-US" w:eastAsia="zh-CN"/>
              </w:rPr>
            </w:pPr>
            <w:r>
              <w:rPr>
                <w:rFonts w:hint="eastAsia" w:cs="Times New Roman"/>
                <w:color w:val="auto"/>
                <w:highlight w:val="none"/>
                <w:lang w:val="en-US" w:eastAsia="zh-CN"/>
              </w:rPr>
              <w:t>2.2营运期地表水环境保护措施</w:t>
            </w:r>
          </w:p>
          <w:p>
            <w:pPr>
              <w:pStyle w:val="44"/>
              <w:bidi w:val="0"/>
              <w:rPr>
                <w:rFonts w:hint="eastAsia"/>
                <w:highlight w:val="none"/>
                <w:lang w:val="en-US" w:eastAsia="zh-CN"/>
              </w:rPr>
            </w:pPr>
            <w:r>
              <w:rPr>
                <w:rFonts w:hint="eastAsia"/>
                <w:highlight w:val="none"/>
                <w:lang w:val="en-US" w:eastAsia="zh-CN"/>
              </w:rPr>
              <w:t>①生产废水闭环管理：本项目砼预制件配料用水随产品带出或自然蒸发，洗车废水、养护废水经沉淀池沉淀后回用地表抑尘与雾炮降尘用水自然蒸发，无生产废水外排，</w:t>
            </w:r>
            <w:r>
              <w:rPr>
                <w:rFonts w:ascii="PingFang-SC-Regular" w:hAnsi="PingFang-SC-Regular" w:eastAsia="PingFang-SC-Regular" w:cs="PingFang-SC-Regular"/>
                <w:i w:val="0"/>
                <w:iCs w:val="0"/>
                <w:caps w:val="0"/>
                <w:color w:val="0D0D0D"/>
                <w:spacing w:val="0"/>
                <w:sz w:val="24"/>
                <w:szCs w:val="24"/>
                <w:shd w:val="clear" w:fill="FFFFFF"/>
              </w:rPr>
              <w:t>减少新鲜水取用量</w:t>
            </w:r>
            <w:r>
              <w:rPr>
                <w:rFonts w:hint="eastAsia" w:ascii="PingFang-SC-Regular" w:hAnsi="PingFang-SC-Regular" w:eastAsia="宋体" w:cs="PingFang-SC-Regular"/>
                <w:i w:val="0"/>
                <w:iCs w:val="0"/>
                <w:caps w:val="0"/>
                <w:color w:val="0D0D0D"/>
                <w:spacing w:val="0"/>
                <w:sz w:val="24"/>
                <w:szCs w:val="24"/>
                <w:shd w:val="clear" w:fill="FFFFFF"/>
                <w:lang w:val="en-US" w:eastAsia="zh-CN"/>
              </w:rPr>
              <w:t>的同时</w:t>
            </w:r>
            <w:r>
              <w:rPr>
                <w:rFonts w:hint="eastAsia"/>
                <w:bCs/>
                <w:color w:val="auto"/>
                <w:sz w:val="24"/>
                <w:highlight w:val="none"/>
                <w:lang w:val="en-US" w:eastAsia="zh-CN"/>
              </w:rPr>
              <w:t>不排入开都河河道</w:t>
            </w:r>
            <w:r>
              <w:rPr>
                <w:rFonts w:hint="eastAsia"/>
                <w:highlight w:val="none"/>
                <w:lang w:val="en-US" w:eastAsia="zh-CN"/>
              </w:rPr>
              <w:t>。</w:t>
            </w:r>
          </w:p>
          <w:p>
            <w:pPr>
              <w:pStyle w:val="44"/>
              <w:bidi w:val="0"/>
              <w:rPr>
                <w:rFonts w:hint="eastAsia" w:eastAsia="宋体"/>
                <w:highlight w:val="none"/>
                <w:lang w:val="en-US" w:eastAsia="zh-CN"/>
              </w:rPr>
            </w:pPr>
            <w:r>
              <w:rPr>
                <w:rFonts w:hint="eastAsia"/>
                <w:highlight w:val="none"/>
                <w:lang w:val="en-US" w:eastAsia="zh-CN"/>
              </w:rPr>
              <w:t>②生活污水达标排放：</w:t>
            </w:r>
            <w:r>
              <w:rPr>
                <w:bCs/>
                <w:color w:val="auto"/>
                <w:sz w:val="24"/>
                <w:highlight w:val="none"/>
              </w:rPr>
              <w:t>生活污水</w:t>
            </w:r>
            <w:r>
              <w:rPr>
                <w:rFonts w:hint="eastAsia"/>
                <w:bCs/>
                <w:color w:val="auto"/>
                <w:sz w:val="24"/>
                <w:highlight w:val="none"/>
              </w:rPr>
              <w:t>经</w:t>
            </w:r>
            <w:r>
              <w:rPr>
                <w:bCs/>
                <w:color w:val="auto"/>
                <w:sz w:val="24"/>
                <w:highlight w:val="none"/>
              </w:rPr>
              <w:t>防渗化粪池处理</w:t>
            </w:r>
            <w:r>
              <w:rPr>
                <w:rFonts w:ascii="PingFang-SC-Regular" w:hAnsi="PingFang-SC-Regular" w:eastAsia="PingFang-SC-Regular" w:cs="PingFang-SC-Regular"/>
                <w:i w:val="0"/>
                <w:iCs w:val="0"/>
                <w:caps w:val="0"/>
                <w:color w:val="0D0D0D"/>
                <w:spacing w:val="0"/>
                <w:sz w:val="24"/>
                <w:szCs w:val="24"/>
                <w:shd w:val="clear" w:fill="FFFFFF"/>
              </w:rPr>
              <w:t>达标后</w:t>
            </w:r>
            <w:r>
              <w:rPr>
                <w:rFonts w:hint="eastAsia"/>
                <w:bCs/>
                <w:color w:val="auto"/>
                <w:sz w:val="24"/>
                <w:highlight w:val="none"/>
                <w:lang w:val="en-US" w:eastAsia="zh-CN"/>
              </w:rPr>
              <w:t>定期清运至博湖县城镇</w:t>
            </w:r>
            <w:r>
              <w:rPr>
                <w:rFonts w:hint="default"/>
                <w:bCs/>
                <w:color w:val="auto"/>
                <w:sz w:val="24"/>
                <w:highlight w:val="none"/>
                <w:lang w:val="en-US" w:eastAsia="zh-CN"/>
              </w:rPr>
              <w:t>污水处理厂</w:t>
            </w:r>
            <w:r>
              <w:rPr>
                <w:rFonts w:hint="eastAsia"/>
                <w:bCs/>
                <w:color w:val="auto"/>
                <w:sz w:val="24"/>
                <w:highlight w:val="none"/>
                <w:lang w:val="en-US" w:eastAsia="zh-CN"/>
              </w:rPr>
              <w:t>，不排入开都河河道</w:t>
            </w:r>
            <w:r>
              <w:rPr>
                <w:rFonts w:hint="eastAsia" w:ascii="PingFang-SC-Regular" w:hAnsi="PingFang-SC-Regular" w:eastAsia="宋体" w:cs="PingFang-SC-Regular"/>
                <w:i w:val="0"/>
                <w:iCs w:val="0"/>
                <w:caps w:val="0"/>
                <w:color w:val="0D0D0D"/>
                <w:spacing w:val="0"/>
                <w:sz w:val="24"/>
                <w:szCs w:val="24"/>
                <w:shd w:val="clear" w:fill="FFFFFF"/>
                <w:lang w:eastAsia="zh-CN"/>
              </w:rPr>
              <w:t>。</w:t>
            </w:r>
          </w:p>
          <w:p>
            <w:pPr>
              <w:pStyle w:val="44"/>
              <w:bidi w:val="0"/>
              <w:rPr>
                <w:rFonts w:hint="eastAsia"/>
                <w:highlight w:val="none"/>
                <w:lang w:val="en-US" w:eastAsia="zh-CN"/>
              </w:rPr>
            </w:pPr>
            <w:r>
              <w:rPr>
                <w:rFonts w:hint="eastAsia"/>
                <w:highlight w:val="none"/>
                <w:lang w:val="en-US" w:eastAsia="zh-CN"/>
              </w:rPr>
              <w:t>③危险废物规范处置：分类存储：废液压油、废手套、废抹布等危险废物收集后暂存于危废贮存点，设置明显警示标识。委托处置：与有资质的单位签订处置协议，定期转运并留存联单，严禁倾倒至开都河河道或滩涂。</w:t>
            </w:r>
          </w:p>
          <w:p>
            <w:pPr>
              <w:pStyle w:val="44"/>
              <w:bidi w:val="0"/>
              <w:rPr>
                <w:rFonts w:hint="eastAsia"/>
                <w:highlight w:val="none"/>
                <w:lang w:val="en-US" w:eastAsia="zh-CN"/>
              </w:rPr>
            </w:pPr>
            <w:r>
              <w:rPr>
                <w:rFonts w:hint="eastAsia"/>
                <w:highlight w:val="none"/>
                <w:lang w:val="en-US" w:eastAsia="zh-CN"/>
              </w:rPr>
              <w:t>④泄漏应急防控：防渗措施：原料库、沉淀池、危废贮存点按照分区防渗要求设防渗措施，防止污染物下渗。应急物资：配备吸油毡、围油栏、防汛沙袋等物资，定期演练泄漏应急处置流程（如用沙袋拦截泄漏物，用吸油毡吸附油污）。</w:t>
            </w:r>
          </w:p>
          <w:p>
            <w:pPr>
              <w:pStyle w:val="44"/>
              <w:bidi w:val="0"/>
              <w:rPr>
                <w:rFonts w:hint="eastAsia"/>
                <w:highlight w:val="none"/>
                <w:lang w:val="en-US" w:eastAsia="zh-CN"/>
              </w:rPr>
            </w:pPr>
            <w:r>
              <w:rPr>
                <w:rFonts w:hint="eastAsia"/>
                <w:highlight w:val="none"/>
                <w:lang w:val="en-US" w:eastAsia="zh-CN"/>
              </w:rPr>
              <w:t>⑤配合环保部门“双随机、一公开”检查，确保措施落实到位。</w:t>
            </w:r>
          </w:p>
          <w:p>
            <w:pPr>
              <w:pStyle w:val="44"/>
              <w:bidi w:val="0"/>
              <w:rPr>
                <w:rFonts w:hint="eastAsia"/>
                <w:highlight w:val="none"/>
                <w:lang w:val="en-US" w:eastAsia="zh-CN"/>
              </w:rPr>
            </w:pPr>
            <w:r>
              <w:rPr>
                <w:rFonts w:hint="eastAsia"/>
                <w:highlight w:val="none"/>
                <w:lang w:val="en-US" w:eastAsia="zh-CN"/>
              </w:rPr>
              <w:t>2.3地表水环境影响评价</w:t>
            </w:r>
          </w:p>
          <w:p>
            <w:pPr>
              <w:pStyle w:val="44"/>
              <w:bidi w:val="0"/>
              <w:rPr>
                <w:rFonts w:hint="eastAsia"/>
                <w:highlight w:val="none"/>
                <w:lang w:val="en-US" w:eastAsia="zh-CN"/>
              </w:rPr>
            </w:pPr>
            <w:r>
              <w:rPr>
                <w:rFonts w:hint="eastAsia"/>
                <w:highlight w:val="none"/>
                <w:lang w:val="en-US" w:eastAsia="zh-CN"/>
              </w:rPr>
              <w:t>（1）环境影响减缓措施有效性分析</w:t>
            </w:r>
          </w:p>
          <w:p>
            <w:pPr>
              <w:pStyle w:val="44"/>
              <w:bidi w:val="0"/>
              <w:rPr>
                <w:rFonts w:hint="eastAsia"/>
                <w:highlight w:val="none"/>
                <w:lang w:val="en-US" w:eastAsia="zh-CN"/>
              </w:rPr>
            </w:pPr>
            <w:r>
              <w:rPr>
                <w:rFonts w:hint="default" w:ascii="Times New Roman" w:hAnsi="Times New Roman" w:cs="Times New Roman"/>
                <w:sz w:val="24"/>
                <w:highlight w:val="none"/>
              </w:rPr>
              <w:t>本项目生活污水主要为职工产生的生活污水，主要污染物CODcr、BOD</w:t>
            </w:r>
            <w:r>
              <w:rPr>
                <w:rFonts w:hint="default" w:ascii="Times New Roman" w:hAnsi="Times New Roman" w:cs="Times New Roman"/>
                <w:sz w:val="24"/>
                <w:highlight w:val="none"/>
                <w:vertAlign w:val="subscript"/>
              </w:rPr>
              <w:t>5</w:t>
            </w:r>
            <w:r>
              <w:rPr>
                <w:rFonts w:hint="default" w:ascii="Times New Roman" w:hAnsi="Times New Roman" w:cs="Times New Roman"/>
                <w:sz w:val="24"/>
                <w:highlight w:val="none"/>
              </w:rPr>
              <w:t>、SS、氨氮等。污水收集到化粪池</w:t>
            </w:r>
            <w:r>
              <w:rPr>
                <w:rFonts w:hint="eastAsia"/>
                <w:sz w:val="24"/>
                <w:szCs w:val="24"/>
                <w:highlight w:val="none"/>
                <w:lang w:val="en-US" w:eastAsia="zh-CN"/>
              </w:rPr>
              <w:t>（1座、容积</w:t>
            </w:r>
            <w:r>
              <w:rPr>
                <w:rFonts w:hint="eastAsia" w:cs="宋体"/>
                <w:color w:val="000000"/>
                <w:sz w:val="24"/>
                <w:szCs w:val="24"/>
                <w:highlight w:val="none"/>
                <w:lang w:val="en-US" w:eastAsia="zh-CN" w:bidi="ar"/>
              </w:rPr>
              <w:t>3</w:t>
            </w:r>
            <w:r>
              <w:rPr>
                <w:rFonts w:cs="宋体"/>
                <w:color w:val="000000"/>
                <w:sz w:val="24"/>
                <w:szCs w:val="24"/>
                <w:highlight w:val="none"/>
                <w:lang w:bidi="ar"/>
              </w:rPr>
              <w:t>0</w:t>
            </w:r>
            <w:r>
              <w:rPr>
                <w:rFonts w:hint="eastAsia" w:cs="宋体"/>
                <w:color w:val="000000"/>
                <w:sz w:val="24"/>
                <w:szCs w:val="24"/>
                <w:highlight w:val="none"/>
                <w:lang w:bidi="ar"/>
              </w:rPr>
              <w:t>m³</w:t>
            </w:r>
            <w:r>
              <w:rPr>
                <w:rFonts w:hint="eastAsia"/>
                <w:sz w:val="24"/>
                <w:szCs w:val="24"/>
                <w:highlight w:val="none"/>
                <w:lang w:val="en-US" w:eastAsia="zh-CN"/>
              </w:rPr>
              <w:t>）</w:t>
            </w:r>
            <w:r>
              <w:rPr>
                <w:rFonts w:hint="default" w:ascii="Times New Roman" w:hAnsi="Times New Roman" w:cs="Times New Roman"/>
                <w:sz w:val="24"/>
                <w:highlight w:val="none"/>
              </w:rPr>
              <w:t>处理后，</w:t>
            </w:r>
            <w:r>
              <w:rPr>
                <w:rFonts w:hint="eastAsia"/>
                <w:bCs/>
                <w:color w:val="auto"/>
                <w:sz w:val="24"/>
                <w:highlight w:val="none"/>
                <w:lang w:val="en-US" w:eastAsia="zh-CN"/>
              </w:rPr>
              <w:t>定期清运至博湖县城镇</w:t>
            </w:r>
            <w:r>
              <w:rPr>
                <w:rFonts w:hint="default"/>
                <w:bCs/>
                <w:color w:val="auto"/>
                <w:sz w:val="24"/>
                <w:highlight w:val="none"/>
                <w:lang w:val="en-US" w:eastAsia="zh-CN"/>
              </w:rPr>
              <w:t>污水处理厂</w:t>
            </w:r>
            <w:r>
              <w:rPr>
                <w:rFonts w:hint="eastAsia"/>
                <w:bCs/>
                <w:color w:val="auto"/>
                <w:sz w:val="24"/>
                <w:highlight w:val="none"/>
                <w:lang w:val="en-US" w:eastAsia="zh-CN"/>
              </w:rPr>
              <w:t>进一步处理</w:t>
            </w:r>
            <w:r>
              <w:rPr>
                <w:rFonts w:hint="eastAsia"/>
                <w:bCs/>
                <w:color w:val="auto"/>
                <w:sz w:val="24"/>
                <w:highlight w:val="none"/>
                <w:lang w:eastAsia="zh-CN"/>
              </w:rPr>
              <w:t>。</w:t>
            </w:r>
            <w:r>
              <w:rPr>
                <w:rFonts w:hint="default" w:ascii="Times New Roman" w:hAnsi="Times New Roman" w:cs="Times New Roman"/>
                <w:sz w:val="24"/>
                <w:highlight w:val="none"/>
              </w:rPr>
              <w:t>各项污染物排放浓度均可达到《污水综合排放标准》（GB8978-1996）三级标准，可以满足城市污水处理厂纳管条件</w:t>
            </w:r>
            <w:r>
              <w:rPr>
                <w:rStyle w:val="49"/>
                <w:rFonts w:hint="default" w:ascii="Times New Roman" w:hAnsi="Times New Roman" w:cs="Times New Roman"/>
                <w:color w:val="000000"/>
                <w:sz w:val="24"/>
                <w:highlight w:val="none"/>
              </w:rPr>
              <w:t>。</w:t>
            </w:r>
            <w:r>
              <w:rPr>
                <w:rFonts w:hint="default" w:ascii="Times New Roman" w:hAnsi="Times New Roman" w:cs="Times New Roman"/>
                <w:sz w:val="24"/>
                <w:highlight w:val="none"/>
              </w:rPr>
              <w:t>综上不会对区域水环境产生明显影响。</w:t>
            </w:r>
          </w:p>
          <w:p>
            <w:pPr>
              <w:pStyle w:val="44"/>
              <w:bidi w:val="0"/>
              <w:rPr>
                <w:rFonts w:hint="eastAsia"/>
                <w:highlight w:val="none"/>
                <w:lang w:val="en-US" w:eastAsia="zh-CN"/>
              </w:rPr>
            </w:pPr>
            <w:r>
              <w:rPr>
                <w:rFonts w:hint="eastAsia"/>
                <w:highlight w:val="none"/>
                <w:lang w:val="en-US" w:eastAsia="zh-CN"/>
              </w:rPr>
              <w:t>参照《排污单位自行监测技术指南 总则》（HJ819-2017）的相关要求本项目生活污水采用化粪池沉淀预处理，符合以上规定的污染防治可行技术，环境影响减缓措施可行、有效。</w:t>
            </w:r>
          </w:p>
          <w:p>
            <w:pPr>
              <w:pStyle w:val="7"/>
              <w:bidi w:val="0"/>
              <w:spacing w:line="360" w:lineRule="auto"/>
              <w:rPr>
                <w:rFonts w:hint="default"/>
                <w:highlight w:val="none"/>
                <w:lang w:val="en-US" w:eastAsia="zh-CN"/>
              </w:rPr>
            </w:pPr>
            <w:r>
              <w:rPr>
                <w:rFonts w:hint="eastAsia"/>
                <w:highlight w:val="none"/>
                <w:lang w:val="en-US" w:eastAsia="zh-CN"/>
              </w:rPr>
              <w:t>（2）依托污水处理设施的环境可行性分析</w:t>
            </w:r>
          </w:p>
          <w:p>
            <w:pPr>
              <w:pStyle w:val="7"/>
              <w:bidi w:val="0"/>
              <w:spacing w:line="360" w:lineRule="auto"/>
              <w:rPr>
                <w:rFonts w:hint="eastAsia"/>
                <w:highlight w:val="none"/>
                <w:lang w:val="en-US" w:eastAsia="zh-CN"/>
              </w:rPr>
            </w:pPr>
            <w:r>
              <w:rPr>
                <w:rFonts w:hint="eastAsia" w:cs="Times New Roman"/>
                <w:color w:val="000000"/>
                <w:kern w:val="0"/>
                <w:sz w:val="24"/>
                <w:szCs w:val="24"/>
                <w:lang w:val="en-US" w:eastAsia="zh-CN"/>
              </w:rPr>
              <w:t>博湖县正通供排水有限公司是位于博湖县的生活污水处理厂，目前正常运行中，设计处理能力为0.35万</w:t>
            </w:r>
            <w:r>
              <w:rPr>
                <w:rFonts w:hint="eastAsia"/>
                <w:bCs/>
                <w:sz w:val="24"/>
              </w:rPr>
              <w:t>m</w:t>
            </w:r>
            <w:r>
              <w:rPr>
                <w:bCs/>
                <w:sz w:val="24"/>
                <w:vertAlign w:val="superscript"/>
              </w:rPr>
              <w:t>3</w:t>
            </w:r>
            <w:r>
              <w:rPr>
                <w:bCs/>
                <w:sz w:val="24"/>
              </w:rPr>
              <w:t>/d</w:t>
            </w:r>
            <w:r>
              <w:rPr>
                <w:rFonts w:hint="eastAsia" w:cs="Times New Roman"/>
                <w:color w:val="000000"/>
                <w:kern w:val="0"/>
                <w:sz w:val="24"/>
                <w:szCs w:val="24"/>
                <w:lang w:val="en-US" w:eastAsia="zh-CN"/>
              </w:rPr>
              <w:t>，实际处理水量约3000</w:t>
            </w:r>
            <w:r>
              <w:rPr>
                <w:rFonts w:hint="eastAsia"/>
                <w:bCs/>
                <w:sz w:val="24"/>
              </w:rPr>
              <w:t>m</w:t>
            </w:r>
            <w:r>
              <w:rPr>
                <w:bCs/>
                <w:sz w:val="24"/>
                <w:vertAlign w:val="superscript"/>
              </w:rPr>
              <w:t>3</w:t>
            </w:r>
            <w:r>
              <w:rPr>
                <w:bCs/>
                <w:sz w:val="24"/>
              </w:rPr>
              <w:t>/d</w:t>
            </w:r>
            <w:r>
              <w:rPr>
                <w:rFonts w:hint="eastAsia" w:cs="Times New Roman"/>
                <w:color w:val="000000"/>
                <w:kern w:val="0"/>
                <w:sz w:val="24"/>
                <w:szCs w:val="24"/>
                <w:lang w:val="en-US" w:eastAsia="zh-CN"/>
              </w:rPr>
              <w:t>，处理工艺为“调节池+沉砂池+厌氧池+缺氧池+好氧池+</w:t>
            </w:r>
            <w:r>
              <w:rPr>
                <w:rFonts w:hint="eastAsia"/>
                <w:bCs/>
                <w:sz w:val="24"/>
              </w:rPr>
              <w:t>曝气生物滤池</w:t>
            </w:r>
            <w:r>
              <w:rPr>
                <w:rFonts w:hint="eastAsia"/>
                <w:bCs/>
                <w:sz w:val="24"/>
                <w:lang w:val="en-US" w:eastAsia="zh-CN"/>
              </w:rPr>
              <w:t>+</w:t>
            </w:r>
            <w:r>
              <w:rPr>
                <w:rFonts w:hint="eastAsia" w:cs="Times New Roman"/>
                <w:color w:val="000000"/>
                <w:kern w:val="0"/>
                <w:sz w:val="24"/>
                <w:szCs w:val="24"/>
                <w:lang w:val="en-US" w:eastAsia="zh-CN"/>
              </w:rPr>
              <w:t>接触消毒池”，出水标准为《城镇污水处理厂污染物排放标准》（GB18918-2002））中一级A标准，</w:t>
            </w:r>
            <w:r>
              <w:rPr>
                <w:rFonts w:hint="eastAsia"/>
                <w:bCs/>
                <w:sz w:val="24"/>
              </w:rPr>
              <w:t>其水质能满足《污水再生利用工程设计规范》（GB50335-2002）中“城镇杂用水水质控制指标”城市绿化标准和“景观环境用水的再生水水质控制指标”观赏性景观环境用水标准要求</w:t>
            </w:r>
            <w:r>
              <w:rPr>
                <w:rFonts w:hint="eastAsia"/>
                <w:bCs/>
                <w:sz w:val="24"/>
                <w:lang w:eastAsia="zh-CN"/>
              </w:rPr>
              <w:t>，</w:t>
            </w:r>
            <w:r>
              <w:rPr>
                <w:rFonts w:hint="eastAsia" w:cs="Times New Roman"/>
                <w:color w:val="000000"/>
                <w:kern w:val="0"/>
                <w:sz w:val="24"/>
                <w:szCs w:val="24"/>
                <w:lang w:val="en-US" w:eastAsia="zh-CN"/>
              </w:rPr>
              <w:t>经过处理的污水用于城镇景观绿化及</w:t>
            </w:r>
            <w:r>
              <w:rPr>
                <w:sz w:val="24"/>
                <w:szCs w:val="20"/>
              </w:rPr>
              <w:t>灌溉生态林木</w:t>
            </w:r>
            <w:r>
              <w:rPr>
                <w:rFonts w:hint="eastAsia" w:cs="Times New Roman"/>
                <w:color w:val="000000"/>
                <w:kern w:val="0"/>
                <w:sz w:val="24"/>
                <w:szCs w:val="24"/>
                <w:lang w:val="en-US" w:eastAsia="zh-CN"/>
              </w:rPr>
              <w:t>。本项目距离博湖县正通供排水有限公司较近，本项目污水水质简单，排放量小</w:t>
            </w:r>
            <w:r>
              <w:rPr>
                <w:rFonts w:hint="eastAsia"/>
                <w:color w:val="auto"/>
                <w:sz w:val="24"/>
                <w:highlight w:val="none"/>
                <w:lang w:val="en-US" w:eastAsia="zh-CN"/>
              </w:rPr>
              <w:t>0.6</w:t>
            </w:r>
            <w:r>
              <w:rPr>
                <w:color w:val="auto"/>
                <w:sz w:val="24"/>
                <w:highlight w:val="none"/>
              </w:rPr>
              <w:t>m</w:t>
            </w:r>
            <w:r>
              <w:rPr>
                <w:color w:val="auto"/>
                <w:sz w:val="24"/>
                <w:highlight w:val="none"/>
                <w:vertAlign w:val="superscript"/>
              </w:rPr>
              <w:t>3</w:t>
            </w:r>
            <w:r>
              <w:rPr>
                <w:color w:val="auto"/>
                <w:sz w:val="24"/>
                <w:highlight w:val="none"/>
              </w:rPr>
              <w:t>/d</w:t>
            </w:r>
            <w:r>
              <w:rPr>
                <w:rFonts w:hint="eastAsia" w:cs="Times New Roman"/>
                <w:color w:val="000000"/>
                <w:kern w:val="0"/>
                <w:sz w:val="24"/>
                <w:szCs w:val="24"/>
                <w:lang w:val="en-US" w:eastAsia="zh-CN"/>
              </w:rPr>
              <w:t>、仅占博湖县生活污水处理厂处理能力的0.017%，且博湖县生活污水处理厂尚有500</w:t>
            </w:r>
            <w:r>
              <w:rPr>
                <w:rFonts w:hint="eastAsia"/>
                <w:bCs/>
                <w:sz w:val="24"/>
              </w:rPr>
              <w:t>m</w:t>
            </w:r>
            <w:r>
              <w:rPr>
                <w:bCs/>
                <w:sz w:val="24"/>
                <w:vertAlign w:val="superscript"/>
              </w:rPr>
              <w:t>3</w:t>
            </w:r>
            <w:r>
              <w:rPr>
                <w:bCs/>
                <w:sz w:val="24"/>
              </w:rPr>
              <w:t>/d</w:t>
            </w:r>
            <w:r>
              <w:rPr>
                <w:rFonts w:hint="eastAsia"/>
                <w:bCs/>
                <w:sz w:val="24"/>
                <w:lang w:val="en-US" w:eastAsia="zh-CN"/>
              </w:rPr>
              <w:t>剩余纳污容量</w:t>
            </w:r>
            <w:r>
              <w:rPr>
                <w:rFonts w:hint="eastAsia" w:cs="Times New Roman"/>
                <w:color w:val="000000"/>
                <w:kern w:val="0"/>
                <w:sz w:val="24"/>
                <w:szCs w:val="24"/>
                <w:lang w:val="en-US" w:eastAsia="zh-CN"/>
              </w:rPr>
              <w:t>，排入博湖县正通供排水有限公司是可行的。</w:t>
            </w:r>
          </w:p>
          <w:p>
            <w:pPr>
              <w:pStyle w:val="44"/>
              <w:bidi w:val="0"/>
              <w:rPr>
                <w:rFonts w:hint="eastAsia"/>
                <w:highlight w:val="none"/>
                <w:lang w:val="en-US" w:eastAsia="zh-CN"/>
              </w:rPr>
            </w:pPr>
            <w:r>
              <w:rPr>
                <w:rFonts w:hint="eastAsia"/>
                <w:highlight w:val="none"/>
                <w:lang w:val="en-US" w:eastAsia="zh-CN"/>
              </w:rPr>
              <w:t>2.4废水排放情况汇总表</w:t>
            </w:r>
          </w:p>
          <w:p>
            <w:pPr>
              <w:pStyle w:val="44"/>
              <w:bidi w:val="0"/>
              <w:rPr>
                <w:rFonts w:hint="eastAsia"/>
                <w:highlight w:val="none"/>
                <w:lang w:val="en-US" w:eastAsia="zh-CN"/>
              </w:rPr>
            </w:pPr>
            <w:r>
              <w:rPr>
                <w:rFonts w:hint="eastAsia"/>
                <w:highlight w:val="none"/>
                <w:lang w:val="en-US" w:eastAsia="zh-CN"/>
              </w:rPr>
              <w:t>本项目废水类别、污染物及污染治理措施信息表</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表4-9  废水类别、污染物及污染治理措施信息表</w:t>
            </w:r>
          </w:p>
          <w:tbl>
            <w:tblPr>
              <w:tblStyle w:val="48"/>
              <w:tblW w:w="78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816"/>
              <w:gridCol w:w="1001"/>
              <w:gridCol w:w="1057"/>
              <w:gridCol w:w="1129"/>
              <w:gridCol w:w="805"/>
              <w:gridCol w:w="764"/>
              <w:gridCol w:w="850"/>
              <w:gridCol w:w="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366" w:type="pct"/>
                  <w:noWrap w:val="0"/>
                  <w:vAlign w:val="center"/>
                </w:tcPr>
                <w:p>
                  <w:pPr>
                    <w:pStyle w:val="30"/>
                    <w:bidi w:val="0"/>
                    <w:rPr>
                      <w:highlight w:val="none"/>
                    </w:rPr>
                  </w:pPr>
                  <w:r>
                    <w:rPr>
                      <w:highlight w:val="none"/>
                    </w:rPr>
                    <w:t>序号</w:t>
                  </w:r>
                </w:p>
              </w:tc>
              <w:tc>
                <w:tcPr>
                  <w:tcW w:w="520" w:type="pct"/>
                  <w:noWrap w:val="0"/>
                  <w:vAlign w:val="center"/>
                </w:tcPr>
                <w:p>
                  <w:pPr>
                    <w:pStyle w:val="30"/>
                    <w:bidi w:val="0"/>
                    <w:rPr>
                      <w:highlight w:val="none"/>
                    </w:rPr>
                  </w:pPr>
                  <w:r>
                    <w:rPr>
                      <w:highlight w:val="none"/>
                    </w:rPr>
                    <w:t>废水类别</w:t>
                  </w:r>
                </w:p>
              </w:tc>
              <w:tc>
                <w:tcPr>
                  <w:tcW w:w="638" w:type="pct"/>
                  <w:noWrap w:val="0"/>
                  <w:vAlign w:val="center"/>
                </w:tcPr>
                <w:p>
                  <w:pPr>
                    <w:pStyle w:val="30"/>
                    <w:bidi w:val="0"/>
                    <w:rPr>
                      <w:highlight w:val="none"/>
                    </w:rPr>
                  </w:pPr>
                  <w:r>
                    <w:rPr>
                      <w:highlight w:val="none"/>
                    </w:rPr>
                    <w:t>污染物种类</w:t>
                  </w:r>
                </w:p>
              </w:tc>
              <w:tc>
                <w:tcPr>
                  <w:tcW w:w="674" w:type="pct"/>
                  <w:noWrap w:val="0"/>
                  <w:vAlign w:val="center"/>
                </w:tcPr>
                <w:p>
                  <w:pPr>
                    <w:pStyle w:val="30"/>
                    <w:bidi w:val="0"/>
                    <w:rPr>
                      <w:highlight w:val="none"/>
                    </w:rPr>
                  </w:pPr>
                  <w:r>
                    <w:rPr>
                      <w:highlight w:val="none"/>
                    </w:rPr>
                    <w:t>排放去向</w:t>
                  </w:r>
                </w:p>
              </w:tc>
              <w:tc>
                <w:tcPr>
                  <w:tcW w:w="720" w:type="pct"/>
                  <w:noWrap w:val="0"/>
                  <w:vAlign w:val="center"/>
                </w:tcPr>
                <w:p>
                  <w:pPr>
                    <w:pStyle w:val="30"/>
                    <w:bidi w:val="0"/>
                    <w:rPr>
                      <w:highlight w:val="none"/>
                    </w:rPr>
                  </w:pPr>
                  <w:r>
                    <w:rPr>
                      <w:highlight w:val="none"/>
                    </w:rPr>
                    <w:t>排放规律</w:t>
                  </w:r>
                </w:p>
              </w:tc>
              <w:tc>
                <w:tcPr>
                  <w:tcW w:w="513" w:type="pct"/>
                  <w:noWrap w:val="0"/>
                  <w:vAlign w:val="center"/>
                </w:tcPr>
                <w:p>
                  <w:pPr>
                    <w:pStyle w:val="30"/>
                    <w:bidi w:val="0"/>
                    <w:rPr>
                      <w:highlight w:val="none"/>
                    </w:rPr>
                  </w:pPr>
                  <w:r>
                    <w:rPr>
                      <w:highlight w:val="none"/>
                    </w:rPr>
                    <w:t>污染治理设施</w:t>
                  </w:r>
                </w:p>
              </w:tc>
              <w:tc>
                <w:tcPr>
                  <w:tcW w:w="487" w:type="pct"/>
                  <w:noWrap w:val="0"/>
                  <w:vAlign w:val="center"/>
                </w:tcPr>
                <w:p>
                  <w:pPr>
                    <w:pStyle w:val="30"/>
                    <w:bidi w:val="0"/>
                    <w:rPr>
                      <w:highlight w:val="none"/>
                    </w:rPr>
                  </w:pPr>
                  <w:r>
                    <w:rPr>
                      <w:highlight w:val="none"/>
                    </w:rPr>
                    <w:t>排放口编号</w:t>
                  </w:r>
                </w:p>
              </w:tc>
              <w:tc>
                <w:tcPr>
                  <w:tcW w:w="542" w:type="pct"/>
                  <w:noWrap w:val="0"/>
                  <w:vAlign w:val="center"/>
                </w:tcPr>
                <w:p>
                  <w:pPr>
                    <w:pStyle w:val="30"/>
                    <w:bidi w:val="0"/>
                    <w:rPr>
                      <w:highlight w:val="none"/>
                    </w:rPr>
                  </w:pPr>
                  <w:r>
                    <w:rPr>
                      <w:highlight w:val="none"/>
                    </w:rPr>
                    <w:t>排放口设置是否符合要求</w:t>
                  </w:r>
                </w:p>
              </w:tc>
              <w:tc>
                <w:tcPr>
                  <w:tcW w:w="534" w:type="pct"/>
                  <w:tcBorders>
                    <w:right w:val="single" w:color="000000" w:sz="6" w:space="0"/>
                  </w:tcBorders>
                  <w:noWrap w:val="0"/>
                  <w:vAlign w:val="center"/>
                </w:tcPr>
                <w:p>
                  <w:pPr>
                    <w:pStyle w:val="30"/>
                    <w:bidi w:val="0"/>
                    <w:rPr>
                      <w:highlight w:val="none"/>
                    </w:rPr>
                  </w:pPr>
                  <w:r>
                    <w:rPr>
                      <w:highlight w:val="none"/>
                    </w:rPr>
                    <w:t>排放口类型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6" w:type="pct"/>
                  <w:noWrap w:val="0"/>
                  <w:vAlign w:val="center"/>
                </w:tcPr>
                <w:p>
                  <w:pPr>
                    <w:pStyle w:val="30"/>
                    <w:bidi w:val="0"/>
                    <w:rPr>
                      <w:highlight w:val="none"/>
                    </w:rPr>
                  </w:pPr>
                  <w:r>
                    <w:rPr>
                      <w:highlight w:val="none"/>
                    </w:rPr>
                    <w:t>1</w:t>
                  </w:r>
                </w:p>
              </w:tc>
              <w:tc>
                <w:tcPr>
                  <w:tcW w:w="520" w:type="pct"/>
                  <w:noWrap w:val="0"/>
                  <w:vAlign w:val="center"/>
                </w:tcPr>
                <w:p>
                  <w:pPr>
                    <w:pStyle w:val="30"/>
                    <w:bidi w:val="0"/>
                    <w:rPr>
                      <w:highlight w:val="none"/>
                    </w:rPr>
                  </w:pPr>
                  <w:r>
                    <w:rPr>
                      <w:highlight w:val="none"/>
                    </w:rPr>
                    <w:t>生活污水</w:t>
                  </w:r>
                </w:p>
              </w:tc>
              <w:tc>
                <w:tcPr>
                  <w:tcW w:w="638" w:type="pct"/>
                  <w:noWrap w:val="0"/>
                  <w:vAlign w:val="center"/>
                </w:tcPr>
                <w:p>
                  <w:pPr>
                    <w:pStyle w:val="30"/>
                    <w:bidi w:val="0"/>
                    <w:rPr>
                      <w:rFonts w:hint="default"/>
                      <w:highlight w:val="none"/>
                      <w:lang w:val="en-US" w:eastAsia="zh-CN"/>
                    </w:rPr>
                  </w:pPr>
                  <w:r>
                    <w:rPr>
                      <w:highlight w:val="none"/>
                    </w:rPr>
                    <w:t>COD</w:t>
                  </w:r>
                  <w:r>
                    <w:rPr>
                      <w:rFonts w:hint="eastAsia"/>
                      <w:highlight w:val="none"/>
                      <w:lang w:eastAsia="zh-CN"/>
                    </w:rPr>
                    <w:t>、</w:t>
                  </w:r>
                  <w:r>
                    <w:rPr>
                      <w:highlight w:val="none"/>
                    </w:rPr>
                    <w:t>BOD</w:t>
                  </w:r>
                  <w:r>
                    <w:rPr>
                      <w:highlight w:val="none"/>
                      <w:vertAlign w:val="subscript"/>
                    </w:rPr>
                    <w:t>5</w:t>
                  </w:r>
                  <w:r>
                    <w:rPr>
                      <w:rFonts w:hint="eastAsia"/>
                      <w:highlight w:val="none"/>
                      <w:lang w:eastAsia="zh-CN"/>
                    </w:rPr>
                    <w:t>、</w:t>
                  </w:r>
                  <w:r>
                    <w:rPr>
                      <w:highlight w:val="none"/>
                    </w:rPr>
                    <w:t>SS</w:t>
                  </w:r>
                  <w:r>
                    <w:rPr>
                      <w:rFonts w:hint="eastAsia"/>
                      <w:highlight w:val="none"/>
                      <w:lang w:eastAsia="zh-CN"/>
                    </w:rPr>
                    <w:t>、</w:t>
                  </w:r>
                  <w:r>
                    <w:rPr>
                      <w:highlight w:val="none"/>
                    </w:rPr>
                    <w:t>NH</w:t>
                  </w:r>
                  <w:r>
                    <w:rPr>
                      <w:highlight w:val="none"/>
                      <w:vertAlign w:val="subscript"/>
                    </w:rPr>
                    <w:t>3</w:t>
                  </w:r>
                  <w:r>
                    <w:rPr>
                      <w:highlight w:val="none"/>
                    </w:rPr>
                    <w:t>-N、TN、TP</w:t>
                  </w:r>
                </w:p>
              </w:tc>
              <w:tc>
                <w:tcPr>
                  <w:tcW w:w="674" w:type="pct"/>
                  <w:noWrap w:val="0"/>
                  <w:vAlign w:val="center"/>
                </w:tcPr>
                <w:p>
                  <w:pPr>
                    <w:pStyle w:val="30"/>
                    <w:bidi w:val="0"/>
                    <w:rPr>
                      <w:rFonts w:hint="default"/>
                      <w:highlight w:val="none"/>
                      <w:lang w:val="en-US"/>
                    </w:rPr>
                  </w:pPr>
                  <w:r>
                    <w:rPr>
                      <w:rFonts w:hint="eastAsia"/>
                      <w:highlight w:val="none"/>
                      <w:lang w:val="en-US" w:eastAsia="zh-CN"/>
                    </w:rPr>
                    <w:t>定期清运，进入博湖县城镇污水处理厂</w:t>
                  </w:r>
                </w:p>
              </w:tc>
              <w:tc>
                <w:tcPr>
                  <w:tcW w:w="720" w:type="pct"/>
                  <w:noWrap w:val="0"/>
                  <w:vAlign w:val="center"/>
                </w:tcPr>
                <w:p>
                  <w:pPr>
                    <w:pStyle w:val="30"/>
                    <w:bidi w:val="0"/>
                    <w:rPr>
                      <w:highlight w:val="none"/>
                    </w:rPr>
                  </w:pPr>
                  <w:r>
                    <w:rPr>
                      <w:rFonts w:hint="eastAsia"/>
                      <w:highlight w:val="none"/>
                      <w:lang w:val="en-US" w:eastAsia="zh-CN"/>
                    </w:rPr>
                    <w:t>间断排放，排放期间流量稳定且规律，不属于冲击性排放</w:t>
                  </w:r>
                </w:p>
              </w:tc>
              <w:tc>
                <w:tcPr>
                  <w:tcW w:w="513" w:type="pct"/>
                  <w:noWrap w:val="0"/>
                  <w:vAlign w:val="center"/>
                </w:tcPr>
                <w:p>
                  <w:pPr>
                    <w:pStyle w:val="30"/>
                    <w:bidi w:val="0"/>
                    <w:rPr>
                      <w:highlight w:val="none"/>
                    </w:rPr>
                  </w:pPr>
                  <w:r>
                    <w:rPr>
                      <w:rFonts w:hint="eastAsia"/>
                      <w:highlight w:val="none"/>
                      <w:lang w:val="en-US" w:eastAsia="zh-CN"/>
                    </w:rPr>
                    <w:t>防渗化粪池</w:t>
                  </w:r>
                </w:p>
              </w:tc>
              <w:tc>
                <w:tcPr>
                  <w:tcW w:w="487" w:type="pct"/>
                  <w:noWrap w:val="0"/>
                  <w:vAlign w:val="center"/>
                </w:tcPr>
                <w:p>
                  <w:pPr>
                    <w:pStyle w:val="30"/>
                    <w:bidi w:val="0"/>
                    <w:rPr>
                      <w:highlight w:val="none"/>
                    </w:rPr>
                  </w:pPr>
                  <w:r>
                    <w:rPr>
                      <w:highlight w:val="none"/>
                    </w:rPr>
                    <w:t>DW001</w:t>
                  </w:r>
                </w:p>
              </w:tc>
              <w:tc>
                <w:tcPr>
                  <w:tcW w:w="542" w:type="pct"/>
                  <w:noWrap w:val="0"/>
                  <w:vAlign w:val="center"/>
                </w:tcPr>
                <w:p>
                  <w:pPr>
                    <w:pStyle w:val="30"/>
                    <w:bidi w:val="0"/>
                    <w:rPr>
                      <w:highlight w:val="none"/>
                    </w:rPr>
                  </w:pPr>
                  <w:r>
                    <w:rPr>
                      <w:highlight w:val="none"/>
                    </w:rPr>
                    <w:t>是</w:t>
                  </w:r>
                </w:p>
              </w:tc>
              <w:tc>
                <w:tcPr>
                  <w:tcW w:w="534" w:type="pct"/>
                  <w:tcBorders>
                    <w:right w:val="single" w:color="000000" w:sz="6" w:space="0"/>
                  </w:tcBorders>
                  <w:noWrap w:val="0"/>
                  <w:vAlign w:val="center"/>
                </w:tcPr>
                <w:p>
                  <w:pPr>
                    <w:pStyle w:val="30"/>
                    <w:bidi w:val="0"/>
                    <w:rPr>
                      <w:highlight w:val="none"/>
                    </w:rPr>
                  </w:pPr>
                  <w:r>
                    <w:rPr>
                      <w:rFonts w:hint="eastAsia"/>
                      <w:highlight w:val="none"/>
                      <w:lang w:val="en-US" w:eastAsia="zh-CN"/>
                    </w:rPr>
                    <w:t>一般排放</w:t>
                  </w:r>
                  <w:r>
                    <w:rPr>
                      <w:highlight w:val="none"/>
                    </w:rPr>
                    <w:t>口</w:t>
                  </w:r>
                </w:p>
              </w:tc>
            </w:tr>
          </w:tbl>
          <w:p>
            <w:pPr>
              <w:pStyle w:val="44"/>
              <w:bidi w:val="0"/>
              <w:rPr>
                <w:rFonts w:hint="eastAsia"/>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highlight w:val="none"/>
              </w:rPr>
              <w:t>废水排放口基本信息</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表4-10  废水排放口基本信息表</w:t>
            </w:r>
          </w:p>
          <w:tbl>
            <w:tblPr>
              <w:tblStyle w:val="48"/>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938"/>
              <w:gridCol w:w="1258"/>
              <w:gridCol w:w="1253"/>
              <w:gridCol w:w="1110"/>
              <w:gridCol w:w="1248"/>
              <w:gridCol w:w="12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908" w:type="dxa"/>
                  <w:vMerge w:val="restart"/>
                  <w:tcBorders>
                    <w:bottom w:val="nil"/>
                  </w:tcBorders>
                  <w:noWrap w:val="0"/>
                  <w:vAlign w:val="center"/>
                </w:tcPr>
                <w:p>
                  <w:pPr>
                    <w:pStyle w:val="30"/>
                    <w:bidi w:val="0"/>
                    <w:rPr>
                      <w:highlight w:val="none"/>
                    </w:rPr>
                  </w:pPr>
                  <w:r>
                    <w:rPr>
                      <w:highlight w:val="none"/>
                    </w:rPr>
                    <w:t>排放口编号</w:t>
                  </w:r>
                </w:p>
              </w:tc>
              <w:tc>
                <w:tcPr>
                  <w:tcW w:w="920" w:type="dxa"/>
                  <w:vMerge w:val="restart"/>
                  <w:tcBorders>
                    <w:bottom w:val="nil"/>
                  </w:tcBorders>
                  <w:noWrap w:val="0"/>
                  <w:vAlign w:val="center"/>
                </w:tcPr>
                <w:p>
                  <w:pPr>
                    <w:pStyle w:val="30"/>
                    <w:bidi w:val="0"/>
                    <w:rPr>
                      <w:highlight w:val="none"/>
                    </w:rPr>
                  </w:pPr>
                  <w:r>
                    <w:rPr>
                      <w:highlight w:val="none"/>
                    </w:rPr>
                    <w:t>排放口名称</w:t>
                  </w:r>
                </w:p>
              </w:tc>
              <w:tc>
                <w:tcPr>
                  <w:tcW w:w="2463" w:type="dxa"/>
                  <w:gridSpan w:val="2"/>
                  <w:noWrap w:val="0"/>
                  <w:vAlign w:val="center"/>
                </w:tcPr>
                <w:p>
                  <w:pPr>
                    <w:pStyle w:val="30"/>
                    <w:bidi w:val="0"/>
                    <w:rPr>
                      <w:highlight w:val="none"/>
                    </w:rPr>
                  </w:pPr>
                  <w:r>
                    <w:rPr>
                      <w:highlight w:val="none"/>
                    </w:rPr>
                    <w:t>排放口地理坐标</w:t>
                  </w:r>
                </w:p>
              </w:tc>
              <w:tc>
                <w:tcPr>
                  <w:tcW w:w="1086" w:type="dxa"/>
                  <w:vMerge w:val="restart"/>
                  <w:tcBorders>
                    <w:bottom w:val="nil"/>
                  </w:tcBorders>
                  <w:noWrap w:val="0"/>
                  <w:vAlign w:val="center"/>
                </w:tcPr>
                <w:p>
                  <w:pPr>
                    <w:pStyle w:val="30"/>
                    <w:bidi w:val="0"/>
                    <w:rPr>
                      <w:highlight w:val="none"/>
                    </w:rPr>
                  </w:pPr>
                  <w:r>
                    <w:rPr>
                      <w:highlight w:val="none"/>
                    </w:rPr>
                    <w:t>废水排放量（</w:t>
                  </w:r>
                  <w:r>
                    <w:rPr>
                      <w:rFonts w:hint="eastAsia"/>
                      <w:highlight w:val="none"/>
                      <w:lang w:val="en-US" w:eastAsia="zh-CN"/>
                    </w:rPr>
                    <w:t>m</w:t>
                  </w:r>
                  <w:r>
                    <w:rPr>
                      <w:rFonts w:hint="eastAsia"/>
                      <w:highlight w:val="none"/>
                      <w:vertAlign w:val="superscript"/>
                      <w:lang w:val="en-US" w:eastAsia="zh-CN"/>
                    </w:rPr>
                    <w:t>3</w:t>
                  </w:r>
                  <w:r>
                    <w:rPr>
                      <w:rFonts w:hint="eastAsia"/>
                      <w:highlight w:val="none"/>
                      <w:lang w:val="en-US" w:eastAsia="zh-CN"/>
                    </w:rPr>
                    <w:t>/a</w:t>
                  </w:r>
                  <w:r>
                    <w:rPr>
                      <w:highlight w:val="none"/>
                    </w:rPr>
                    <w:t>）</w:t>
                  </w:r>
                </w:p>
              </w:tc>
              <w:tc>
                <w:tcPr>
                  <w:tcW w:w="1224" w:type="dxa"/>
                  <w:vMerge w:val="restart"/>
                  <w:tcBorders>
                    <w:bottom w:val="nil"/>
                  </w:tcBorders>
                  <w:noWrap w:val="0"/>
                  <w:vAlign w:val="center"/>
                </w:tcPr>
                <w:p>
                  <w:pPr>
                    <w:pStyle w:val="30"/>
                    <w:bidi w:val="0"/>
                    <w:rPr>
                      <w:highlight w:val="none"/>
                    </w:rPr>
                  </w:pPr>
                  <w:r>
                    <w:rPr>
                      <w:highlight w:val="none"/>
                    </w:rPr>
                    <w:t>排放去向</w:t>
                  </w:r>
                </w:p>
              </w:tc>
              <w:tc>
                <w:tcPr>
                  <w:tcW w:w="1233" w:type="dxa"/>
                  <w:vMerge w:val="restart"/>
                  <w:tcBorders>
                    <w:bottom w:val="nil"/>
                    <w:right w:val="single" w:color="000000" w:sz="6" w:space="0"/>
                  </w:tcBorders>
                  <w:noWrap w:val="0"/>
                  <w:vAlign w:val="center"/>
                </w:tcPr>
                <w:p>
                  <w:pPr>
                    <w:pStyle w:val="30"/>
                    <w:bidi w:val="0"/>
                    <w:rPr>
                      <w:highlight w:val="none"/>
                    </w:rPr>
                  </w:pPr>
                  <w:r>
                    <w:rPr>
                      <w:highlight w:val="none"/>
                    </w:rPr>
                    <w:t>排放规律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908" w:type="dxa"/>
                  <w:vMerge w:val="continue"/>
                  <w:tcBorders>
                    <w:top w:val="nil"/>
                  </w:tcBorders>
                  <w:noWrap w:val="0"/>
                  <w:vAlign w:val="center"/>
                </w:tcPr>
                <w:p>
                  <w:pPr>
                    <w:pStyle w:val="30"/>
                    <w:bidi w:val="0"/>
                    <w:rPr>
                      <w:highlight w:val="none"/>
                    </w:rPr>
                  </w:pPr>
                </w:p>
              </w:tc>
              <w:tc>
                <w:tcPr>
                  <w:tcW w:w="920" w:type="dxa"/>
                  <w:vMerge w:val="continue"/>
                  <w:tcBorders>
                    <w:top w:val="nil"/>
                  </w:tcBorders>
                  <w:noWrap w:val="0"/>
                  <w:vAlign w:val="center"/>
                </w:tcPr>
                <w:p>
                  <w:pPr>
                    <w:pStyle w:val="30"/>
                    <w:bidi w:val="0"/>
                    <w:rPr>
                      <w:highlight w:val="none"/>
                    </w:rPr>
                  </w:pPr>
                </w:p>
              </w:tc>
              <w:tc>
                <w:tcPr>
                  <w:tcW w:w="1234" w:type="dxa"/>
                  <w:noWrap w:val="0"/>
                  <w:vAlign w:val="center"/>
                </w:tcPr>
                <w:p>
                  <w:pPr>
                    <w:pStyle w:val="30"/>
                    <w:bidi w:val="0"/>
                    <w:rPr>
                      <w:highlight w:val="none"/>
                    </w:rPr>
                  </w:pPr>
                  <w:r>
                    <w:rPr>
                      <w:highlight w:val="none"/>
                    </w:rPr>
                    <w:t>经度</w:t>
                  </w:r>
                </w:p>
              </w:tc>
              <w:tc>
                <w:tcPr>
                  <w:tcW w:w="1229" w:type="dxa"/>
                  <w:noWrap w:val="0"/>
                  <w:vAlign w:val="center"/>
                </w:tcPr>
                <w:p>
                  <w:pPr>
                    <w:pStyle w:val="30"/>
                    <w:bidi w:val="0"/>
                    <w:rPr>
                      <w:highlight w:val="none"/>
                    </w:rPr>
                  </w:pPr>
                  <w:r>
                    <w:rPr>
                      <w:highlight w:val="none"/>
                    </w:rPr>
                    <w:t>纬度</w:t>
                  </w:r>
                </w:p>
              </w:tc>
              <w:tc>
                <w:tcPr>
                  <w:tcW w:w="1086" w:type="dxa"/>
                  <w:vMerge w:val="continue"/>
                  <w:tcBorders>
                    <w:top w:val="nil"/>
                  </w:tcBorders>
                  <w:noWrap w:val="0"/>
                  <w:vAlign w:val="center"/>
                </w:tcPr>
                <w:p>
                  <w:pPr>
                    <w:pStyle w:val="30"/>
                    <w:bidi w:val="0"/>
                    <w:rPr>
                      <w:highlight w:val="none"/>
                    </w:rPr>
                  </w:pPr>
                </w:p>
              </w:tc>
              <w:tc>
                <w:tcPr>
                  <w:tcW w:w="1224" w:type="dxa"/>
                  <w:vMerge w:val="continue"/>
                  <w:tcBorders>
                    <w:top w:val="nil"/>
                  </w:tcBorders>
                  <w:noWrap w:val="0"/>
                  <w:vAlign w:val="center"/>
                </w:tcPr>
                <w:p>
                  <w:pPr>
                    <w:pStyle w:val="30"/>
                    <w:bidi w:val="0"/>
                    <w:rPr>
                      <w:highlight w:val="none"/>
                    </w:rPr>
                  </w:pPr>
                </w:p>
              </w:tc>
              <w:tc>
                <w:tcPr>
                  <w:tcW w:w="1233" w:type="dxa"/>
                  <w:vMerge w:val="continue"/>
                  <w:tcBorders>
                    <w:top w:val="nil"/>
                    <w:right w:val="single" w:color="000000" w:sz="6" w:space="0"/>
                  </w:tcBorders>
                  <w:noWrap w:val="0"/>
                  <w:vAlign w:val="center"/>
                </w:tcPr>
                <w:p>
                  <w:pPr>
                    <w:pStyle w:val="30"/>
                    <w:bidi w:val="0"/>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908" w:type="dxa"/>
                  <w:tcBorders>
                    <w:bottom w:val="single" w:color="000000" w:sz="6" w:space="0"/>
                  </w:tcBorders>
                  <w:noWrap w:val="0"/>
                  <w:vAlign w:val="center"/>
                </w:tcPr>
                <w:p>
                  <w:pPr>
                    <w:pStyle w:val="30"/>
                    <w:bidi w:val="0"/>
                    <w:rPr>
                      <w:highlight w:val="none"/>
                    </w:rPr>
                  </w:pPr>
                  <w:r>
                    <w:rPr>
                      <w:highlight w:val="none"/>
                    </w:rPr>
                    <w:t>DW001</w:t>
                  </w:r>
                </w:p>
              </w:tc>
              <w:tc>
                <w:tcPr>
                  <w:tcW w:w="920" w:type="dxa"/>
                  <w:tcBorders>
                    <w:bottom w:val="single" w:color="000000" w:sz="6" w:space="0"/>
                  </w:tcBorders>
                  <w:noWrap w:val="0"/>
                  <w:vAlign w:val="center"/>
                </w:tcPr>
                <w:p>
                  <w:pPr>
                    <w:pStyle w:val="30"/>
                    <w:bidi w:val="0"/>
                    <w:rPr>
                      <w:highlight w:val="none"/>
                    </w:rPr>
                  </w:pPr>
                  <w:r>
                    <w:rPr>
                      <w:highlight w:val="none"/>
                    </w:rPr>
                    <w:t>废水排放口</w:t>
                  </w:r>
                </w:p>
              </w:tc>
              <w:tc>
                <w:tcPr>
                  <w:tcW w:w="1234" w:type="dxa"/>
                  <w:tcBorders>
                    <w:bottom w:val="single" w:color="000000" w:sz="6" w:space="0"/>
                  </w:tcBorders>
                  <w:noWrap w:val="0"/>
                  <w:vAlign w:val="center"/>
                </w:tcPr>
                <w:p>
                  <w:pPr>
                    <w:pStyle w:val="30"/>
                    <w:bidi w:val="0"/>
                    <w:rPr>
                      <w:highlight w:val="none"/>
                    </w:rPr>
                  </w:pPr>
                  <w:r>
                    <w:rPr>
                      <w:rFonts w:hint="eastAsia"/>
                      <w:highlight w:val="none"/>
                    </w:rPr>
                    <w:t>86.60444677</w:t>
                  </w:r>
                </w:p>
              </w:tc>
              <w:tc>
                <w:tcPr>
                  <w:tcW w:w="1229" w:type="dxa"/>
                  <w:tcBorders>
                    <w:bottom w:val="single" w:color="000000" w:sz="6" w:space="0"/>
                  </w:tcBorders>
                  <w:noWrap w:val="0"/>
                  <w:vAlign w:val="center"/>
                </w:tcPr>
                <w:p>
                  <w:pPr>
                    <w:pStyle w:val="30"/>
                    <w:bidi w:val="0"/>
                    <w:rPr>
                      <w:highlight w:val="none"/>
                    </w:rPr>
                  </w:pPr>
                  <w:r>
                    <w:rPr>
                      <w:rFonts w:hint="eastAsia"/>
                      <w:highlight w:val="none"/>
                    </w:rPr>
                    <w:t>42.04311401</w:t>
                  </w:r>
                </w:p>
              </w:tc>
              <w:tc>
                <w:tcPr>
                  <w:tcW w:w="1086" w:type="dxa"/>
                  <w:tcBorders>
                    <w:bottom w:val="single" w:color="000000" w:sz="6" w:space="0"/>
                  </w:tcBorders>
                  <w:noWrap w:val="0"/>
                  <w:vAlign w:val="center"/>
                </w:tcPr>
                <w:p>
                  <w:pPr>
                    <w:pStyle w:val="30"/>
                    <w:bidi w:val="0"/>
                    <w:rPr>
                      <w:rFonts w:hint="default"/>
                      <w:highlight w:val="none"/>
                      <w:lang w:val="en-US"/>
                    </w:rPr>
                  </w:pPr>
                  <w:r>
                    <w:rPr>
                      <w:rFonts w:hint="eastAsia"/>
                      <w:highlight w:val="none"/>
                      <w:lang w:val="en-US" w:eastAsia="zh-CN"/>
                    </w:rPr>
                    <w:t>126</w:t>
                  </w:r>
                </w:p>
              </w:tc>
              <w:tc>
                <w:tcPr>
                  <w:tcW w:w="1224" w:type="dxa"/>
                  <w:tcBorders>
                    <w:bottom w:val="single" w:color="000000" w:sz="6" w:space="0"/>
                  </w:tcBorders>
                  <w:noWrap w:val="0"/>
                  <w:vAlign w:val="center"/>
                </w:tcPr>
                <w:p>
                  <w:pPr>
                    <w:pStyle w:val="30"/>
                    <w:bidi w:val="0"/>
                    <w:rPr>
                      <w:highlight w:val="none"/>
                    </w:rPr>
                  </w:pPr>
                  <w:r>
                    <w:rPr>
                      <w:rFonts w:hint="eastAsia"/>
                      <w:highlight w:val="none"/>
                      <w:lang w:val="en-US" w:eastAsia="zh-CN"/>
                    </w:rPr>
                    <w:t>定期清运，进入博湖县城镇污水处理厂</w:t>
                  </w:r>
                </w:p>
              </w:tc>
              <w:tc>
                <w:tcPr>
                  <w:tcW w:w="1233" w:type="dxa"/>
                  <w:tcBorders>
                    <w:bottom w:val="single" w:color="000000" w:sz="6" w:space="0"/>
                    <w:right w:val="single" w:color="000000" w:sz="6" w:space="0"/>
                  </w:tcBorders>
                  <w:noWrap w:val="0"/>
                  <w:vAlign w:val="center"/>
                </w:tcPr>
                <w:p>
                  <w:pPr>
                    <w:pStyle w:val="30"/>
                    <w:bidi w:val="0"/>
                    <w:rPr>
                      <w:highlight w:val="none"/>
                    </w:rPr>
                  </w:pPr>
                  <w:r>
                    <w:rPr>
                      <w:rFonts w:hint="eastAsia"/>
                      <w:highlight w:val="none"/>
                      <w:lang w:val="en-US" w:eastAsia="zh-CN"/>
                    </w:rPr>
                    <w:t>间断排放，排放期间流量稳定且规律</w:t>
                  </w:r>
                </w:p>
              </w:tc>
            </w:tr>
          </w:tbl>
          <w:p>
            <w:pPr>
              <w:pStyle w:val="44"/>
              <w:bidi w:val="0"/>
              <w:rPr>
                <w:rFonts w:hint="eastAsia"/>
                <w:b/>
                <w:bCs/>
                <w:highlight w:val="none"/>
              </w:rPr>
            </w:pPr>
          </w:p>
          <w:p>
            <w:pPr>
              <w:pStyle w:val="44"/>
              <w:bidi w:val="0"/>
              <w:rPr>
                <w:rFonts w:hint="eastAsia"/>
                <w:b/>
                <w:bCs/>
                <w:highlight w:val="none"/>
              </w:rPr>
            </w:pPr>
            <w:r>
              <w:rPr>
                <w:rFonts w:hint="eastAsia"/>
                <w:b/>
                <w:bCs/>
                <w:highlight w:val="none"/>
                <w:lang w:eastAsia="zh-CN"/>
              </w:rPr>
              <w:t>3.</w:t>
            </w:r>
            <w:r>
              <w:rPr>
                <w:rFonts w:hint="eastAsia"/>
                <w:b/>
                <w:bCs/>
                <w:highlight w:val="none"/>
              </w:rPr>
              <w:t>声环境影响和保护措施</w:t>
            </w:r>
          </w:p>
          <w:p>
            <w:pPr>
              <w:pStyle w:val="44"/>
              <w:bidi w:val="0"/>
              <w:rPr>
                <w:rFonts w:hint="eastAsia"/>
                <w:highlight w:val="none"/>
              </w:rPr>
            </w:pPr>
            <w:r>
              <w:rPr>
                <w:rFonts w:hint="eastAsia"/>
                <w:highlight w:val="none"/>
                <w:lang w:val="en-US" w:eastAsia="zh-CN"/>
              </w:rPr>
              <w:t>3.1</w:t>
            </w:r>
            <w:r>
              <w:rPr>
                <w:rFonts w:hint="eastAsia"/>
                <w:highlight w:val="none"/>
              </w:rPr>
              <w:t>项目运营期噪声源强</w:t>
            </w:r>
          </w:p>
          <w:p>
            <w:pPr>
              <w:pStyle w:val="44"/>
              <w:bidi w:val="0"/>
              <w:rPr>
                <w:rFonts w:hint="eastAsia"/>
                <w:highlight w:val="none"/>
              </w:rPr>
            </w:pPr>
            <w:r>
              <w:rPr>
                <w:rFonts w:hint="eastAsia"/>
                <w:highlight w:val="none"/>
              </w:rPr>
              <w:t>（1）噪声源强和降噪措施</w:t>
            </w:r>
          </w:p>
          <w:p>
            <w:pPr>
              <w:pStyle w:val="44"/>
              <w:bidi w:val="0"/>
              <w:rPr>
                <w:rFonts w:hint="eastAsia"/>
                <w:highlight w:val="none"/>
                <w:lang w:val="en-US" w:eastAsia="zh-CN"/>
              </w:rPr>
            </w:pPr>
            <w:r>
              <w:rPr>
                <w:rFonts w:hint="eastAsia"/>
                <w:highlight w:val="none"/>
              </w:rPr>
              <w:t>本项目运营期主要噪声源为</w:t>
            </w:r>
            <w:r>
              <w:rPr>
                <w:rFonts w:hint="eastAsia"/>
                <w:highlight w:val="none"/>
                <w:lang w:val="en-US" w:eastAsia="zh-CN"/>
              </w:rPr>
              <w:t>生产设备运行时产生的噪声，</w:t>
            </w:r>
            <w:r>
              <w:rPr>
                <w:rFonts w:hint="eastAsia"/>
                <w:highlight w:val="none"/>
              </w:rPr>
              <w:t>结合国内类似设备噪声源情况，本项目噪声源1m处声源强度约在70~85dB（A）之间，经过基础减振、厂房隔声等措施进行降噪，具体噪声</w:t>
            </w:r>
            <w:r>
              <w:rPr>
                <w:rFonts w:hint="eastAsia"/>
                <w:highlight w:val="none"/>
                <w:lang w:val="en-US" w:eastAsia="zh-CN"/>
              </w:rPr>
              <w:t>产生情况见下表。</w:t>
            </w: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tc>
      </w:tr>
    </w:tbl>
    <w:p>
      <w:pPr>
        <w:adjustRightInd w:val="0"/>
        <w:snapToGrid w:val="0"/>
        <w:spacing w:line="360" w:lineRule="auto"/>
        <w:rPr>
          <w:rFonts w:hint="eastAsia" w:ascii="宋体" w:hAnsi="宋体" w:eastAsia="宋体" w:cs="宋体"/>
          <w:b/>
          <w:color w:val="auto"/>
          <w:kern w:val="0"/>
          <w:sz w:val="28"/>
          <w:szCs w:val="28"/>
          <w:highlight w:val="none"/>
        </w:rPr>
        <w:sectPr>
          <w:pgSz w:w="11907" w:h="16840"/>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6" w:type="dxa"/>
          </w:tcPr>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Cs/>
                <w:color w:val="auto"/>
                <w:sz w:val="24"/>
                <w:szCs w:val="24"/>
                <w:highlight w:val="none"/>
                <w:u w:val="none"/>
                <w:lang w:val="en-US" w:eastAsia="zh-CN"/>
              </w:rPr>
            </w:pPr>
            <w:r>
              <w:rPr>
                <w:rFonts w:hint="eastAsia" w:ascii="黑体" w:hAnsi="宋体" w:eastAsia="黑体" w:cs="黑体"/>
                <w:color w:val="000000"/>
                <w:kern w:val="0"/>
                <w:sz w:val="24"/>
                <w:szCs w:val="24"/>
                <w:highlight w:val="none"/>
                <w:lang w:val="en-US" w:eastAsia="zh-CN" w:bidi="ar"/>
              </w:rPr>
              <w:t>表4-11  工业企业噪声源强调查清单（室内声源）  单位：dB（A）</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577"/>
              <w:gridCol w:w="550"/>
              <w:gridCol w:w="667"/>
              <w:gridCol w:w="567"/>
              <w:gridCol w:w="625"/>
              <w:gridCol w:w="625"/>
              <w:gridCol w:w="648"/>
              <w:gridCol w:w="519"/>
              <w:gridCol w:w="519"/>
              <w:gridCol w:w="519"/>
              <w:gridCol w:w="550"/>
              <w:gridCol w:w="511"/>
              <w:gridCol w:w="511"/>
              <w:gridCol w:w="511"/>
              <w:gridCol w:w="539"/>
              <w:gridCol w:w="447"/>
              <w:gridCol w:w="494"/>
              <w:gridCol w:w="494"/>
              <w:gridCol w:w="494"/>
              <w:gridCol w:w="516"/>
              <w:gridCol w:w="525"/>
              <w:gridCol w:w="525"/>
              <w:gridCol w:w="525"/>
              <w:gridCol w:w="525"/>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9" w:type="pct"/>
                  <w:vMerge w:val="restart"/>
                  <w:tcBorders>
                    <w:tl2br w:val="nil"/>
                    <w:tr2bl w:val="nil"/>
                  </w:tcBorders>
                  <w:vAlign w:val="center"/>
                </w:tcPr>
                <w:p>
                  <w:pPr>
                    <w:jc w:val="center"/>
                    <w:rPr>
                      <w:rFonts w:hint="default" w:ascii="Times New Roman" w:hAnsi="Times New Roman" w:cs="Times New Roman" w:eastAsiaTheme="minorEastAsia"/>
                      <w:b w:val="0"/>
                      <w:bCs/>
                      <w:sz w:val="21"/>
                      <w:szCs w:val="21"/>
                    </w:rPr>
                  </w:pPr>
                  <w:bookmarkStart w:id="3" w:name="PT_6"/>
                  <w:r>
                    <w:rPr>
                      <w:rFonts w:hint="default" w:ascii="Times New Roman" w:hAnsi="Times New Roman" w:cs="Times New Roman" w:eastAsiaTheme="minorEastAsia"/>
                      <w:b w:val="0"/>
                      <w:bCs/>
                      <w:sz w:val="21"/>
                      <w:szCs w:val="21"/>
                    </w:rPr>
                    <w:t>序号</w:t>
                  </w:r>
                </w:p>
              </w:tc>
              <w:tc>
                <w:tcPr>
                  <w:tcW w:w="207" w:type="pct"/>
                  <w:vMerge w:val="restart"/>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建筑物名称</w:t>
                  </w:r>
                </w:p>
              </w:tc>
              <w:tc>
                <w:tcPr>
                  <w:tcW w:w="197" w:type="pct"/>
                  <w:vMerge w:val="restart"/>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声源名称</w:t>
                  </w:r>
                </w:p>
              </w:tc>
              <w:tc>
                <w:tcPr>
                  <w:tcW w:w="239" w:type="pct"/>
                  <w:tcBorders>
                    <w:tl2br w:val="nil"/>
                    <w:tr2bl w:val="nil"/>
                  </w:tcBorders>
                  <w:vAlign w:val="center"/>
                </w:tcPr>
                <w:p>
                  <w:pPr>
                    <w:jc w:val="center"/>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声源源强</w:t>
                  </w:r>
                </w:p>
              </w:tc>
              <w:tc>
                <w:tcPr>
                  <w:tcW w:w="203" w:type="pct"/>
                  <w:vMerge w:val="restart"/>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声源控制措施</w:t>
                  </w:r>
                </w:p>
              </w:tc>
              <w:tc>
                <w:tcPr>
                  <w:tcW w:w="680" w:type="pct"/>
                  <w:gridSpan w:val="3"/>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空间相对位置/m</w:t>
                  </w:r>
                </w:p>
              </w:tc>
              <w:tc>
                <w:tcPr>
                  <w:tcW w:w="755" w:type="pct"/>
                  <w:gridSpan w:val="4"/>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距室内边界距离/m</w:t>
                  </w:r>
                </w:p>
              </w:tc>
              <w:tc>
                <w:tcPr>
                  <w:tcW w:w="742" w:type="pct"/>
                  <w:gridSpan w:val="4"/>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室内边界声级/dB(A)</w:t>
                  </w:r>
                </w:p>
              </w:tc>
              <w:tc>
                <w:tcPr>
                  <w:tcW w:w="160" w:type="pct"/>
                  <w:vMerge w:val="restart"/>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运行时段</w:t>
                  </w:r>
                </w:p>
              </w:tc>
              <w:tc>
                <w:tcPr>
                  <w:tcW w:w="716" w:type="pct"/>
                  <w:gridSpan w:val="4"/>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建筑物插入损失/dB(A)</w:t>
                  </w:r>
                  <w:bookmarkStart w:id="4" w:name="PT_10"/>
                  <w:bookmarkEnd w:id="4"/>
                </w:p>
              </w:tc>
              <w:tc>
                <w:tcPr>
                  <w:tcW w:w="937" w:type="pct"/>
                  <w:gridSpan w:val="5"/>
                  <w:tcBorders>
                    <w:tl2br w:val="nil"/>
                    <w:tr2bl w:val="nil"/>
                  </w:tcBorders>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vMerge w:val="continue"/>
                  <w:tcBorders>
                    <w:tl2br w:val="nil"/>
                    <w:tr2bl w:val="nil"/>
                  </w:tcBorders>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lang w:val="en-US" w:eastAsia="zh-CN"/>
                    </w:rPr>
                  </w:pPr>
                </w:p>
              </w:tc>
              <w:tc>
                <w:tcPr>
                  <w:tcW w:w="207" w:type="pct"/>
                  <w:vMerge w:val="continue"/>
                  <w:tcBorders>
                    <w:tl2br w:val="nil"/>
                    <w:tr2bl w:val="nil"/>
                  </w:tcBorders>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p>
              </w:tc>
              <w:tc>
                <w:tcPr>
                  <w:tcW w:w="197" w:type="pct"/>
                  <w:vMerge w:val="continue"/>
                  <w:tcBorders>
                    <w:tl2br w:val="nil"/>
                    <w:tr2bl w:val="nil"/>
                  </w:tcBorders>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声功率级/dB(A)</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X</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Y</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Z</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东</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南</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西</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北</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东</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南</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西</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北</w:t>
                  </w:r>
                </w:p>
              </w:tc>
              <w:tc>
                <w:tcPr>
                  <w:tcW w:w="160"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p>
              </w:tc>
              <w:tc>
                <w:tcPr>
                  <w:tcW w:w="1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东</w:t>
                  </w:r>
                </w:p>
              </w:tc>
              <w:tc>
                <w:tcPr>
                  <w:tcW w:w="1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南</w:t>
                  </w:r>
                </w:p>
              </w:tc>
              <w:tc>
                <w:tcPr>
                  <w:tcW w:w="1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西</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北</w:t>
                  </w:r>
                </w:p>
              </w:tc>
              <w:tc>
                <w:tcPr>
                  <w:tcW w:w="188"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东</w:t>
                  </w:r>
                </w:p>
              </w:tc>
              <w:tc>
                <w:tcPr>
                  <w:tcW w:w="188"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南</w:t>
                  </w:r>
                </w:p>
              </w:tc>
              <w:tc>
                <w:tcPr>
                  <w:tcW w:w="188"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西</w:t>
                  </w:r>
                </w:p>
              </w:tc>
              <w:tc>
                <w:tcPr>
                  <w:tcW w:w="188"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北</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配料机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75</w:t>
                  </w:r>
                </w:p>
              </w:tc>
              <w:tc>
                <w:tcPr>
                  <w:tcW w:w="203" w:type="pct"/>
                  <w:vMerge w:val="restar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pacing w:val="-5"/>
                      <w:sz w:val="21"/>
                      <w:szCs w:val="21"/>
                    </w:rPr>
                    <w:t>厂房</w:t>
                  </w:r>
                  <w:r>
                    <w:rPr>
                      <w:rFonts w:hint="default" w:ascii="Times New Roman" w:hAnsi="Times New Roman" w:eastAsia="宋体" w:cs="Times New Roman"/>
                      <w:spacing w:val="-18"/>
                      <w:sz w:val="21"/>
                      <w:szCs w:val="21"/>
                    </w:rPr>
                    <w:t>隔</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1"/>
                      <w:sz w:val="21"/>
                      <w:szCs w:val="21"/>
                    </w:rPr>
                    <w:t>声、</w:t>
                  </w:r>
                  <w:r>
                    <w:rPr>
                      <w:rFonts w:hint="default" w:ascii="Times New Roman" w:hAnsi="Times New Roman" w:eastAsia="宋体" w:cs="Times New Roman"/>
                      <w:spacing w:val="-4"/>
                      <w:sz w:val="21"/>
                      <w:szCs w:val="21"/>
                    </w:rPr>
                    <w:t>基础减震</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17.8</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-6.8</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5.0</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38.2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11.3</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65.5</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上板机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21.8</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-10.8</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5.4</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32.6</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11.3</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21.0</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55.5</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搅拌机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25.7</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-14.8</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5.9</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27.0</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11.2</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26.5</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55.5</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4</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叠板机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24</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-23.2</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13.4</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21.8</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4.1</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32.3</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55.5</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砌块成型机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75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29.7</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-20.1</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7.4</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20.4</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10.3</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33.1</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39.4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钢筋剪切机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32.4</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-29.9</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13.1</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11.3</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5.3</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42.6</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55.5</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15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7</w:t>
                  </w:r>
                </w:p>
              </w:tc>
              <w:tc>
                <w:tcPr>
                  <w:tcW w:w="207" w:type="pct"/>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9"/>
                      <w:sz w:val="21"/>
                      <w:szCs w:val="21"/>
                    </w:rPr>
                    <w:t>生</w:t>
                  </w:r>
                  <w:r>
                    <w:rPr>
                      <w:rFonts w:hint="default" w:ascii="Times New Roman" w:hAnsi="Times New Roman" w:eastAsia="宋体" w:cs="Times New Roman"/>
                      <w:spacing w:val="-4"/>
                      <w:sz w:val="21"/>
                      <w:szCs w:val="21"/>
                    </w:rPr>
                    <w:t>产</w:t>
                  </w:r>
                  <w:r>
                    <w:rPr>
                      <w:rFonts w:hint="default" w:ascii="Times New Roman" w:hAnsi="Times New Roman" w:eastAsia="宋体" w:cs="Times New Roman"/>
                      <w:sz w:val="21"/>
                      <w:szCs w:val="21"/>
                    </w:rPr>
                    <w:t>车</w:t>
                  </w:r>
                  <w:r>
                    <w:rPr>
                      <w:rFonts w:hint="default" w:ascii="Times New Roman" w:hAnsi="Times New Roman" w:eastAsia="宋体" w:cs="Times New Roman"/>
                      <w:spacing w:val="-11"/>
                      <w:sz w:val="21"/>
                      <w:szCs w:val="21"/>
                    </w:rPr>
                    <w:t>间</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皮带输送机</w:t>
                  </w:r>
                </w:p>
              </w:tc>
              <w:tc>
                <w:tcPr>
                  <w:tcW w:w="23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65</w:t>
                  </w:r>
                </w:p>
              </w:tc>
              <w:tc>
                <w:tcPr>
                  <w:tcW w:w="203"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12.4</w:t>
                  </w:r>
                </w:p>
              </w:tc>
              <w:tc>
                <w:tcPr>
                  <w:tcW w:w="22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-2.4</w:t>
                  </w:r>
                </w:p>
              </w:tc>
              <w:tc>
                <w:tcPr>
                  <w:tcW w:w="23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1.2</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5.1</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45.1</w:t>
                  </w:r>
                </w:p>
              </w:tc>
              <w:tc>
                <w:tcPr>
                  <w:tcW w:w="18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10.6</w:t>
                  </w:r>
                </w:p>
              </w:tc>
              <w:tc>
                <w:tcPr>
                  <w:tcW w:w="19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8.7</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55.5</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8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193"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55.4</w:t>
                  </w:r>
                </w:p>
              </w:tc>
              <w:tc>
                <w:tcPr>
                  <w:tcW w:w="44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13"/>
                      <w:sz w:val="21"/>
                      <w:szCs w:val="21"/>
                    </w:rPr>
                    <w:t>昼间</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494"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16"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26.0</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29.5</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525" w:type="dxa"/>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Arial" w:cs="Times New Roman"/>
                      <w:sz w:val="21"/>
                      <w:szCs w:val="21"/>
                    </w:rPr>
                  </w:pPr>
                  <w:r>
                    <w:rPr>
                      <w:rFonts w:hint="default" w:ascii="Times New Roman" w:hAnsi="Times New Roman" w:eastAsia="Arial" w:cs="Times New Roman"/>
                      <w:sz w:val="21"/>
                      <w:szCs w:val="21"/>
                    </w:rPr>
                    <w:t>29.4</w:t>
                  </w:r>
                </w:p>
              </w:tc>
              <w:tc>
                <w:tcPr>
                  <w:tcW w:w="184"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eastAsia="Arial" w:cs="Times New Roman"/>
                      <w:sz w:val="21"/>
                      <w:szCs w:val="21"/>
                    </w:rPr>
                    <w:t>1</w:t>
                  </w:r>
                </w:p>
              </w:tc>
            </w:tr>
            <w:bookmarkEnd w:id="3"/>
          </w:tbl>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lang w:val="en-US" w:eastAsia="zh-CN"/>
              </w:rPr>
            </w:pPr>
          </w:p>
          <w:p>
            <w:pPr>
              <w:adjustRightInd w:val="0"/>
              <w:snapToGrid w:val="0"/>
              <w:spacing w:line="240" w:lineRule="auto"/>
              <w:rPr>
                <w:rFonts w:hint="eastAsia" w:ascii="宋体" w:hAnsi="宋体" w:eastAsia="宋体" w:cs="宋体"/>
                <w:b/>
                <w:color w:val="auto"/>
                <w:kern w:val="0"/>
                <w:sz w:val="24"/>
                <w:szCs w:val="24"/>
                <w:highlight w:val="none"/>
                <w:vertAlign w:val="baseline"/>
              </w:rPr>
            </w:pPr>
          </w:p>
        </w:tc>
      </w:tr>
    </w:tbl>
    <w:p>
      <w:pPr>
        <w:adjustRightInd w:val="0"/>
        <w:snapToGrid w:val="0"/>
        <w:spacing w:line="360" w:lineRule="auto"/>
        <w:rPr>
          <w:rFonts w:hint="eastAsia" w:ascii="宋体" w:hAnsi="宋体" w:eastAsia="宋体" w:cs="宋体"/>
          <w:b/>
          <w:color w:val="auto"/>
          <w:kern w:val="0"/>
          <w:sz w:val="28"/>
          <w:szCs w:val="28"/>
          <w:highlight w:val="none"/>
        </w:rPr>
        <w:sectPr>
          <w:pgSz w:w="16840" w:h="11907"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0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17" w:hRule="atLeast"/>
          <w:jc w:val="center"/>
        </w:trPr>
        <w:tc>
          <w:tcPr>
            <w:tcW w:w="269"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其他</w:t>
            </w:r>
          </w:p>
        </w:tc>
        <w:tc>
          <w:tcPr>
            <w:tcW w:w="4730" w:type="pct"/>
            <w:noWrap/>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70" w:lineRule="auto"/>
              <w:ind w:firstLine="482" w:firstLineChars="200"/>
              <w:textAlignment w:val="auto"/>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3.2</w:t>
            </w:r>
            <w:r>
              <w:rPr>
                <w:rFonts w:hint="eastAsia" w:ascii="宋体" w:hAnsi="宋体" w:eastAsia="宋体" w:cs="宋体"/>
                <w:b/>
                <w:bCs/>
                <w:color w:val="auto"/>
                <w:sz w:val="24"/>
                <w:highlight w:val="none"/>
              </w:rPr>
              <w:t>声环境影响</w:t>
            </w:r>
            <w:r>
              <w:rPr>
                <w:rFonts w:hint="eastAsia" w:ascii="宋体" w:hAnsi="宋体" w:eastAsia="宋体" w:cs="宋体"/>
                <w:b/>
                <w:bCs/>
                <w:color w:val="auto"/>
                <w:sz w:val="24"/>
                <w:highlight w:val="none"/>
                <w:lang w:val="en-US" w:eastAsia="zh-CN"/>
              </w:rPr>
              <w:t>分析</w:t>
            </w:r>
          </w:p>
          <w:p>
            <w:pPr>
              <w:pStyle w:val="44"/>
              <w:bidi w:val="0"/>
              <w:rPr>
                <w:rFonts w:hint="eastAsia"/>
                <w:highlight w:val="none"/>
                <w:lang w:val="en-US" w:eastAsia="zh-CN"/>
              </w:rPr>
            </w:pPr>
            <w:r>
              <w:rPr>
                <w:rFonts w:hint="eastAsia"/>
                <w:highlight w:val="none"/>
                <w:lang w:val="en-US" w:eastAsia="zh-CN"/>
              </w:rPr>
              <w:t>（1）预测方法</w:t>
            </w:r>
          </w:p>
          <w:p>
            <w:pPr>
              <w:pStyle w:val="44"/>
              <w:bidi w:val="0"/>
              <w:rPr>
                <w:rFonts w:hint="eastAsia"/>
                <w:highlight w:val="none"/>
                <w:lang w:val="en-US" w:eastAsia="zh-CN"/>
              </w:rPr>
            </w:pPr>
            <w:r>
              <w:rPr>
                <w:rFonts w:hint="eastAsia"/>
                <w:highlight w:val="none"/>
                <w:lang w:val="en-US" w:eastAsia="zh-CN"/>
              </w:rPr>
              <w:t>为了预测新建噪声源对厂界环境噪声强度及造成的影响，根据工程特点及环境特征，此次噪声计算考虑了噪声随距离的衰减、建筑物围护结构的隔声和建筑物屏蔽效应。进行预测时，以采取环评规定的防震减噪措施后噪声源强的消减值，经模式计算所得为采取措施后的贡献值。</w:t>
            </w:r>
          </w:p>
          <w:p>
            <w:pPr>
              <w:pStyle w:val="44"/>
              <w:bidi w:val="0"/>
              <w:rPr>
                <w:rFonts w:hint="eastAsia"/>
                <w:highlight w:val="none"/>
                <w:lang w:val="en-US" w:eastAsia="zh-CN"/>
              </w:rPr>
            </w:pPr>
            <w:r>
              <w:rPr>
                <w:rFonts w:hint="eastAsia"/>
                <w:highlight w:val="none"/>
                <w:lang w:val="en-US" w:eastAsia="zh-CN"/>
              </w:rPr>
              <w:t>（2）预测模式</w:t>
            </w:r>
          </w:p>
          <w:p>
            <w:pPr>
              <w:pStyle w:val="44"/>
              <w:bidi w:val="0"/>
              <w:rPr>
                <w:rFonts w:hint="eastAsia"/>
                <w:highlight w:val="none"/>
              </w:rPr>
            </w:pPr>
            <w:r>
              <w:rPr>
                <w:rFonts w:hint="eastAsia"/>
                <w:highlight w:val="none"/>
              </w:rPr>
              <w:t>根据本项目对噪声源所采取的消声、隔声措施及效果。按照《环境影响评价技术导则声环境》</w:t>
            </w:r>
            <w:r>
              <w:rPr>
                <w:rFonts w:hint="eastAsia"/>
                <w:highlight w:val="none"/>
                <w:lang w:eastAsia="zh-CN"/>
              </w:rPr>
              <w:t>（HJ2.4-2021）</w:t>
            </w:r>
            <w:r>
              <w:rPr>
                <w:rFonts w:hint="eastAsia"/>
                <w:highlight w:val="none"/>
              </w:rPr>
              <w:t>中措施的模式预测噪声源对各预测点的影响值并进行影响评价。</w:t>
            </w:r>
          </w:p>
          <w:p>
            <w:pPr>
              <w:pStyle w:val="44"/>
              <w:bidi w:val="0"/>
              <w:rPr>
                <w:highlight w:val="none"/>
                <w:lang w:val="en-US" w:eastAsia="en-US"/>
              </w:rPr>
            </w:pPr>
            <w:r>
              <w:rPr>
                <w:highlight w:val="none"/>
                <w:lang w:val="en-US" w:eastAsia="en-US"/>
              </w:rPr>
              <w:t>噪声预测公式为：L</w:t>
            </w:r>
            <w:r>
              <w:rPr>
                <w:highlight w:val="none"/>
                <w:vertAlign w:val="subscript"/>
                <w:lang w:val="en-US" w:eastAsia="en-US"/>
              </w:rPr>
              <w:t>1</w:t>
            </w:r>
            <w:r>
              <w:rPr>
                <w:highlight w:val="none"/>
                <w:lang w:val="en-US" w:eastAsia="en-US"/>
              </w:rPr>
              <w:t>＝L</w:t>
            </w:r>
            <w:r>
              <w:rPr>
                <w:highlight w:val="none"/>
                <w:vertAlign w:val="subscript"/>
                <w:lang w:val="en-US" w:eastAsia="en-US"/>
              </w:rPr>
              <w:t>0</w:t>
            </w:r>
            <w:r>
              <w:rPr>
                <w:highlight w:val="none"/>
                <w:lang w:val="en-US" w:eastAsia="en-US"/>
              </w:rPr>
              <w:t>－20lgr</w:t>
            </w:r>
            <w:r>
              <w:rPr>
                <w:highlight w:val="none"/>
                <w:vertAlign w:val="subscript"/>
                <w:lang w:val="en-US" w:eastAsia="en-US"/>
              </w:rPr>
              <w:t>1</w:t>
            </w:r>
            <w:r>
              <w:rPr>
                <w:highlight w:val="none"/>
                <w:lang w:val="en-US" w:eastAsia="en-US"/>
              </w:rPr>
              <w:t>/r</w:t>
            </w:r>
            <w:r>
              <w:rPr>
                <w:highlight w:val="none"/>
                <w:vertAlign w:val="subscript"/>
                <w:lang w:val="en-US" w:eastAsia="en-US"/>
              </w:rPr>
              <w:t>0</w:t>
            </w:r>
            <w:r>
              <w:rPr>
                <w:highlight w:val="none"/>
                <w:lang w:val="en-US" w:eastAsia="en-US"/>
              </w:rPr>
              <w:t>-△L</w:t>
            </w:r>
          </w:p>
          <w:p>
            <w:pPr>
              <w:pStyle w:val="44"/>
              <w:bidi w:val="0"/>
              <w:rPr>
                <w:highlight w:val="none"/>
                <w:lang w:val="en-US" w:eastAsia="en-US"/>
              </w:rPr>
            </w:pPr>
            <w:r>
              <w:rPr>
                <w:highlight w:val="none"/>
                <w:lang w:val="en-US" w:eastAsia="en-US"/>
              </w:rPr>
              <w:t>式中：L</w:t>
            </w:r>
            <w:r>
              <w:rPr>
                <w:highlight w:val="none"/>
                <w:vertAlign w:val="subscript"/>
                <w:lang w:val="en-US" w:eastAsia="en-US"/>
              </w:rPr>
              <w:t>1</w:t>
            </w:r>
            <w:r>
              <w:rPr>
                <w:highlight w:val="none"/>
                <w:lang w:val="en-US" w:eastAsia="en-US"/>
              </w:rPr>
              <w:t>——距声源r</w:t>
            </w:r>
            <w:r>
              <w:rPr>
                <w:highlight w:val="none"/>
                <w:vertAlign w:val="subscript"/>
                <w:lang w:val="en-US" w:eastAsia="en-US"/>
              </w:rPr>
              <w:t>2</w:t>
            </w:r>
            <w:r>
              <w:rPr>
                <w:highlight w:val="none"/>
                <w:lang w:val="en-US" w:eastAsia="en-US"/>
              </w:rPr>
              <w:t>处声源值[dB(A)]；</w:t>
            </w:r>
          </w:p>
          <w:p>
            <w:pPr>
              <w:pStyle w:val="44"/>
              <w:bidi w:val="0"/>
              <w:rPr>
                <w:highlight w:val="none"/>
                <w:lang w:val="en-US" w:eastAsia="en-US"/>
              </w:rPr>
            </w:pPr>
            <w:r>
              <w:rPr>
                <w:highlight w:val="none"/>
                <w:lang w:val="en-US" w:eastAsia="en-US"/>
              </w:rPr>
              <w:t>L</w:t>
            </w:r>
            <w:r>
              <w:rPr>
                <w:highlight w:val="none"/>
                <w:vertAlign w:val="subscript"/>
                <w:lang w:val="en-US" w:eastAsia="en-US"/>
              </w:rPr>
              <w:t>0</w:t>
            </w:r>
            <w:r>
              <w:rPr>
                <w:highlight w:val="none"/>
                <w:lang w:val="en-US" w:eastAsia="en-US"/>
              </w:rPr>
              <w:t>——距声源r</w:t>
            </w:r>
            <w:r>
              <w:rPr>
                <w:highlight w:val="none"/>
                <w:vertAlign w:val="subscript"/>
                <w:lang w:val="en-US" w:eastAsia="en-US"/>
              </w:rPr>
              <w:t>1</w:t>
            </w:r>
            <w:r>
              <w:rPr>
                <w:highlight w:val="none"/>
                <w:lang w:val="en-US" w:eastAsia="en-US"/>
              </w:rPr>
              <w:t>处声源值[dB(A)]；</w:t>
            </w:r>
          </w:p>
          <w:p>
            <w:pPr>
              <w:pStyle w:val="44"/>
              <w:bidi w:val="0"/>
              <w:rPr>
                <w:highlight w:val="none"/>
                <w:lang w:val="en-US" w:eastAsia="en-US"/>
              </w:rPr>
            </w:pPr>
            <w:r>
              <w:rPr>
                <w:highlight w:val="none"/>
                <w:lang w:val="en-US" w:eastAsia="en-US"/>
              </w:rPr>
              <w:t>r</w:t>
            </w:r>
            <w:r>
              <w:rPr>
                <w:highlight w:val="none"/>
                <w:vertAlign w:val="subscript"/>
                <w:lang w:val="en-US" w:eastAsia="en-US"/>
              </w:rPr>
              <w:t>1</w:t>
            </w:r>
            <w:r>
              <w:rPr>
                <w:rFonts w:hint="eastAsia"/>
                <w:highlight w:val="none"/>
                <w:lang w:val="en-US" w:eastAsia="zh-CN"/>
              </w:rPr>
              <w:t>、</w:t>
            </w:r>
            <w:r>
              <w:rPr>
                <w:highlight w:val="none"/>
                <w:lang w:val="en-US" w:eastAsia="en-US"/>
              </w:rPr>
              <w:t>r0——与声源的距离</w:t>
            </w:r>
            <w:r>
              <w:rPr>
                <w:rFonts w:hint="eastAsia"/>
                <w:highlight w:val="none"/>
                <w:lang w:val="en-US" w:eastAsia="zh-CN"/>
              </w:rPr>
              <w:t>（</w:t>
            </w:r>
            <w:r>
              <w:rPr>
                <w:highlight w:val="none"/>
                <w:lang w:val="en-US" w:eastAsia="en-US"/>
              </w:rPr>
              <w:t>m</w:t>
            </w:r>
            <w:r>
              <w:rPr>
                <w:rFonts w:hint="eastAsia"/>
                <w:highlight w:val="none"/>
                <w:lang w:val="en-US" w:eastAsia="zh-CN"/>
              </w:rPr>
              <w:t>）</w:t>
            </w:r>
            <w:r>
              <w:rPr>
                <w:highlight w:val="none"/>
                <w:lang w:val="en-US" w:eastAsia="en-US"/>
              </w:rPr>
              <w:t>（本次计算取r0=1）；</w:t>
            </w:r>
          </w:p>
          <w:p>
            <w:pPr>
              <w:pStyle w:val="44"/>
              <w:bidi w:val="0"/>
              <w:rPr>
                <w:highlight w:val="none"/>
                <w:lang w:val="en-US" w:eastAsia="en-US"/>
              </w:rPr>
            </w:pPr>
            <w:r>
              <w:rPr>
                <w:highlight w:val="none"/>
                <w:lang w:val="en-US" w:eastAsia="en-US"/>
              </w:rPr>
              <w:t>△L——采取各种措施后的噪声衰减量，dB(A</w:t>
            </w:r>
            <w:r>
              <w:rPr>
                <w:rFonts w:hint="eastAsia"/>
                <w:highlight w:val="none"/>
                <w:lang w:val="en-US" w:eastAsia="zh-CN"/>
              </w:rPr>
              <w:t>)</w:t>
            </w:r>
            <w:r>
              <w:rPr>
                <w:highlight w:val="none"/>
                <w:lang w:val="en-US" w:eastAsia="en-US"/>
              </w:rPr>
              <w:t>。</w:t>
            </w:r>
          </w:p>
          <w:p>
            <w:pPr>
              <w:pStyle w:val="44"/>
              <w:bidi w:val="0"/>
              <w:rPr>
                <w:highlight w:val="none"/>
                <w:lang w:val="en-US" w:eastAsia="en-US"/>
              </w:rPr>
            </w:pPr>
            <w:r>
              <w:rPr>
                <w:highlight w:val="none"/>
                <w:lang w:val="en-US" w:eastAsia="en-US"/>
              </w:rPr>
              <w:t>由上式预测单个噪声源在评价点的贡献值，再将不同声源在该点的贡献值用对数法叠加，得出多个噪声源对该点噪声的贡献值，采用的模式如下：</w:t>
            </w:r>
          </w:p>
          <w:p>
            <w:pPr>
              <w:pStyle w:val="44"/>
              <w:bidi w:val="0"/>
              <w:rPr>
                <w:highlight w:val="none"/>
                <w:lang w:val="en-US" w:eastAsia="en-US"/>
              </w:rPr>
            </w:pPr>
            <w:r>
              <w:rPr>
                <w:highlight w:val="none"/>
                <w:lang w:val="en-US" w:eastAsia="en-US"/>
              </w:rPr>
              <w:drawing>
                <wp:inline distT="0" distB="0" distL="114300" distR="114300">
                  <wp:extent cx="1264920" cy="427355"/>
                  <wp:effectExtent l="0" t="0" r="11430" b="10795"/>
                  <wp:docPr id="4" name="图片 23"/>
                  <wp:cNvGraphicFramePr/>
                  <a:graphic xmlns:a="http://schemas.openxmlformats.org/drawingml/2006/main">
                    <a:graphicData uri="http://schemas.openxmlformats.org/drawingml/2006/picture">
                      <pic:pic xmlns:pic="http://schemas.openxmlformats.org/drawingml/2006/picture">
                        <pic:nvPicPr>
                          <pic:cNvPr id="4" name="图片 23"/>
                          <pic:cNvPicPr/>
                        </pic:nvPicPr>
                        <pic:blipFill>
                          <a:blip r:embed="rId16"/>
                          <a:stretch>
                            <a:fillRect/>
                          </a:stretch>
                        </pic:blipFill>
                        <pic:spPr>
                          <a:xfrm>
                            <a:off x="0" y="0"/>
                            <a:ext cx="1264920" cy="427355"/>
                          </a:xfrm>
                          <a:prstGeom prst="rect">
                            <a:avLst/>
                          </a:prstGeom>
                          <a:noFill/>
                          <a:ln>
                            <a:noFill/>
                          </a:ln>
                        </pic:spPr>
                      </pic:pic>
                    </a:graphicData>
                  </a:graphic>
                </wp:inline>
              </w:drawing>
            </w:r>
          </w:p>
          <w:p>
            <w:pPr>
              <w:pStyle w:val="44"/>
              <w:bidi w:val="0"/>
              <w:rPr>
                <w:highlight w:val="none"/>
                <w:lang w:val="en-US" w:eastAsia="en-US"/>
              </w:rPr>
            </w:pPr>
            <w:r>
              <w:rPr>
                <w:highlight w:val="none"/>
                <w:lang w:val="en-US" w:eastAsia="en-US"/>
              </w:rPr>
              <w:t>式中：Li——第i个声源的噪声值，dB(A</w:t>
            </w:r>
            <w:r>
              <w:rPr>
                <w:rFonts w:hint="eastAsia"/>
                <w:highlight w:val="none"/>
                <w:lang w:val="en-US" w:eastAsia="zh-CN"/>
              </w:rPr>
              <w:t>）</w:t>
            </w:r>
            <w:r>
              <w:rPr>
                <w:highlight w:val="none"/>
                <w:lang w:val="en-US" w:eastAsia="en-US"/>
              </w:rPr>
              <w:t>；</w:t>
            </w:r>
          </w:p>
          <w:p>
            <w:pPr>
              <w:pStyle w:val="44"/>
              <w:bidi w:val="0"/>
              <w:rPr>
                <w:highlight w:val="none"/>
                <w:lang w:val="en-US" w:eastAsia="en-US"/>
              </w:rPr>
            </w:pPr>
            <w:r>
              <w:rPr>
                <w:highlight w:val="none"/>
                <w:lang w:val="en-US" w:eastAsia="en-US"/>
              </w:rPr>
              <w:t>L——某点噪声总</w:t>
            </w:r>
            <w:r>
              <w:rPr>
                <w:rFonts w:hint="eastAsia"/>
                <w:highlight w:val="none"/>
                <w:lang w:val="en-US" w:eastAsia="zh-CN"/>
              </w:rPr>
              <w:t>叠</w:t>
            </w:r>
            <w:r>
              <w:rPr>
                <w:highlight w:val="none"/>
                <w:lang w:val="en-US" w:eastAsia="en-US"/>
              </w:rPr>
              <w:t>加值，dB(A</w:t>
            </w:r>
            <w:r>
              <w:rPr>
                <w:rFonts w:hint="eastAsia"/>
                <w:highlight w:val="none"/>
                <w:lang w:val="en-US" w:eastAsia="zh-CN"/>
              </w:rPr>
              <w:t>）</w:t>
            </w:r>
            <w:r>
              <w:rPr>
                <w:highlight w:val="none"/>
                <w:lang w:val="en-US" w:eastAsia="en-US"/>
              </w:rPr>
              <w:t>；</w:t>
            </w:r>
          </w:p>
          <w:p>
            <w:pPr>
              <w:pStyle w:val="44"/>
              <w:bidi w:val="0"/>
              <w:rPr>
                <w:rFonts w:hint="eastAsia"/>
                <w:highlight w:val="none"/>
              </w:rPr>
            </w:pPr>
            <w:r>
              <w:rPr>
                <w:highlight w:val="none"/>
                <w:lang w:val="en-US" w:eastAsia="en-US"/>
              </w:rPr>
              <w:t>n——声源个数。</w:t>
            </w:r>
          </w:p>
          <w:p>
            <w:pPr>
              <w:pStyle w:val="44"/>
              <w:bidi w:val="0"/>
              <w:rPr>
                <w:rFonts w:hint="eastAsia"/>
                <w:highlight w:val="none"/>
                <w:lang w:val="en-US"/>
              </w:rPr>
            </w:pPr>
            <w:r>
              <w:rPr>
                <w:rFonts w:hint="eastAsia"/>
                <w:highlight w:val="none"/>
                <w:lang w:val="en-US" w:eastAsia="zh-CN"/>
              </w:rPr>
              <w:t>（3）预测结果</w:t>
            </w:r>
          </w:p>
          <w:p>
            <w:pPr>
              <w:pStyle w:val="44"/>
              <w:bidi w:val="0"/>
              <w:rPr>
                <w:rFonts w:hint="eastAsia"/>
                <w:highlight w:val="none"/>
              </w:rPr>
            </w:pPr>
            <w:r>
              <w:rPr>
                <w:rFonts w:hint="eastAsia"/>
                <w:highlight w:val="none"/>
                <w:lang w:val="en-US" w:eastAsia="zh-CN"/>
              </w:rPr>
              <w:t>选择项目东、南、西、北四个厂界作为厂界噪声预测点。根据上述预测模式，计算出噪声经衰减在厂界处的贡献值，噪声预测结果见表4-12。</w:t>
            </w:r>
          </w:p>
          <w:p>
            <w:pPr>
              <w:pStyle w:val="28"/>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表4-12  厂界噪声预测结果与达标分析表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736"/>
              <w:gridCol w:w="736"/>
              <w:gridCol w:w="740"/>
              <w:gridCol w:w="912"/>
              <w:gridCol w:w="1302"/>
              <w:gridCol w:w="1302"/>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jc w:val="center"/>
              </w:trPr>
              <w:tc>
                <w:tcPr>
                  <w:tcW w:w="645" w:type="pct"/>
                  <w:vMerge w:val="restart"/>
                  <w:vAlign w:val="center"/>
                </w:tcPr>
                <w:p>
                  <w:pPr>
                    <w:jc w:val="center"/>
                    <w:rPr>
                      <w:rFonts w:ascii="Times New Roman" w:hAnsi="Times New Roman" w:cs="Times New Roman" w:eastAsiaTheme="minorEastAsia"/>
                      <w:b w:val="0"/>
                      <w:bCs/>
                      <w:sz w:val="21"/>
                      <w:szCs w:val="21"/>
                    </w:rPr>
                  </w:pPr>
                  <w:r>
                    <w:rPr>
                      <w:rFonts w:ascii="Times New Roman" w:hAnsi="Times New Roman" w:cs="Times New Roman" w:eastAsiaTheme="minorEastAsia"/>
                      <w:b w:val="0"/>
                      <w:bCs/>
                      <w:sz w:val="21"/>
                      <w:szCs w:val="21"/>
                    </w:rPr>
                    <w:t>预测方位</w:t>
                  </w:r>
                </w:p>
              </w:tc>
              <w:tc>
                <w:tcPr>
                  <w:tcW w:w="1412" w:type="pct"/>
                  <w:gridSpan w:val="3"/>
                  <w:vAlign w:val="center"/>
                </w:tcPr>
                <w:p>
                  <w:pPr>
                    <w:jc w:val="center"/>
                    <w:rPr>
                      <w:rFonts w:ascii="Times New Roman" w:hAnsi="Times New Roman" w:cs="Times New Roman" w:eastAsiaTheme="minorEastAsia"/>
                      <w:b w:val="0"/>
                      <w:bCs/>
                      <w:sz w:val="21"/>
                      <w:szCs w:val="21"/>
                    </w:rPr>
                  </w:pPr>
                  <w:r>
                    <w:rPr>
                      <w:rFonts w:hint="eastAsia" w:ascii="Times New Roman" w:hAnsi="Times New Roman" w:cs="Times New Roman" w:eastAsiaTheme="minorEastAsia"/>
                      <w:b w:val="0"/>
                      <w:bCs/>
                      <w:sz w:val="21"/>
                      <w:szCs w:val="21"/>
                      <w:lang w:val="en-US" w:eastAsia="zh-CN"/>
                    </w:rPr>
                    <w:t>最大值点</w:t>
                  </w:r>
                  <w:r>
                    <w:rPr>
                      <w:rFonts w:ascii="Times New Roman" w:hAnsi="Times New Roman" w:cs="Times New Roman" w:eastAsiaTheme="minorEastAsia"/>
                      <w:b w:val="0"/>
                      <w:bCs/>
                      <w:sz w:val="21"/>
                      <w:szCs w:val="21"/>
                    </w:rPr>
                    <w:t>空间相对位置/m</w:t>
                  </w:r>
                </w:p>
              </w:tc>
              <w:tc>
                <w:tcPr>
                  <w:tcW w:w="582" w:type="pct"/>
                  <w:vMerge w:val="restart"/>
                  <w:vAlign w:val="center"/>
                </w:tcPr>
                <w:p>
                  <w:pPr>
                    <w:jc w:val="center"/>
                    <w:rPr>
                      <w:rFonts w:ascii="Times New Roman" w:hAnsi="Times New Roman" w:cs="Times New Roman" w:eastAsiaTheme="minorEastAsia"/>
                      <w:b w:val="0"/>
                      <w:bCs/>
                      <w:sz w:val="21"/>
                      <w:szCs w:val="21"/>
                    </w:rPr>
                  </w:pPr>
                  <w:r>
                    <w:rPr>
                      <w:rFonts w:ascii="Times New Roman" w:hAnsi="Times New Roman" w:cs="Times New Roman" w:eastAsiaTheme="minorEastAsia"/>
                      <w:b w:val="0"/>
                      <w:bCs/>
                      <w:sz w:val="21"/>
                      <w:szCs w:val="21"/>
                    </w:rPr>
                    <w:t>时段</w:t>
                  </w:r>
                </w:p>
              </w:tc>
              <w:tc>
                <w:tcPr>
                  <w:tcW w:w="831" w:type="pct"/>
                  <w:vMerge w:val="restart"/>
                  <w:vAlign w:val="center"/>
                </w:tcPr>
                <w:p>
                  <w:pPr>
                    <w:jc w:val="center"/>
                    <w:rPr>
                      <w:rFonts w:ascii="Times New Roman" w:hAnsi="Times New Roman" w:cs="Times New Roman" w:eastAsiaTheme="minorEastAsia"/>
                      <w:b w:val="0"/>
                      <w:bCs/>
                      <w:sz w:val="21"/>
                      <w:szCs w:val="21"/>
                    </w:rPr>
                  </w:pPr>
                  <w:r>
                    <w:rPr>
                      <w:rFonts w:hint="eastAsia" w:ascii="Times New Roman" w:hAnsi="Times New Roman" w:cs="Times New Roman" w:eastAsiaTheme="minorEastAsia"/>
                      <w:b w:val="0"/>
                      <w:bCs/>
                      <w:sz w:val="21"/>
                      <w:szCs w:val="21"/>
                    </w:rPr>
                    <w:t>贡献值</w:t>
                  </w:r>
                  <w:r>
                    <w:rPr>
                      <w:rFonts w:ascii="Times New Roman" w:hAnsi="Times New Roman" w:cs="Times New Roman" w:eastAsiaTheme="minorEastAsia"/>
                      <w:b w:val="0"/>
                      <w:bCs/>
                      <w:sz w:val="21"/>
                      <w:szCs w:val="21"/>
                    </w:rPr>
                    <w:t>（dB</w:t>
                  </w:r>
                  <w:r>
                    <w:rPr>
                      <w:rFonts w:hint="eastAsia" w:cs="Times New Roman" w:eastAsiaTheme="minorEastAsia"/>
                      <w:b w:val="0"/>
                      <w:bCs/>
                      <w:sz w:val="21"/>
                      <w:szCs w:val="21"/>
                      <w:lang w:eastAsia="zh-CN"/>
                    </w:rPr>
                    <w:t>（</w:t>
                  </w:r>
                  <w:r>
                    <w:rPr>
                      <w:rFonts w:ascii="Times New Roman" w:hAnsi="Times New Roman" w:cs="Times New Roman" w:eastAsiaTheme="minorEastAsia"/>
                      <w:b w:val="0"/>
                      <w:bCs/>
                      <w:sz w:val="21"/>
                      <w:szCs w:val="21"/>
                    </w:rPr>
                    <w:t>A</w:t>
                  </w:r>
                  <w:r>
                    <w:rPr>
                      <w:rFonts w:hint="eastAsia" w:cs="Times New Roman" w:eastAsiaTheme="minorEastAsia"/>
                      <w:b w:val="0"/>
                      <w:bCs/>
                      <w:sz w:val="21"/>
                      <w:szCs w:val="21"/>
                      <w:lang w:eastAsia="zh-CN"/>
                    </w:rPr>
                    <w:t>）</w:t>
                  </w:r>
                  <w:r>
                    <w:rPr>
                      <w:rFonts w:ascii="Times New Roman" w:hAnsi="Times New Roman" w:cs="Times New Roman" w:eastAsiaTheme="minorEastAsia"/>
                      <w:b w:val="0"/>
                      <w:bCs/>
                      <w:sz w:val="21"/>
                      <w:szCs w:val="21"/>
                    </w:rPr>
                    <w:t>）</w:t>
                  </w:r>
                </w:p>
              </w:tc>
              <w:tc>
                <w:tcPr>
                  <w:tcW w:w="831" w:type="pct"/>
                  <w:vMerge w:val="restart"/>
                  <w:vAlign w:val="center"/>
                </w:tcPr>
                <w:p>
                  <w:pPr>
                    <w:jc w:val="center"/>
                    <w:rPr>
                      <w:rFonts w:ascii="Times New Roman" w:hAnsi="Times New Roman" w:cs="Times New Roman" w:eastAsiaTheme="minorEastAsia"/>
                      <w:b w:val="0"/>
                      <w:bCs/>
                      <w:sz w:val="21"/>
                      <w:szCs w:val="21"/>
                    </w:rPr>
                  </w:pPr>
                  <w:r>
                    <w:rPr>
                      <w:rFonts w:ascii="Times New Roman" w:hAnsi="Times New Roman" w:cs="Times New Roman" w:eastAsiaTheme="minorEastAsia"/>
                      <w:b w:val="0"/>
                      <w:bCs/>
                      <w:sz w:val="21"/>
                      <w:szCs w:val="21"/>
                    </w:rPr>
                    <w:t>标准限值（dB</w:t>
                  </w:r>
                  <w:r>
                    <w:rPr>
                      <w:rFonts w:hint="eastAsia" w:cs="Times New Roman" w:eastAsiaTheme="minorEastAsia"/>
                      <w:b w:val="0"/>
                      <w:bCs/>
                      <w:sz w:val="21"/>
                      <w:szCs w:val="21"/>
                      <w:lang w:eastAsia="zh-CN"/>
                    </w:rPr>
                    <w:t>（</w:t>
                  </w:r>
                  <w:r>
                    <w:rPr>
                      <w:rFonts w:ascii="Times New Roman" w:hAnsi="Times New Roman" w:cs="Times New Roman" w:eastAsiaTheme="minorEastAsia"/>
                      <w:b w:val="0"/>
                      <w:bCs/>
                      <w:sz w:val="21"/>
                      <w:szCs w:val="21"/>
                    </w:rPr>
                    <w:t>A</w:t>
                  </w:r>
                  <w:r>
                    <w:rPr>
                      <w:rFonts w:hint="eastAsia" w:cs="Times New Roman" w:eastAsiaTheme="minorEastAsia"/>
                      <w:b w:val="0"/>
                      <w:bCs/>
                      <w:sz w:val="21"/>
                      <w:szCs w:val="21"/>
                      <w:lang w:eastAsia="zh-CN"/>
                    </w:rPr>
                    <w:t>）</w:t>
                  </w:r>
                  <w:r>
                    <w:rPr>
                      <w:rFonts w:ascii="Times New Roman" w:hAnsi="Times New Roman" w:cs="Times New Roman" w:eastAsiaTheme="minorEastAsia"/>
                      <w:b w:val="0"/>
                      <w:bCs/>
                      <w:sz w:val="21"/>
                      <w:szCs w:val="21"/>
                    </w:rPr>
                    <w:t>）</w:t>
                  </w:r>
                </w:p>
              </w:tc>
              <w:tc>
                <w:tcPr>
                  <w:tcW w:w="696" w:type="pct"/>
                  <w:vMerge w:val="restart"/>
                  <w:vAlign w:val="center"/>
                </w:tcPr>
                <w:p>
                  <w:pPr>
                    <w:jc w:val="center"/>
                    <w:rPr>
                      <w:rFonts w:ascii="Times New Roman" w:hAnsi="Times New Roman" w:cs="Times New Roman" w:eastAsiaTheme="minorEastAsia"/>
                      <w:b w:val="0"/>
                      <w:bCs/>
                      <w:sz w:val="21"/>
                      <w:szCs w:val="21"/>
                    </w:rPr>
                  </w:pPr>
                  <w:r>
                    <w:rPr>
                      <w:rFonts w:ascii="Times New Roman" w:hAnsi="Times New Roman" w:cs="Times New Roman" w:eastAsiaTheme="minorEastAsia"/>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645" w:type="pct"/>
                  <w:vMerge w:val="continue"/>
                  <w:shd w:val="clear" w:color="auto" w:fill="FFFFFF"/>
                  <w:vAlign w:val="center"/>
                </w:tcPr>
                <w:p>
                  <w:pPr>
                    <w:jc w:val="center"/>
                    <w:rPr>
                      <w:rFonts w:ascii="Times New Roman" w:hAnsi="Times New Roman" w:cs="Times New Roman" w:eastAsiaTheme="minorEastAsia"/>
                      <w:sz w:val="21"/>
                      <w:szCs w:val="21"/>
                    </w:rPr>
                  </w:pPr>
                </w:p>
              </w:tc>
              <w:tc>
                <w:tcPr>
                  <w:tcW w:w="470" w:type="pct"/>
                  <w:shd w:val="clear" w:color="auto" w:fill="auto"/>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X</w:t>
                  </w:r>
                </w:p>
              </w:tc>
              <w:tc>
                <w:tcPr>
                  <w:tcW w:w="470" w:type="pct"/>
                  <w:shd w:val="clear" w:color="auto" w:fill="auto"/>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Y</w:t>
                  </w:r>
                </w:p>
              </w:tc>
              <w:tc>
                <w:tcPr>
                  <w:tcW w:w="471" w:type="pct"/>
                  <w:shd w:val="clear" w:color="auto" w:fill="auto"/>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Z</w:t>
                  </w:r>
                </w:p>
              </w:tc>
              <w:tc>
                <w:tcPr>
                  <w:tcW w:w="582" w:type="pct"/>
                  <w:vMerge w:val="continue"/>
                  <w:shd w:val="clear" w:color="auto" w:fill="FFFFFF"/>
                  <w:vAlign w:val="center"/>
                </w:tcPr>
                <w:p>
                  <w:pPr>
                    <w:jc w:val="center"/>
                    <w:rPr>
                      <w:rFonts w:ascii="Times New Roman" w:hAnsi="Times New Roman" w:cs="Times New Roman" w:eastAsiaTheme="minorEastAsia"/>
                      <w:sz w:val="21"/>
                      <w:szCs w:val="21"/>
                    </w:rPr>
                  </w:pPr>
                </w:p>
              </w:tc>
              <w:tc>
                <w:tcPr>
                  <w:tcW w:w="831" w:type="pct"/>
                  <w:vMerge w:val="continue"/>
                  <w:shd w:val="clear" w:color="auto" w:fill="FFFFFF"/>
                  <w:vAlign w:val="center"/>
                </w:tcPr>
                <w:p>
                  <w:pPr>
                    <w:jc w:val="center"/>
                    <w:rPr>
                      <w:rFonts w:ascii="Times New Roman" w:hAnsi="Times New Roman" w:cs="Times New Roman" w:eastAsiaTheme="minorEastAsia"/>
                      <w:sz w:val="21"/>
                      <w:szCs w:val="21"/>
                    </w:rPr>
                  </w:pPr>
                </w:p>
              </w:tc>
              <w:tc>
                <w:tcPr>
                  <w:tcW w:w="831" w:type="pct"/>
                  <w:vMerge w:val="continue"/>
                  <w:shd w:val="clear" w:color="auto" w:fill="FFFFFF"/>
                  <w:vAlign w:val="center"/>
                </w:tcPr>
                <w:p>
                  <w:pPr>
                    <w:jc w:val="center"/>
                    <w:rPr>
                      <w:rFonts w:ascii="Times New Roman" w:hAnsi="Times New Roman" w:cs="Times New Roman" w:eastAsiaTheme="minorEastAsia"/>
                      <w:sz w:val="21"/>
                      <w:szCs w:val="21"/>
                    </w:rPr>
                  </w:pPr>
                </w:p>
              </w:tc>
              <w:tc>
                <w:tcPr>
                  <w:tcW w:w="696" w:type="pct"/>
                  <w:vMerge w:val="continue"/>
                  <w:shd w:val="clear" w:color="auto" w:fill="FFFFFF"/>
                  <w:vAlign w:val="center"/>
                </w:tcPr>
                <w:p>
                  <w:pPr>
                    <w:jc w:val="center"/>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restart"/>
                  <w:shd w:val="clear" w:color="auto" w:fill="auto"/>
                  <w:vAlign w:val="center"/>
                </w:tcPr>
                <w:p>
                  <w:pPr>
                    <w:jc w:val="center"/>
                  </w:pPr>
                  <w:r>
                    <w:rPr>
                      <w:rFonts w:ascii="Arial" w:hAnsi="Arial" w:eastAsia="Arial" w:cs="Arial"/>
                      <w:sz w:val="20"/>
                    </w:rPr>
                    <w:t>东侧</w:t>
                  </w:r>
                </w:p>
              </w:tc>
              <w:tc>
                <w:tcPr>
                  <w:tcW w:w="470" w:type="pct"/>
                  <w:shd w:val="clear" w:color="auto" w:fill="auto"/>
                  <w:vAlign w:val="center"/>
                </w:tcPr>
                <w:p>
                  <w:pPr>
                    <w:jc w:val="center"/>
                  </w:pPr>
                  <w:r>
                    <w:rPr>
                      <w:rFonts w:ascii="Arial" w:hAnsi="Arial" w:eastAsia="Arial" w:cs="Arial"/>
                      <w:sz w:val="20"/>
                    </w:rPr>
                    <w:t>29</w:t>
                  </w:r>
                </w:p>
              </w:tc>
              <w:tc>
                <w:tcPr>
                  <w:tcW w:w="470" w:type="pct"/>
                  <w:shd w:val="clear" w:color="auto" w:fill="auto"/>
                  <w:vAlign w:val="center"/>
                </w:tcPr>
                <w:p>
                  <w:pPr>
                    <w:jc w:val="center"/>
                  </w:pPr>
                  <w:r>
                    <w:rPr>
                      <w:rFonts w:ascii="Arial" w:hAnsi="Arial" w:eastAsia="Arial" w:cs="Arial"/>
                      <w:sz w:val="20"/>
                    </w:rPr>
                    <w:t>-59.8</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昼间</w:t>
                  </w:r>
                </w:p>
              </w:tc>
              <w:tc>
                <w:tcPr>
                  <w:tcW w:w="1302" w:type="dxa"/>
                  <w:shd w:val="clear" w:color="auto" w:fill="auto"/>
                  <w:vAlign w:val="center"/>
                </w:tcPr>
                <w:p>
                  <w:pPr>
                    <w:jc w:val="center"/>
                  </w:pPr>
                  <w:r>
                    <w:rPr>
                      <w:rFonts w:ascii="Arial" w:hAnsi="Arial" w:eastAsia="Arial" w:cs="Arial"/>
                      <w:sz w:val="20"/>
                    </w:rPr>
                    <w:t>29.6</w:t>
                  </w:r>
                </w:p>
              </w:tc>
              <w:tc>
                <w:tcPr>
                  <w:tcW w:w="831" w:type="pct"/>
                  <w:shd w:val="clear" w:color="auto" w:fill="auto"/>
                  <w:vAlign w:val="center"/>
                </w:tcPr>
                <w:p>
                  <w:pPr>
                    <w:jc w:val="center"/>
                    <w:rPr>
                      <w:rFonts w:hint="eastAsia" w:eastAsia="宋体"/>
                      <w:lang w:eastAsia="zh-CN"/>
                    </w:rPr>
                  </w:pPr>
                  <w:r>
                    <w:rPr>
                      <w:rFonts w:ascii="Arial" w:hAnsi="Arial" w:eastAsia="Arial" w:cs="Arial"/>
                      <w:sz w:val="20"/>
                    </w:rPr>
                    <w:t>6</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continue"/>
                  <w:shd w:val="clear" w:color="auto" w:fill="auto"/>
                  <w:vAlign w:val="center"/>
                </w:tcPr>
                <w:p>
                  <w:pPr>
                    <w:jc w:val="center"/>
                  </w:pPr>
                </w:p>
              </w:tc>
              <w:tc>
                <w:tcPr>
                  <w:tcW w:w="470" w:type="pct"/>
                  <w:shd w:val="clear" w:color="auto" w:fill="auto"/>
                  <w:vAlign w:val="center"/>
                </w:tcPr>
                <w:p>
                  <w:pPr>
                    <w:jc w:val="center"/>
                  </w:pPr>
                  <w:r>
                    <w:rPr>
                      <w:rFonts w:ascii="Arial" w:hAnsi="Arial" w:eastAsia="Arial" w:cs="Arial"/>
                      <w:sz w:val="20"/>
                    </w:rPr>
                    <w:t>29</w:t>
                  </w:r>
                </w:p>
              </w:tc>
              <w:tc>
                <w:tcPr>
                  <w:tcW w:w="470" w:type="pct"/>
                  <w:shd w:val="clear" w:color="auto" w:fill="auto"/>
                  <w:vAlign w:val="center"/>
                </w:tcPr>
                <w:p>
                  <w:pPr>
                    <w:jc w:val="center"/>
                  </w:pPr>
                  <w:r>
                    <w:rPr>
                      <w:rFonts w:ascii="Arial" w:hAnsi="Arial" w:eastAsia="Arial" w:cs="Arial"/>
                      <w:sz w:val="20"/>
                    </w:rPr>
                    <w:t>-59.8</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夜间</w:t>
                  </w:r>
                </w:p>
              </w:tc>
              <w:tc>
                <w:tcPr>
                  <w:tcW w:w="1302" w:type="dxa"/>
                  <w:shd w:val="clear" w:color="auto" w:fill="auto"/>
                  <w:vAlign w:val="center"/>
                </w:tcPr>
                <w:p>
                  <w:pPr>
                    <w:jc w:val="center"/>
                  </w:pPr>
                  <w:r>
                    <w:rPr>
                      <w:rFonts w:ascii="Arial" w:hAnsi="Arial" w:eastAsia="Arial" w:cs="Arial"/>
                      <w:sz w:val="20"/>
                    </w:rPr>
                    <w:t>29.6</w:t>
                  </w:r>
                </w:p>
              </w:tc>
              <w:tc>
                <w:tcPr>
                  <w:tcW w:w="831" w:type="pct"/>
                  <w:shd w:val="clear" w:color="auto" w:fill="auto"/>
                  <w:vAlign w:val="center"/>
                </w:tcPr>
                <w:p>
                  <w:pPr>
                    <w:jc w:val="center"/>
                    <w:rPr>
                      <w:rFonts w:hint="eastAsia" w:eastAsia="宋体"/>
                      <w:lang w:eastAsia="zh-CN"/>
                    </w:rPr>
                  </w:pPr>
                  <w:r>
                    <w:rPr>
                      <w:rFonts w:ascii="Arial" w:hAnsi="Arial" w:eastAsia="Arial" w:cs="Arial"/>
                      <w:sz w:val="20"/>
                    </w:rPr>
                    <w:t>5</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restart"/>
                  <w:shd w:val="clear" w:color="auto" w:fill="auto"/>
                  <w:vAlign w:val="center"/>
                </w:tcPr>
                <w:p>
                  <w:pPr>
                    <w:jc w:val="center"/>
                  </w:pPr>
                  <w:r>
                    <w:rPr>
                      <w:rFonts w:ascii="Arial" w:hAnsi="Arial" w:eastAsia="Arial" w:cs="Arial"/>
                      <w:sz w:val="20"/>
                    </w:rPr>
                    <w:t>南侧</w:t>
                  </w:r>
                </w:p>
              </w:tc>
              <w:tc>
                <w:tcPr>
                  <w:tcW w:w="470" w:type="pct"/>
                  <w:shd w:val="clear" w:color="auto" w:fill="auto"/>
                  <w:vAlign w:val="center"/>
                </w:tcPr>
                <w:p>
                  <w:pPr>
                    <w:jc w:val="center"/>
                    <w:rPr>
                      <w:b w:val="0"/>
                      <w:bCs/>
                    </w:rPr>
                  </w:pPr>
                  <w:r>
                    <w:rPr>
                      <w:rFonts w:ascii="Arial" w:hAnsi="Arial" w:eastAsia="Arial" w:cs="Arial"/>
                      <w:b w:val="0"/>
                      <w:bCs/>
                      <w:sz w:val="20"/>
                    </w:rPr>
                    <w:t>33.4</w:t>
                  </w:r>
                </w:p>
              </w:tc>
              <w:tc>
                <w:tcPr>
                  <w:tcW w:w="470" w:type="pct"/>
                  <w:shd w:val="clear" w:color="auto" w:fill="auto"/>
                  <w:vAlign w:val="center"/>
                </w:tcPr>
                <w:p>
                  <w:pPr>
                    <w:jc w:val="center"/>
                    <w:rPr>
                      <w:b w:val="0"/>
                      <w:bCs/>
                    </w:rPr>
                  </w:pPr>
                  <w:r>
                    <w:rPr>
                      <w:rFonts w:ascii="Arial" w:hAnsi="Arial" w:eastAsia="Arial" w:cs="Arial"/>
                      <w:b w:val="0"/>
                      <w:bCs/>
                      <w:sz w:val="20"/>
                    </w:rPr>
                    <w:t>-4.9</w:t>
                  </w:r>
                </w:p>
              </w:tc>
              <w:tc>
                <w:tcPr>
                  <w:tcW w:w="471" w:type="pct"/>
                  <w:shd w:val="clear" w:color="auto" w:fill="auto"/>
                  <w:vAlign w:val="center"/>
                </w:tcPr>
                <w:p>
                  <w:pPr>
                    <w:jc w:val="center"/>
                    <w:rPr>
                      <w:b w:val="0"/>
                      <w:bCs/>
                    </w:rPr>
                  </w:pPr>
                  <w:r>
                    <w:rPr>
                      <w:rFonts w:ascii="Arial" w:hAnsi="Arial" w:eastAsia="Arial" w:cs="Arial"/>
                      <w:b w:val="0"/>
                      <w:bCs/>
                      <w:sz w:val="20"/>
                    </w:rPr>
                    <w:t>1.2</w:t>
                  </w:r>
                </w:p>
              </w:tc>
              <w:tc>
                <w:tcPr>
                  <w:tcW w:w="582" w:type="pct"/>
                  <w:shd w:val="clear" w:color="auto" w:fill="auto"/>
                  <w:vAlign w:val="center"/>
                </w:tcPr>
                <w:p>
                  <w:pPr>
                    <w:jc w:val="center"/>
                  </w:pPr>
                  <w:r>
                    <w:rPr>
                      <w:rFonts w:ascii="Arial" w:hAnsi="Arial" w:eastAsia="Arial" w:cs="Arial"/>
                      <w:sz w:val="20"/>
                    </w:rPr>
                    <w:t>昼间</w:t>
                  </w:r>
                </w:p>
              </w:tc>
              <w:tc>
                <w:tcPr>
                  <w:tcW w:w="1302" w:type="dxa"/>
                  <w:shd w:val="clear" w:color="auto" w:fill="auto"/>
                  <w:vAlign w:val="center"/>
                </w:tcPr>
                <w:p>
                  <w:pPr>
                    <w:jc w:val="center"/>
                    <w:rPr>
                      <w:b w:val="0"/>
                      <w:bCs/>
                    </w:rPr>
                  </w:pPr>
                  <w:r>
                    <w:rPr>
                      <w:rFonts w:ascii="Arial" w:hAnsi="Arial" w:eastAsia="Arial" w:cs="Arial"/>
                      <w:b w:val="0"/>
                      <w:bCs/>
                      <w:sz w:val="20"/>
                    </w:rPr>
                    <w:t>39.6</w:t>
                  </w:r>
                </w:p>
              </w:tc>
              <w:tc>
                <w:tcPr>
                  <w:tcW w:w="1302" w:type="dxa"/>
                  <w:shd w:val="clear" w:color="auto" w:fill="auto"/>
                  <w:vAlign w:val="center"/>
                </w:tcPr>
                <w:p>
                  <w:pPr>
                    <w:jc w:val="center"/>
                  </w:pPr>
                  <w:r>
                    <w:rPr>
                      <w:rFonts w:ascii="Arial" w:hAnsi="Arial" w:eastAsia="Arial" w:cs="Arial"/>
                      <w:sz w:val="20"/>
                    </w:rPr>
                    <w:t>6</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continue"/>
                  <w:shd w:val="clear" w:color="auto" w:fill="auto"/>
                  <w:vAlign w:val="center"/>
                </w:tcPr>
                <w:p>
                  <w:pPr>
                    <w:jc w:val="center"/>
                  </w:pPr>
                </w:p>
              </w:tc>
              <w:tc>
                <w:tcPr>
                  <w:tcW w:w="470" w:type="pct"/>
                  <w:shd w:val="clear" w:color="auto" w:fill="auto"/>
                  <w:vAlign w:val="center"/>
                </w:tcPr>
                <w:p>
                  <w:pPr>
                    <w:jc w:val="center"/>
                    <w:rPr>
                      <w:b w:val="0"/>
                      <w:bCs/>
                    </w:rPr>
                  </w:pPr>
                  <w:r>
                    <w:rPr>
                      <w:rFonts w:ascii="Arial" w:hAnsi="Arial" w:eastAsia="Arial" w:cs="Arial"/>
                      <w:b w:val="0"/>
                      <w:bCs/>
                      <w:sz w:val="20"/>
                    </w:rPr>
                    <w:t>33.4</w:t>
                  </w:r>
                </w:p>
              </w:tc>
              <w:tc>
                <w:tcPr>
                  <w:tcW w:w="470" w:type="pct"/>
                  <w:shd w:val="clear" w:color="auto" w:fill="auto"/>
                  <w:vAlign w:val="center"/>
                </w:tcPr>
                <w:p>
                  <w:pPr>
                    <w:jc w:val="center"/>
                    <w:rPr>
                      <w:b w:val="0"/>
                      <w:bCs/>
                    </w:rPr>
                  </w:pPr>
                  <w:r>
                    <w:rPr>
                      <w:rFonts w:ascii="Arial" w:hAnsi="Arial" w:eastAsia="Arial" w:cs="Arial"/>
                      <w:b w:val="0"/>
                      <w:bCs/>
                      <w:sz w:val="20"/>
                    </w:rPr>
                    <w:t>-4.9</w:t>
                  </w:r>
                </w:p>
              </w:tc>
              <w:tc>
                <w:tcPr>
                  <w:tcW w:w="471" w:type="pct"/>
                  <w:shd w:val="clear" w:color="auto" w:fill="auto"/>
                  <w:vAlign w:val="center"/>
                </w:tcPr>
                <w:p>
                  <w:pPr>
                    <w:jc w:val="center"/>
                    <w:rPr>
                      <w:b w:val="0"/>
                      <w:bCs/>
                    </w:rPr>
                  </w:pPr>
                  <w:r>
                    <w:rPr>
                      <w:rFonts w:ascii="Arial" w:hAnsi="Arial" w:eastAsia="Arial" w:cs="Arial"/>
                      <w:b w:val="0"/>
                      <w:bCs/>
                      <w:sz w:val="20"/>
                    </w:rPr>
                    <w:t>1.2</w:t>
                  </w:r>
                </w:p>
              </w:tc>
              <w:tc>
                <w:tcPr>
                  <w:tcW w:w="582" w:type="pct"/>
                  <w:shd w:val="clear" w:color="auto" w:fill="auto"/>
                  <w:vAlign w:val="center"/>
                </w:tcPr>
                <w:p>
                  <w:pPr>
                    <w:jc w:val="center"/>
                  </w:pPr>
                  <w:r>
                    <w:rPr>
                      <w:rFonts w:ascii="Arial" w:hAnsi="Arial" w:eastAsia="Arial" w:cs="Arial"/>
                      <w:sz w:val="20"/>
                    </w:rPr>
                    <w:t>夜间</w:t>
                  </w:r>
                </w:p>
              </w:tc>
              <w:tc>
                <w:tcPr>
                  <w:tcW w:w="1302" w:type="dxa"/>
                  <w:shd w:val="clear" w:color="auto" w:fill="auto"/>
                  <w:vAlign w:val="center"/>
                </w:tcPr>
                <w:p>
                  <w:pPr>
                    <w:jc w:val="center"/>
                    <w:rPr>
                      <w:b w:val="0"/>
                      <w:bCs/>
                    </w:rPr>
                  </w:pPr>
                  <w:r>
                    <w:rPr>
                      <w:rFonts w:ascii="Arial" w:hAnsi="Arial" w:eastAsia="Arial" w:cs="Arial"/>
                      <w:b w:val="0"/>
                      <w:bCs/>
                      <w:sz w:val="20"/>
                    </w:rPr>
                    <w:t>39.6</w:t>
                  </w:r>
                </w:p>
              </w:tc>
              <w:tc>
                <w:tcPr>
                  <w:tcW w:w="1302" w:type="dxa"/>
                  <w:shd w:val="clear" w:color="auto" w:fill="auto"/>
                  <w:vAlign w:val="center"/>
                </w:tcPr>
                <w:p>
                  <w:pPr>
                    <w:jc w:val="center"/>
                  </w:pPr>
                  <w:r>
                    <w:rPr>
                      <w:rFonts w:ascii="Arial" w:hAnsi="Arial" w:eastAsia="Arial" w:cs="Arial"/>
                      <w:sz w:val="20"/>
                    </w:rPr>
                    <w:t>5</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restart"/>
                  <w:shd w:val="clear" w:color="auto" w:fill="auto"/>
                  <w:vAlign w:val="center"/>
                </w:tcPr>
                <w:p>
                  <w:pPr>
                    <w:jc w:val="center"/>
                  </w:pPr>
                  <w:r>
                    <w:rPr>
                      <w:rFonts w:ascii="Arial" w:hAnsi="Arial" w:eastAsia="Arial" w:cs="Arial"/>
                      <w:sz w:val="20"/>
                    </w:rPr>
                    <w:t>西侧</w:t>
                  </w:r>
                </w:p>
              </w:tc>
              <w:tc>
                <w:tcPr>
                  <w:tcW w:w="470" w:type="pct"/>
                  <w:shd w:val="clear" w:color="auto" w:fill="auto"/>
                  <w:vAlign w:val="center"/>
                </w:tcPr>
                <w:p>
                  <w:pPr>
                    <w:jc w:val="center"/>
                  </w:pPr>
                  <w:r>
                    <w:rPr>
                      <w:rFonts w:ascii="Arial" w:hAnsi="Arial" w:eastAsia="Arial" w:cs="Arial"/>
                      <w:sz w:val="20"/>
                    </w:rPr>
                    <w:t>6.6</w:t>
                  </w:r>
                </w:p>
              </w:tc>
              <w:tc>
                <w:tcPr>
                  <w:tcW w:w="470" w:type="pct"/>
                  <w:shd w:val="clear" w:color="auto" w:fill="auto"/>
                  <w:vAlign w:val="center"/>
                </w:tcPr>
                <w:p>
                  <w:pPr>
                    <w:jc w:val="center"/>
                  </w:pPr>
                  <w:r>
                    <w:rPr>
                      <w:rFonts w:ascii="Arial" w:hAnsi="Arial" w:eastAsia="Arial" w:cs="Arial"/>
                      <w:sz w:val="20"/>
                    </w:rPr>
                    <w:t>-35.5</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昼间</w:t>
                  </w:r>
                </w:p>
              </w:tc>
              <w:tc>
                <w:tcPr>
                  <w:tcW w:w="1302" w:type="dxa"/>
                  <w:shd w:val="clear" w:color="auto" w:fill="auto"/>
                  <w:vAlign w:val="center"/>
                </w:tcPr>
                <w:p>
                  <w:pPr>
                    <w:jc w:val="center"/>
                  </w:pPr>
                  <w:r>
                    <w:rPr>
                      <w:rFonts w:ascii="Arial" w:hAnsi="Arial" w:eastAsia="Arial" w:cs="Arial"/>
                      <w:sz w:val="20"/>
                    </w:rPr>
                    <w:t>34.9</w:t>
                  </w:r>
                </w:p>
              </w:tc>
              <w:tc>
                <w:tcPr>
                  <w:tcW w:w="1302" w:type="dxa"/>
                  <w:shd w:val="clear" w:color="auto" w:fill="auto"/>
                  <w:vAlign w:val="center"/>
                </w:tcPr>
                <w:p>
                  <w:pPr>
                    <w:jc w:val="center"/>
                  </w:pPr>
                  <w:r>
                    <w:rPr>
                      <w:rFonts w:ascii="Arial" w:hAnsi="Arial" w:eastAsia="Arial" w:cs="Arial"/>
                      <w:sz w:val="20"/>
                    </w:rPr>
                    <w:t>6</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continue"/>
                  <w:shd w:val="clear" w:color="auto" w:fill="auto"/>
                  <w:vAlign w:val="center"/>
                </w:tcPr>
                <w:p>
                  <w:pPr>
                    <w:jc w:val="center"/>
                  </w:pPr>
                </w:p>
              </w:tc>
              <w:tc>
                <w:tcPr>
                  <w:tcW w:w="470" w:type="pct"/>
                  <w:shd w:val="clear" w:color="auto" w:fill="auto"/>
                  <w:vAlign w:val="center"/>
                </w:tcPr>
                <w:p>
                  <w:pPr>
                    <w:jc w:val="center"/>
                  </w:pPr>
                  <w:r>
                    <w:rPr>
                      <w:rFonts w:ascii="Arial" w:hAnsi="Arial" w:eastAsia="Arial" w:cs="Arial"/>
                      <w:sz w:val="20"/>
                    </w:rPr>
                    <w:t>6.6</w:t>
                  </w:r>
                </w:p>
              </w:tc>
              <w:tc>
                <w:tcPr>
                  <w:tcW w:w="470" w:type="pct"/>
                  <w:shd w:val="clear" w:color="auto" w:fill="auto"/>
                  <w:vAlign w:val="center"/>
                </w:tcPr>
                <w:p>
                  <w:pPr>
                    <w:jc w:val="center"/>
                  </w:pPr>
                  <w:r>
                    <w:rPr>
                      <w:rFonts w:ascii="Arial" w:hAnsi="Arial" w:eastAsia="Arial" w:cs="Arial"/>
                      <w:sz w:val="20"/>
                    </w:rPr>
                    <w:t>-35.5</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夜间</w:t>
                  </w:r>
                </w:p>
              </w:tc>
              <w:tc>
                <w:tcPr>
                  <w:tcW w:w="1302" w:type="dxa"/>
                  <w:shd w:val="clear" w:color="auto" w:fill="auto"/>
                  <w:vAlign w:val="center"/>
                </w:tcPr>
                <w:p>
                  <w:pPr>
                    <w:jc w:val="center"/>
                  </w:pPr>
                  <w:r>
                    <w:rPr>
                      <w:rFonts w:ascii="Arial" w:hAnsi="Arial" w:eastAsia="Arial" w:cs="Arial"/>
                      <w:sz w:val="20"/>
                    </w:rPr>
                    <w:t>34.9</w:t>
                  </w:r>
                </w:p>
              </w:tc>
              <w:tc>
                <w:tcPr>
                  <w:tcW w:w="1302" w:type="dxa"/>
                  <w:shd w:val="clear" w:color="auto" w:fill="auto"/>
                  <w:vAlign w:val="center"/>
                </w:tcPr>
                <w:p>
                  <w:pPr>
                    <w:jc w:val="center"/>
                  </w:pPr>
                  <w:r>
                    <w:rPr>
                      <w:rFonts w:ascii="Arial" w:hAnsi="Arial" w:eastAsia="Arial" w:cs="Arial"/>
                      <w:sz w:val="20"/>
                    </w:rPr>
                    <w:t>5</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restart"/>
                  <w:shd w:val="clear" w:color="auto" w:fill="auto"/>
                  <w:vAlign w:val="center"/>
                </w:tcPr>
                <w:p>
                  <w:pPr>
                    <w:jc w:val="center"/>
                  </w:pPr>
                  <w:r>
                    <w:rPr>
                      <w:rFonts w:ascii="Arial" w:hAnsi="Arial" w:eastAsia="Arial" w:cs="Arial"/>
                      <w:sz w:val="20"/>
                    </w:rPr>
                    <w:t>北侧</w:t>
                  </w:r>
                </w:p>
              </w:tc>
              <w:tc>
                <w:tcPr>
                  <w:tcW w:w="470" w:type="pct"/>
                  <w:shd w:val="clear" w:color="auto" w:fill="auto"/>
                  <w:vAlign w:val="center"/>
                </w:tcPr>
                <w:p>
                  <w:pPr>
                    <w:jc w:val="center"/>
                  </w:pPr>
                  <w:r>
                    <w:rPr>
                      <w:rFonts w:ascii="Arial" w:hAnsi="Arial" w:eastAsia="Arial" w:cs="Arial"/>
                      <w:sz w:val="20"/>
                    </w:rPr>
                    <w:t>-43.3</w:t>
                  </w:r>
                </w:p>
              </w:tc>
              <w:tc>
                <w:tcPr>
                  <w:tcW w:w="470" w:type="pct"/>
                  <w:shd w:val="clear" w:color="auto" w:fill="auto"/>
                  <w:vAlign w:val="center"/>
                </w:tcPr>
                <w:p>
                  <w:pPr>
                    <w:jc w:val="center"/>
                  </w:pPr>
                  <w:r>
                    <w:rPr>
                      <w:rFonts w:ascii="Arial" w:hAnsi="Arial" w:eastAsia="Arial" w:cs="Arial"/>
                      <w:sz w:val="20"/>
                    </w:rPr>
                    <w:t>62.5</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昼间</w:t>
                  </w:r>
                </w:p>
              </w:tc>
              <w:tc>
                <w:tcPr>
                  <w:tcW w:w="1302" w:type="dxa"/>
                  <w:shd w:val="clear" w:color="auto" w:fill="auto"/>
                  <w:vAlign w:val="center"/>
                </w:tcPr>
                <w:p>
                  <w:pPr>
                    <w:jc w:val="center"/>
                  </w:pPr>
                  <w:r>
                    <w:rPr>
                      <w:rFonts w:ascii="Arial" w:hAnsi="Arial" w:eastAsia="Arial" w:cs="Arial"/>
                      <w:sz w:val="20"/>
                    </w:rPr>
                    <w:t>15.8</w:t>
                  </w:r>
                </w:p>
              </w:tc>
              <w:tc>
                <w:tcPr>
                  <w:tcW w:w="1302" w:type="dxa"/>
                  <w:shd w:val="clear" w:color="auto" w:fill="auto"/>
                  <w:vAlign w:val="center"/>
                </w:tcPr>
                <w:p>
                  <w:pPr>
                    <w:jc w:val="center"/>
                  </w:pPr>
                  <w:r>
                    <w:rPr>
                      <w:rFonts w:ascii="Arial" w:hAnsi="Arial" w:eastAsia="Arial" w:cs="Arial"/>
                      <w:sz w:val="20"/>
                    </w:rPr>
                    <w:t>6</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645" w:type="pct"/>
                  <w:vMerge w:val="continue"/>
                  <w:shd w:val="clear" w:color="auto" w:fill="auto"/>
                  <w:vAlign w:val="center"/>
                </w:tcPr>
                <w:p>
                  <w:pPr>
                    <w:jc w:val="center"/>
                  </w:pPr>
                </w:p>
              </w:tc>
              <w:tc>
                <w:tcPr>
                  <w:tcW w:w="470" w:type="pct"/>
                  <w:shd w:val="clear" w:color="auto" w:fill="auto"/>
                  <w:vAlign w:val="center"/>
                </w:tcPr>
                <w:p>
                  <w:pPr>
                    <w:jc w:val="center"/>
                  </w:pPr>
                  <w:r>
                    <w:rPr>
                      <w:rFonts w:ascii="Arial" w:hAnsi="Arial" w:eastAsia="Arial" w:cs="Arial"/>
                      <w:sz w:val="20"/>
                    </w:rPr>
                    <w:t>-43.3</w:t>
                  </w:r>
                </w:p>
              </w:tc>
              <w:tc>
                <w:tcPr>
                  <w:tcW w:w="470" w:type="pct"/>
                  <w:shd w:val="clear" w:color="auto" w:fill="auto"/>
                  <w:vAlign w:val="center"/>
                </w:tcPr>
                <w:p>
                  <w:pPr>
                    <w:jc w:val="center"/>
                  </w:pPr>
                  <w:r>
                    <w:rPr>
                      <w:rFonts w:ascii="Arial" w:hAnsi="Arial" w:eastAsia="Arial" w:cs="Arial"/>
                      <w:sz w:val="20"/>
                    </w:rPr>
                    <w:t>62.5</w:t>
                  </w:r>
                </w:p>
              </w:tc>
              <w:tc>
                <w:tcPr>
                  <w:tcW w:w="471" w:type="pct"/>
                  <w:shd w:val="clear" w:color="auto" w:fill="auto"/>
                  <w:vAlign w:val="center"/>
                </w:tcPr>
                <w:p>
                  <w:pPr>
                    <w:jc w:val="center"/>
                  </w:pPr>
                  <w:r>
                    <w:rPr>
                      <w:rFonts w:ascii="Arial" w:hAnsi="Arial" w:eastAsia="Arial" w:cs="Arial"/>
                      <w:sz w:val="20"/>
                    </w:rPr>
                    <w:t>1.2</w:t>
                  </w:r>
                </w:p>
              </w:tc>
              <w:tc>
                <w:tcPr>
                  <w:tcW w:w="582" w:type="pct"/>
                  <w:shd w:val="clear" w:color="auto" w:fill="auto"/>
                  <w:vAlign w:val="center"/>
                </w:tcPr>
                <w:p>
                  <w:pPr>
                    <w:jc w:val="center"/>
                  </w:pPr>
                  <w:r>
                    <w:rPr>
                      <w:rFonts w:ascii="Arial" w:hAnsi="Arial" w:eastAsia="Arial" w:cs="Arial"/>
                      <w:sz w:val="20"/>
                    </w:rPr>
                    <w:t>夜间</w:t>
                  </w:r>
                </w:p>
              </w:tc>
              <w:tc>
                <w:tcPr>
                  <w:tcW w:w="1302" w:type="dxa"/>
                  <w:shd w:val="clear" w:color="auto" w:fill="auto"/>
                  <w:vAlign w:val="center"/>
                </w:tcPr>
                <w:p>
                  <w:pPr>
                    <w:jc w:val="center"/>
                  </w:pPr>
                  <w:r>
                    <w:rPr>
                      <w:rFonts w:ascii="Arial" w:hAnsi="Arial" w:eastAsia="Arial" w:cs="Arial"/>
                      <w:sz w:val="20"/>
                    </w:rPr>
                    <w:t>15.8</w:t>
                  </w:r>
                </w:p>
              </w:tc>
              <w:tc>
                <w:tcPr>
                  <w:tcW w:w="1302" w:type="dxa"/>
                  <w:shd w:val="clear" w:color="auto" w:fill="auto"/>
                  <w:vAlign w:val="center"/>
                </w:tcPr>
                <w:p>
                  <w:pPr>
                    <w:jc w:val="center"/>
                  </w:pPr>
                  <w:r>
                    <w:rPr>
                      <w:rFonts w:ascii="Arial" w:hAnsi="Arial" w:eastAsia="Arial" w:cs="Arial"/>
                      <w:sz w:val="20"/>
                    </w:rPr>
                    <w:t>5</w:t>
                  </w:r>
                  <w:r>
                    <w:rPr>
                      <w:rFonts w:hint="eastAsia" w:ascii="Arial" w:hAnsi="Arial" w:eastAsia="宋体" w:cs="Arial"/>
                      <w:sz w:val="20"/>
                      <w:lang w:val="en-US" w:eastAsia="zh-CN"/>
                    </w:rPr>
                    <w:t>5</w:t>
                  </w:r>
                </w:p>
              </w:tc>
              <w:tc>
                <w:tcPr>
                  <w:tcW w:w="696" w:type="pct"/>
                  <w:shd w:val="clear" w:color="auto" w:fill="auto"/>
                  <w:vAlign w:val="center"/>
                </w:tcPr>
                <w:p>
                  <w:pPr>
                    <w:jc w:val="center"/>
                  </w:pPr>
                  <w:r>
                    <w:rPr>
                      <w:rFonts w:ascii="Arial" w:hAnsi="Arial" w:eastAsia="Arial" w:cs="Arial"/>
                      <w:sz w:val="20"/>
                    </w:rPr>
                    <w:t>达标</w:t>
                  </w:r>
                </w:p>
              </w:tc>
            </w:tr>
          </w:tbl>
          <w:p>
            <w:pPr>
              <w:pStyle w:val="44"/>
              <w:bidi w:val="0"/>
              <w:ind w:left="0" w:leftChars="0" w:firstLine="0" w:firstLineChars="0"/>
              <w:rPr>
                <w:rFonts w:hint="eastAsia"/>
                <w:sz w:val="21"/>
                <w:szCs w:val="21"/>
                <w:highlight w:val="none"/>
              </w:rPr>
            </w:pPr>
            <w:r>
              <w:rPr>
                <w:rFonts w:hint="eastAsia"/>
                <w:sz w:val="21"/>
                <w:szCs w:val="21"/>
                <w:highlight w:val="none"/>
                <w:lang w:val="en-US" w:eastAsia="zh-CN"/>
              </w:rPr>
              <w:t>注：表中坐标以厂界中心（</w:t>
            </w:r>
            <w:bookmarkStart w:id="5" w:name="PO_4"/>
            <w:r>
              <w:rPr>
                <w:rFonts w:hint="eastAsia"/>
                <w:sz w:val="21"/>
                <w:szCs w:val="21"/>
                <w:highlight w:val="none"/>
                <w:lang w:val="en-US" w:eastAsia="zh-CN"/>
              </w:rPr>
              <w:t>86.6049652，42.042419</w:t>
            </w:r>
            <w:bookmarkEnd w:id="5"/>
            <w:r>
              <w:rPr>
                <w:rFonts w:hint="eastAsia"/>
                <w:sz w:val="21"/>
                <w:szCs w:val="21"/>
                <w:highlight w:val="none"/>
                <w:lang w:val="en-US" w:eastAsia="zh-CN"/>
              </w:rPr>
              <w:t>）为坐标原点，正东向为X轴正方向，正北向为Y轴正方向。</w:t>
            </w:r>
          </w:p>
          <w:p>
            <w:pPr>
              <w:pStyle w:val="44"/>
              <w:bidi w:val="0"/>
              <w:rPr>
                <w:rFonts w:hint="default" w:eastAsia="宋体"/>
                <w:highlight w:val="none"/>
                <w:lang w:val="en-US" w:eastAsia="zh-CN"/>
              </w:rPr>
            </w:pPr>
            <w:r>
              <w:rPr>
                <w:rFonts w:hint="eastAsia"/>
                <w:highlight w:val="none"/>
              </w:rPr>
              <w:t>根据上表预测结果可知，通过采取减振、隔声等措施，再经距离衰减隔离后，对厂界的噪声贡献值较小，营运期厂界昼间噪声</w:t>
            </w:r>
            <w:r>
              <w:rPr>
                <w:rFonts w:hint="eastAsia"/>
                <w:highlight w:val="none"/>
                <w:lang w:val="en-US" w:eastAsia="zh-CN"/>
              </w:rPr>
              <w:t>预测</w:t>
            </w:r>
            <w:r>
              <w:rPr>
                <w:rFonts w:hint="eastAsia"/>
                <w:highlight w:val="none"/>
              </w:rPr>
              <w:t>值能满足《工业企业厂界环境噪声排放标准》</w:t>
            </w:r>
            <w:r>
              <w:rPr>
                <w:rFonts w:hint="eastAsia"/>
                <w:highlight w:val="none"/>
                <w:lang w:eastAsia="zh-CN"/>
              </w:rPr>
              <w:t>（</w:t>
            </w:r>
            <w:r>
              <w:rPr>
                <w:rFonts w:hint="eastAsia"/>
                <w:highlight w:val="none"/>
              </w:rPr>
              <w:t>GB12348-2008</w:t>
            </w:r>
            <w:r>
              <w:rPr>
                <w:rFonts w:hint="eastAsia"/>
                <w:highlight w:val="none"/>
                <w:lang w:eastAsia="zh-CN"/>
              </w:rPr>
              <w:t>）</w:t>
            </w:r>
            <w:r>
              <w:rPr>
                <w:rFonts w:hint="eastAsia"/>
                <w:highlight w:val="none"/>
                <w:lang w:val="en-US" w:eastAsia="zh-CN"/>
              </w:rPr>
              <w:t>3</w:t>
            </w:r>
            <w:r>
              <w:rPr>
                <w:rFonts w:hint="eastAsia"/>
                <w:highlight w:val="none"/>
              </w:rPr>
              <w:t>类标准，即昼间&lt;6</w:t>
            </w:r>
            <w:r>
              <w:rPr>
                <w:rFonts w:hint="eastAsia"/>
                <w:highlight w:val="none"/>
                <w:lang w:val="en-US" w:eastAsia="zh-CN"/>
              </w:rPr>
              <w:t>5</w:t>
            </w:r>
            <w:r>
              <w:rPr>
                <w:rFonts w:hint="eastAsia"/>
                <w:highlight w:val="none"/>
              </w:rPr>
              <w:t>dB，夜间≤5</w:t>
            </w:r>
            <w:r>
              <w:rPr>
                <w:rFonts w:hint="eastAsia"/>
                <w:highlight w:val="none"/>
                <w:lang w:val="en-US" w:eastAsia="zh-CN"/>
              </w:rPr>
              <w:t>5</w:t>
            </w:r>
            <w:r>
              <w:rPr>
                <w:rFonts w:hint="eastAsia"/>
                <w:highlight w:val="none"/>
              </w:rPr>
              <w:t>dB</w:t>
            </w:r>
            <w:r>
              <w:rPr>
                <w:rFonts w:hint="eastAsia"/>
                <w:highlight w:val="none"/>
                <w:lang w:eastAsia="zh-CN"/>
              </w:rPr>
              <w:t>，</w:t>
            </w:r>
            <w:r>
              <w:rPr>
                <w:rFonts w:hint="eastAsia"/>
                <w:highlight w:val="none"/>
                <w:lang w:val="en-US" w:eastAsia="zh-CN"/>
              </w:rPr>
              <w:t>项目所在地周边200m范围内无集中居民居住区、医院、学校等声环境敏感保护目标，对周边声环境影响不大。</w:t>
            </w:r>
          </w:p>
          <w:p>
            <w:pPr>
              <w:pStyle w:val="44"/>
              <w:bidi w:val="0"/>
              <w:rPr>
                <w:rFonts w:hint="eastAsia"/>
                <w:highlight w:val="none"/>
              </w:rPr>
            </w:pPr>
            <w:r>
              <w:rPr>
                <w:rFonts w:hint="eastAsia"/>
                <w:highlight w:val="none"/>
                <w:lang w:val="en-US" w:eastAsia="zh-CN"/>
              </w:rPr>
              <w:t>3.3</w:t>
            </w:r>
            <w:r>
              <w:rPr>
                <w:rFonts w:hint="eastAsia"/>
                <w:highlight w:val="none"/>
              </w:rPr>
              <w:t>噪声控制措施</w:t>
            </w:r>
          </w:p>
          <w:p>
            <w:pPr>
              <w:pStyle w:val="44"/>
              <w:bidi w:val="0"/>
              <w:rPr>
                <w:rFonts w:hint="eastAsia"/>
                <w:highlight w:val="none"/>
              </w:rPr>
            </w:pPr>
            <w:r>
              <w:rPr>
                <w:rFonts w:hint="eastAsia"/>
                <w:highlight w:val="none"/>
              </w:rPr>
              <w:t>建设单位</w:t>
            </w:r>
            <w:r>
              <w:rPr>
                <w:rFonts w:hint="eastAsia"/>
                <w:highlight w:val="none"/>
                <w:lang w:val="en-US" w:eastAsia="zh-CN"/>
              </w:rPr>
              <w:t>应</w:t>
            </w:r>
            <w:r>
              <w:rPr>
                <w:rFonts w:hint="eastAsia"/>
                <w:highlight w:val="none"/>
              </w:rPr>
              <w:t>采取以下</w:t>
            </w:r>
            <w:r>
              <w:rPr>
                <w:rFonts w:hint="eastAsia"/>
                <w:highlight w:val="none"/>
                <w:lang w:val="en-US" w:eastAsia="zh-CN"/>
              </w:rPr>
              <w:t>噪声</w:t>
            </w:r>
            <w:r>
              <w:rPr>
                <w:rFonts w:hint="eastAsia"/>
                <w:highlight w:val="none"/>
              </w:rPr>
              <w:t>防治措施以减少噪声对项目区声环境、工作人员的影响：</w:t>
            </w:r>
          </w:p>
          <w:p>
            <w:pPr>
              <w:pStyle w:val="44"/>
              <w:bidi w:val="0"/>
              <w:rPr>
                <w:rFonts w:hint="eastAsia"/>
                <w:highlight w:val="none"/>
              </w:rPr>
            </w:pPr>
            <w:r>
              <w:rPr>
                <w:rFonts w:hint="eastAsia"/>
                <w:highlight w:val="none"/>
              </w:rPr>
              <w:t>①选择高效、低噪声设备，合理布置声源。高噪声源设备均设置在专用房间内合理分布，避免集中放置，充分利用厂内建筑物的隔声作用，减轻设备对周围环境的影响。</w:t>
            </w:r>
          </w:p>
          <w:p>
            <w:pPr>
              <w:pStyle w:val="44"/>
              <w:bidi w:val="0"/>
              <w:rPr>
                <w:rFonts w:hint="eastAsia" w:ascii="宋体" w:hAnsi="宋体" w:eastAsia="宋体" w:cs="宋体"/>
                <w:color w:val="auto"/>
                <w:szCs w:val="24"/>
                <w:highlight w:val="none"/>
              </w:rPr>
            </w:pPr>
            <w:r>
              <w:rPr>
                <w:rFonts w:hint="eastAsia"/>
                <w:highlight w:val="none"/>
                <w:lang w:eastAsia="zh-CN"/>
              </w:rPr>
              <w:t>②</w:t>
            </w:r>
            <w:r>
              <w:rPr>
                <w:rFonts w:hint="eastAsia"/>
                <w:highlight w:val="none"/>
              </w:rPr>
              <w:t>产生噪声的机电设备与地面柔性连接，设置隔振基础</w:t>
            </w:r>
            <w:r>
              <w:rPr>
                <w:rFonts w:hint="eastAsia" w:ascii="宋体" w:hAnsi="宋体" w:eastAsia="宋体" w:cs="宋体"/>
                <w:color w:val="auto"/>
                <w:szCs w:val="24"/>
                <w:highlight w:val="none"/>
              </w:rPr>
              <w:t>。</w:t>
            </w:r>
          </w:p>
          <w:p>
            <w:pPr>
              <w:pStyle w:val="44"/>
              <w:bidi w:val="0"/>
              <w:rPr>
                <w:rFonts w:hint="eastAsia"/>
                <w:highlight w:val="none"/>
                <w:lang w:eastAsia="zh-CN"/>
              </w:rPr>
            </w:pPr>
            <w:r>
              <w:rPr>
                <w:rFonts w:hint="eastAsia"/>
                <w:highlight w:val="none"/>
              </w:rPr>
              <w:t>③</w:t>
            </w:r>
            <w:r>
              <w:rPr>
                <w:rFonts w:hint="eastAsia"/>
                <w:highlight w:val="none"/>
                <w:lang w:val="en-US" w:eastAsia="zh-CN"/>
              </w:rPr>
              <w:t>除尘</w:t>
            </w:r>
            <w:r>
              <w:rPr>
                <w:rFonts w:hint="eastAsia"/>
                <w:highlight w:val="none"/>
              </w:rPr>
              <w:t>风机排风口外安装消声器，内置消声插片，使噪声在通过特殊构造的消声器时削减。消声器是降低空气动力设备进、排气口辐射或沿管传递噪声的有效措施</w:t>
            </w:r>
            <w:r>
              <w:rPr>
                <w:rFonts w:hint="eastAsia"/>
                <w:highlight w:val="none"/>
                <w:lang w:eastAsia="zh-CN"/>
              </w:rPr>
              <w:t>。</w:t>
            </w:r>
          </w:p>
          <w:p>
            <w:pPr>
              <w:pStyle w:val="44"/>
              <w:bidi w:val="0"/>
              <w:rPr>
                <w:rFonts w:hint="eastAsia"/>
                <w:highlight w:val="none"/>
                <w:lang w:eastAsia="zh-CN"/>
              </w:rPr>
            </w:pPr>
            <w:r>
              <w:rPr>
                <w:rFonts w:hint="eastAsia"/>
                <w:highlight w:val="none"/>
                <w:lang w:val="en-US" w:eastAsia="zh-CN"/>
              </w:rPr>
              <w:t>④加强管理，建立设备定期维护、保养管理制度，定期对运行设备进行检修和维护，保持设备正常运行，以防止设备故障形成的非正常生产噪声，杜绝因设备不正常运转时产生的高噪声现象，同时确保环保措施发挥最佳效用；加强职工环保意识教育，倡导文明生产，减少人为噪声。</w:t>
            </w:r>
          </w:p>
          <w:p>
            <w:pPr>
              <w:pStyle w:val="44"/>
              <w:bidi w:val="0"/>
              <w:rPr>
                <w:rFonts w:hint="eastAsia"/>
                <w:highlight w:val="none"/>
              </w:rPr>
            </w:pPr>
            <w:r>
              <w:rPr>
                <w:rFonts w:hint="eastAsia"/>
                <w:highlight w:val="none"/>
              </w:rPr>
              <w:t>综上所述，</w:t>
            </w:r>
            <w:r>
              <w:rPr>
                <w:rFonts w:hint="eastAsia"/>
                <w:highlight w:val="none"/>
                <w:lang w:val="en-US" w:eastAsia="zh-CN"/>
              </w:rPr>
              <w:t>建设单位</w:t>
            </w:r>
            <w:r>
              <w:rPr>
                <w:rFonts w:hint="eastAsia"/>
                <w:highlight w:val="none"/>
              </w:rPr>
              <w:t>在</w:t>
            </w:r>
            <w:r>
              <w:rPr>
                <w:rFonts w:hint="eastAsia"/>
                <w:highlight w:val="none"/>
                <w:lang w:val="en-US" w:eastAsia="zh-CN"/>
              </w:rPr>
              <w:t>运营</w:t>
            </w:r>
            <w:r>
              <w:rPr>
                <w:rFonts w:hint="eastAsia"/>
                <w:highlight w:val="none"/>
              </w:rPr>
              <w:t>过程中应加强设备机械的维修保养，保持其良好的运行效果</w:t>
            </w:r>
            <w:r>
              <w:rPr>
                <w:rFonts w:hint="eastAsia"/>
                <w:highlight w:val="none"/>
                <w:lang w:eastAsia="zh-CN"/>
              </w:rPr>
              <w:t>，</w:t>
            </w:r>
            <w:r>
              <w:rPr>
                <w:rFonts w:hint="eastAsia"/>
                <w:highlight w:val="none"/>
              </w:rPr>
              <w:t>确保厂界噪声</w:t>
            </w:r>
            <w:r>
              <w:rPr>
                <w:rFonts w:hint="eastAsia"/>
                <w:highlight w:val="none"/>
                <w:lang w:val="en-US" w:eastAsia="zh-CN"/>
              </w:rPr>
              <w:t>稳定</w:t>
            </w:r>
            <w:r>
              <w:rPr>
                <w:rFonts w:hint="eastAsia"/>
                <w:highlight w:val="none"/>
              </w:rPr>
              <w:t>达标，不</w:t>
            </w:r>
            <w:r>
              <w:rPr>
                <w:rFonts w:hint="eastAsia"/>
                <w:highlight w:val="none"/>
                <w:lang w:eastAsia="zh-CN"/>
              </w:rPr>
              <w:t>对</w:t>
            </w:r>
            <w:r>
              <w:rPr>
                <w:rFonts w:hint="eastAsia"/>
                <w:highlight w:val="none"/>
              </w:rPr>
              <w:t>周边</w:t>
            </w:r>
            <w:r>
              <w:rPr>
                <w:rFonts w:hint="eastAsia"/>
                <w:highlight w:val="none"/>
                <w:lang w:val="en-US" w:eastAsia="zh-CN"/>
              </w:rPr>
              <w:t>声</w:t>
            </w:r>
            <w:r>
              <w:rPr>
                <w:rFonts w:hint="eastAsia"/>
                <w:highlight w:val="none"/>
              </w:rPr>
              <w:t>环境</w:t>
            </w:r>
            <w:r>
              <w:rPr>
                <w:rFonts w:hint="eastAsia"/>
                <w:highlight w:val="none"/>
                <w:lang w:val="en-US" w:eastAsia="zh-CN"/>
              </w:rPr>
              <w:t>质量产生不利</w:t>
            </w:r>
            <w:r>
              <w:rPr>
                <w:rFonts w:hint="eastAsia"/>
                <w:highlight w:val="none"/>
              </w:rPr>
              <w:t>影响。</w:t>
            </w:r>
          </w:p>
          <w:p>
            <w:pPr>
              <w:pStyle w:val="44"/>
              <w:bidi w:val="0"/>
              <w:rPr>
                <w:rFonts w:hint="eastAsia"/>
                <w:highlight w:val="none"/>
              </w:rPr>
            </w:pPr>
            <w:r>
              <w:rPr>
                <w:rFonts w:hint="eastAsia"/>
                <w:highlight w:val="none"/>
                <w:lang w:val="en-US" w:eastAsia="zh-CN"/>
              </w:rPr>
              <w:t>3.4</w:t>
            </w:r>
            <w:r>
              <w:rPr>
                <w:rFonts w:hint="eastAsia"/>
                <w:highlight w:val="none"/>
              </w:rPr>
              <w:t>监测计划</w:t>
            </w:r>
          </w:p>
          <w:p>
            <w:pPr>
              <w:pStyle w:val="44"/>
              <w:bidi w:val="0"/>
              <w:rPr>
                <w:rFonts w:hint="eastAsia"/>
                <w:highlight w:val="none"/>
              </w:rPr>
            </w:pPr>
            <w:r>
              <w:rPr>
                <w:rFonts w:hint="eastAsia"/>
                <w:highlight w:val="none"/>
              </w:rPr>
              <w:t>根据《排污单位自行监测技术指南总则》</w:t>
            </w:r>
            <w:r>
              <w:rPr>
                <w:rFonts w:hint="eastAsia"/>
                <w:highlight w:val="none"/>
                <w:lang w:eastAsia="zh-CN"/>
              </w:rPr>
              <w:t>（</w:t>
            </w:r>
            <w:r>
              <w:rPr>
                <w:rFonts w:hint="eastAsia"/>
                <w:highlight w:val="none"/>
              </w:rPr>
              <w:t>HJ819-2017</w:t>
            </w:r>
            <w:r>
              <w:rPr>
                <w:rFonts w:hint="eastAsia"/>
                <w:highlight w:val="none"/>
                <w:lang w:eastAsia="zh-CN"/>
              </w:rPr>
              <w:t>）、《排污单位自行监测技术指南水泥工业》（HJ848-2017）</w:t>
            </w:r>
            <w:r>
              <w:rPr>
                <w:rFonts w:hint="eastAsia"/>
                <w:highlight w:val="none"/>
              </w:rPr>
              <w:t>相关要求，制定本项目噪声监测计划如下。</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表4-13  项目运营期噪声监测计划一览表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161"/>
              <w:gridCol w:w="1263"/>
              <w:gridCol w:w="1127"/>
              <w:gridCol w:w="3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1" w:type="pct"/>
                  <w:tcBorders>
                    <w:tl2br w:val="nil"/>
                    <w:tr2bl w:val="nil"/>
                  </w:tcBorders>
                  <w:noWrap/>
                  <w:vAlign w:val="center"/>
                </w:tcPr>
                <w:p>
                  <w:pPr>
                    <w:pStyle w:val="30"/>
                    <w:bidi w:val="0"/>
                    <w:rPr>
                      <w:rFonts w:hint="eastAsia"/>
                      <w:highlight w:val="none"/>
                    </w:rPr>
                  </w:pPr>
                  <w:r>
                    <w:rPr>
                      <w:rFonts w:hint="eastAsia"/>
                      <w:highlight w:val="none"/>
                    </w:rPr>
                    <w:t>类别</w:t>
                  </w:r>
                </w:p>
              </w:tc>
              <w:tc>
                <w:tcPr>
                  <w:tcW w:w="741" w:type="pct"/>
                  <w:tcBorders>
                    <w:tl2br w:val="nil"/>
                    <w:tr2bl w:val="nil"/>
                  </w:tcBorders>
                  <w:noWrap/>
                  <w:vAlign w:val="center"/>
                </w:tcPr>
                <w:p>
                  <w:pPr>
                    <w:pStyle w:val="30"/>
                    <w:bidi w:val="0"/>
                    <w:rPr>
                      <w:rFonts w:hint="eastAsia"/>
                      <w:highlight w:val="none"/>
                    </w:rPr>
                  </w:pPr>
                  <w:r>
                    <w:rPr>
                      <w:rFonts w:hint="eastAsia"/>
                      <w:highlight w:val="none"/>
                    </w:rPr>
                    <w:t>监测位置</w:t>
                  </w:r>
                </w:p>
              </w:tc>
              <w:tc>
                <w:tcPr>
                  <w:tcW w:w="806" w:type="pct"/>
                  <w:tcBorders>
                    <w:tl2br w:val="nil"/>
                    <w:tr2bl w:val="nil"/>
                  </w:tcBorders>
                  <w:noWrap/>
                  <w:vAlign w:val="center"/>
                </w:tcPr>
                <w:p>
                  <w:pPr>
                    <w:pStyle w:val="30"/>
                    <w:bidi w:val="0"/>
                    <w:rPr>
                      <w:rFonts w:hint="eastAsia"/>
                      <w:highlight w:val="none"/>
                    </w:rPr>
                  </w:pPr>
                  <w:r>
                    <w:rPr>
                      <w:rFonts w:hint="eastAsia"/>
                      <w:highlight w:val="none"/>
                    </w:rPr>
                    <w:t>监测项目</w:t>
                  </w:r>
                </w:p>
              </w:tc>
              <w:tc>
                <w:tcPr>
                  <w:tcW w:w="719" w:type="pct"/>
                  <w:tcBorders>
                    <w:tl2br w:val="nil"/>
                    <w:tr2bl w:val="nil"/>
                  </w:tcBorders>
                  <w:noWrap/>
                  <w:vAlign w:val="center"/>
                </w:tcPr>
                <w:p>
                  <w:pPr>
                    <w:pStyle w:val="30"/>
                    <w:bidi w:val="0"/>
                    <w:rPr>
                      <w:rFonts w:hint="eastAsia"/>
                      <w:highlight w:val="none"/>
                    </w:rPr>
                  </w:pPr>
                  <w:r>
                    <w:rPr>
                      <w:rFonts w:hint="eastAsia"/>
                      <w:highlight w:val="none"/>
                    </w:rPr>
                    <w:t>监测频率</w:t>
                  </w:r>
                </w:p>
              </w:tc>
              <w:tc>
                <w:tcPr>
                  <w:tcW w:w="2231" w:type="pct"/>
                  <w:tcBorders>
                    <w:tl2br w:val="nil"/>
                    <w:tr2bl w:val="nil"/>
                  </w:tcBorders>
                  <w:noWrap/>
                  <w:vAlign w:val="center"/>
                </w:tcPr>
                <w:p>
                  <w:pPr>
                    <w:pStyle w:val="30"/>
                    <w:bidi w:val="0"/>
                    <w:rPr>
                      <w:rFonts w:hint="eastAsia"/>
                      <w:highlight w:val="none"/>
                      <w:lang w:eastAsia="zh-CN"/>
                    </w:rPr>
                  </w:pPr>
                  <w:r>
                    <w:rPr>
                      <w:rFonts w:hint="eastAsia"/>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pct"/>
                  <w:tcBorders>
                    <w:tl2br w:val="nil"/>
                    <w:tr2bl w:val="nil"/>
                  </w:tcBorders>
                  <w:noWrap/>
                  <w:vAlign w:val="center"/>
                </w:tcPr>
                <w:p>
                  <w:pPr>
                    <w:pStyle w:val="30"/>
                    <w:bidi w:val="0"/>
                    <w:rPr>
                      <w:rFonts w:hint="eastAsia"/>
                      <w:highlight w:val="none"/>
                    </w:rPr>
                  </w:pPr>
                  <w:r>
                    <w:rPr>
                      <w:rFonts w:hint="eastAsia"/>
                      <w:highlight w:val="none"/>
                    </w:rPr>
                    <w:t>厂界监测</w:t>
                  </w:r>
                </w:p>
              </w:tc>
              <w:tc>
                <w:tcPr>
                  <w:tcW w:w="741" w:type="pct"/>
                  <w:tcBorders>
                    <w:tl2br w:val="nil"/>
                    <w:tr2bl w:val="nil"/>
                  </w:tcBorders>
                  <w:noWrap/>
                  <w:vAlign w:val="center"/>
                </w:tcPr>
                <w:p>
                  <w:pPr>
                    <w:pStyle w:val="30"/>
                    <w:bidi w:val="0"/>
                    <w:rPr>
                      <w:rFonts w:hint="eastAsia"/>
                      <w:highlight w:val="none"/>
                    </w:rPr>
                  </w:pPr>
                  <w:r>
                    <w:rPr>
                      <w:rFonts w:hint="eastAsia"/>
                      <w:highlight w:val="none"/>
                    </w:rPr>
                    <w:t>厂界四周外1m</w:t>
                  </w:r>
                </w:p>
              </w:tc>
              <w:tc>
                <w:tcPr>
                  <w:tcW w:w="806" w:type="pct"/>
                  <w:tcBorders>
                    <w:tl2br w:val="nil"/>
                    <w:tr2bl w:val="nil"/>
                  </w:tcBorders>
                  <w:noWrap/>
                  <w:vAlign w:val="center"/>
                </w:tcPr>
                <w:p>
                  <w:pPr>
                    <w:pStyle w:val="30"/>
                    <w:bidi w:val="0"/>
                    <w:rPr>
                      <w:rFonts w:hint="eastAsia"/>
                      <w:highlight w:val="none"/>
                    </w:rPr>
                  </w:pPr>
                  <w:r>
                    <w:rPr>
                      <w:rFonts w:hint="eastAsia"/>
                      <w:highlight w:val="none"/>
                    </w:rPr>
                    <w:t>等效连续A声级</w:t>
                  </w:r>
                </w:p>
              </w:tc>
              <w:tc>
                <w:tcPr>
                  <w:tcW w:w="719" w:type="pct"/>
                  <w:tcBorders>
                    <w:tl2br w:val="nil"/>
                    <w:tr2bl w:val="nil"/>
                  </w:tcBorders>
                  <w:noWrap/>
                  <w:vAlign w:val="center"/>
                </w:tcPr>
                <w:p>
                  <w:pPr>
                    <w:pStyle w:val="30"/>
                    <w:bidi w:val="0"/>
                    <w:rPr>
                      <w:rFonts w:hint="eastAsia"/>
                      <w:highlight w:val="none"/>
                      <w:lang w:eastAsia="zh-CN"/>
                    </w:rPr>
                  </w:pPr>
                  <w:r>
                    <w:rPr>
                      <w:rFonts w:hint="eastAsia"/>
                      <w:highlight w:val="none"/>
                      <w:lang w:val="en-US" w:eastAsia="zh-CN"/>
                    </w:rPr>
                    <w:t>1</w:t>
                  </w:r>
                  <w:r>
                    <w:rPr>
                      <w:rFonts w:hint="eastAsia"/>
                      <w:highlight w:val="none"/>
                    </w:rPr>
                    <w:t>次/</w:t>
                  </w:r>
                  <w:r>
                    <w:rPr>
                      <w:rFonts w:hint="eastAsia"/>
                      <w:highlight w:val="none"/>
                      <w:lang w:val="en-US" w:eastAsia="zh-CN"/>
                    </w:rPr>
                    <w:t>季度</w:t>
                  </w:r>
                </w:p>
              </w:tc>
              <w:tc>
                <w:tcPr>
                  <w:tcW w:w="2231" w:type="pct"/>
                  <w:tcBorders>
                    <w:tl2br w:val="nil"/>
                    <w:tr2bl w:val="nil"/>
                  </w:tcBorders>
                  <w:noWrap/>
                  <w:vAlign w:val="center"/>
                </w:tcPr>
                <w:p>
                  <w:pPr>
                    <w:pStyle w:val="30"/>
                    <w:bidi w:val="0"/>
                    <w:rPr>
                      <w:rFonts w:hint="eastAsia"/>
                      <w:highlight w:val="none"/>
                    </w:rPr>
                  </w:pPr>
                  <w:r>
                    <w:rPr>
                      <w:rFonts w:hint="eastAsia"/>
                      <w:highlight w:val="none"/>
                    </w:rPr>
                    <w:t>《工业企业厂界环境噪声排放标准》</w:t>
                  </w:r>
                  <w:r>
                    <w:rPr>
                      <w:rFonts w:hint="eastAsia"/>
                      <w:highlight w:val="none"/>
                      <w:lang w:eastAsia="zh-CN"/>
                    </w:rPr>
                    <w:t>（</w:t>
                  </w:r>
                  <w:r>
                    <w:rPr>
                      <w:rFonts w:hint="eastAsia"/>
                      <w:highlight w:val="none"/>
                    </w:rPr>
                    <w:t>GB12348-2008</w:t>
                  </w:r>
                  <w:r>
                    <w:rPr>
                      <w:rFonts w:hint="eastAsia"/>
                      <w:highlight w:val="none"/>
                      <w:lang w:eastAsia="zh-CN"/>
                    </w:rPr>
                    <w:t>）</w:t>
                  </w:r>
                  <w:r>
                    <w:rPr>
                      <w:rFonts w:hint="eastAsia"/>
                      <w:highlight w:val="none"/>
                      <w:lang w:val="en-US" w:eastAsia="zh-CN"/>
                    </w:rPr>
                    <w:t>3</w:t>
                  </w:r>
                  <w:r>
                    <w:rPr>
                      <w:rFonts w:hint="eastAsia"/>
                      <w:highlight w:val="none"/>
                    </w:rPr>
                    <w:t>类</w:t>
                  </w:r>
                </w:p>
              </w:tc>
            </w:tr>
          </w:tbl>
          <w:p>
            <w:pPr>
              <w:pStyle w:val="44"/>
              <w:bidi w:val="0"/>
              <w:rPr>
                <w:rFonts w:hint="eastAsia"/>
                <w:b/>
                <w:bCs/>
                <w:highlight w:val="none"/>
              </w:rPr>
            </w:pPr>
            <w:r>
              <w:rPr>
                <w:rFonts w:hint="eastAsia"/>
                <w:b/>
                <w:bCs/>
                <w:highlight w:val="none"/>
                <w:lang w:val="en-US" w:eastAsia="zh-CN"/>
              </w:rPr>
              <w:t>4.</w:t>
            </w:r>
            <w:r>
              <w:rPr>
                <w:rFonts w:hint="eastAsia"/>
                <w:b/>
                <w:bCs/>
                <w:highlight w:val="none"/>
              </w:rPr>
              <w:t>固体废弃物环境影响和保护措施</w:t>
            </w:r>
          </w:p>
          <w:p>
            <w:pPr>
              <w:pStyle w:val="44"/>
              <w:bidi w:val="0"/>
              <w:rPr>
                <w:rFonts w:hint="eastAsia"/>
                <w:highlight w:val="none"/>
                <w:lang w:val="en-US" w:eastAsia="zh-CN"/>
              </w:rPr>
            </w:pPr>
            <w:r>
              <w:rPr>
                <w:rFonts w:hint="eastAsia"/>
                <w:highlight w:val="none"/>
                <w:lang w:val="en-US" w:eastAsia="zh-CN"/>
              </w:rPr>
              <w:t>4.1固体废物产生及处理情况</w:t>
            </w:r>
          </w:p>
          <w:p>
            <w:pPr>
              <w:pStyle w:val="44"/>
              <w:bidi w:val="0"/>
              <w:rPr>
                <w:rFonts w:hint="eastAsia"/>
                <w:highlight w:val="none"/>
              </w:rPr>
            </w:pPr>
            <w:r>
              <w:rPr>
                <w:rFonts w:hint="eastAsia"/>
                <w:highlight w:val="none"/>
                <w:lang w:val="en-US" w:eastAsia="zh-CN"/>
              </w:rPr>
              <w:t>本项目产生的固体废物主要为生活垃圾，一般工业固体废物和危险废物。一般工业固体包括废物布袋除尘器收集的粉尘、废模具、不合格产品、废包装桶；危险废物</w:t>
            </w:r>
            <w:r>
              <w:rPr>
                <w:rFonts w:hint="eastAsia"/>
                <w:color w:val="auto"/>
                <w:highlight w:val="none"/>
                <w:lang w:val="en-US" w:eastAsia="zh-CN"/>
              </w:rPr>
              <w:t>主要为</w:t>
            </w:r>
            <w:r>
              <w:rPr>
                <w:rFonts w:hint="eastAsia" w:cs="Times New Roman"/>
                <w:highlight w:val="none"/>
                <w:lang w:val="en-US" w:eastAsia="zh-CN"/>
              </w:rPr>
              <w:t>废液压油</w:t>
            </w:r>
            <w:r>
              <w:rPr>
                <w:rFonts w:hint="default" w:ascii="Times New Roman" w:hAnsi="Times New Roman" w:cs="Times New Roman"/>
                <w:highlight w:val="none"/>
                <w:lang w:val="en-US" w:eastAsia="zh-CN"/>
              </w:rPr>
              <w:t>、废含油抹布及手套</w:t>
            </w:r>
            <w:r>
              <w:rPr>
                <w:rFonts w:hint="eastAsia"/>
                <w:highlight w:val="none"/>
                <w:lang w:val="en-US" w:eastAsia="zh-CN"/>
              </w:rPr>
              <w:t>。本项目固废产生量具体分析如下。</w:t>
            </w:r>
          </w:p>
          <w:p>
            <w:pPr>
              <w:pStyle w:val="44"/>
              <w:bidi w:val="0"/>
              <w:rPr>
                <w:rFonts w:hint="eastAsia"/>
                <w:highlight w:val="none"/>
              </w:rPr>
            </w:pPr>
            <w:r>
              <w:rPr>
                <w:rFonts w:hint="eastAsia"/>
                <w:highlight w:val="none"/>
              </w:rPr>
              <w:t>（</w:t>
            </w:r>
            <w:r>
              <w:rPr>
                <w:rFonts w:hint="eastAsia"/>
                <w:highlight w:val="none"/>
                <w:lang w:val="en-US" w:eastAsia="zh-CN"/>
              </w:rPr>
              <w:t>1</w:t>
            </w:r>
            <w:r>
              <w:rPr>
                <w:rFonts w:hint="eastAsia"/>
                <w:highlight w:val="none"/>
              </w:rPr>
              <w:t>）一般工业固体废物</w:t>
            </w:r>
          </w:p>
          <w:p>
            <w:pPr>
              <w:pStyle w:val="44"/>
              <w:bidi w:val="0"/>
              <w:rPr>
                <w:rFonts w:hint="eastAsia" w:eastAsia="宋体"/>
                <w:highlight w:val="none"/>
                <w:lang w:val="en-US" w:eastAsia="zh-CN"/>
              </w:rPr>
            </w:pPr>
            <w:r>
              <w:rPr>
                <w:rFonts w:hint="eastAsia"/>
                <w:highlight w:val="none"/>
              </w:rPr>
              <w:t>①</w:t>
            </w:r>
            <w:r>
              <w:rPr>
                <w:rStyle w:val="45"/>
                <w:rFonts w:hint="eastAsia"/>
                <w:highlight w:val="none"/>
                <w:lang w:val="en-US" w:eastAsia="zh-CN"/>
              </w:rPr>
              <w:t>车间及除尘系统收集的粉尘</w:t>
            </w:r>
          </w:p>
          <w:p>
            <w:pPr>
              <w:pStyle w:val="44"/>
              <w:bidi w:val="0"/>
              <w:rPr>
                <w:rStyle w:val="45"/>
                <w:rFonts w:hint="eastAsia"/>
                <w:highlight w:val="none"/>
                <w:lang w:val="en-US" w:eastAsia="zh-CN"/>
              </w:rPr>
            </w:pPr>
            <w:r>
              <w:rPr>
                <w:rStyle w:val="45"/>
                <w:rFonts w:hint="eastAsia"/>
                <w:highlight w:val="none"/>
                <w:lang w:val="en-US" w:eastAsia="zh-CN"/>
              </w:rPr>
              <w:t>生产车间除尘系统除尘设备收集的粉尘、车间及设备表面沉降粉尘需定期清理，根据废气产排污平衡计算，除尘器收尘量为1.6953t/a、车间内及设备表面粉尘沉降量为0.3037t/a，故拟建项目废气收集处理装置收尘量为1.9991t/a。经收集后，直接返回生产线作为原料综合利用。</w:t>
            </w:r>
          </w:p>
          <w:p>
            <w:pPr>
              <w:pStyle w:val="44"/>
              <w:bidi w:val="0"/>
              <w:rPr>
                <w:rFonts w:hint="eastAsia"/>
                <w:highlight w:val="none"/>
              </w:rPr>
            </w:pPr>
            <w:r>
              <w:rPr>
                <w:rFonts w:hint="eastAsia"/>
                <w:highlight w:val="none"/>
              </w:rPr>
              <w:t>②废模具</w:t>
            </w:r>
          </w:p>
          <w:p>
            <w:pPr>
              <w:pStyle w:val="44"/>
              <w:bidi w:val="0"/>
              <w:rPr>
                <w:rFonts w:hint="eastAsia"/>
                <w:highlight w:val="none"/>
              </w:rPr>
            </w:pPr>
            <w:r>
              <w:rPr>
                <w:rFonts w:hint="eastAsia"/>
                <w:highlight w:val="none"/>
              </w:rPr>
              <w:t>本项目混凝土充装模具过程中会产生少量因过度损而废弃的模具，根据企业提供资料，项目每年使用约12套模具，根据同行业生产经验，每年产生的废模具约占使用量的10%，即本项目每年产生约2套废模具，每套钢铁制模具重约20kg，废旧模具年产约0.04t，废模具交由第三方钢铁回收单位处置。</w:t>
            </w:r>
          </w:p>
          <w:p>
            <w:pPr>
              <w:pStyle w:val="44"/>
              <w:bidi w:val="0"/>
              <w:rPr>
                <w:rFonts w:hint="eastAsia"/>
                <w:highlight w:val="none"/>
              </w:rPr>
            </w:pPr>
            <w:r>
              <w:rPr>
                <w:rFonts w:hint="eastAsia"/>
                <w:highlight w:val="none"/>
                <w:lang w:val="en-US" w:eastAsia="zh-CN"/>
              </w:rPr>
              <w:t>③</w:t>
            </w:r>
            <w:r>
              <w:rPr>
                <w:rFonts w:hint="eastAsia"/>
                <w:highlight w:val="none"/>
              </w:rPr>
              <w:t>不合格产品</w:t>
            </w:r>
          </w:p>
          <w:p>
            <w:pPr>
              <w:pStyle w:val="44"/>
              <w:bidi w:val="0"/>
              <w:rPr>
                <w:rFonts w:hint="eastAsia"/>
                <w:highlight w:val="none"/>
              </w:rPr>
            </w:pPr>
            <w:r>
              <w:rPr>
                <w:rFonts w:hint="eastAsia"/>
                <w:highlight w:val="none"/>
              </w:rPr>
              <w:t>本项目砼结构构件生产线成型、养护不合格产品（预制件强度达不到要求）产量按0.05%计，则不合格产品约为</w:t>
            </w:r>
            <w:r>
              <w:rPr>
                <w:rFonts w:hint="eastAsia"/>
                <w:highlight w:val="none"/>
                <w:lang w:val="en-US" w:eastAsia="zh-CN"/>
              </w:rPr>
              <w:t>1.2</w:t>
            </w:r>
            <w:r>
              <w:rPr>
                <w:rFonts w:hint="eastAsia"/>
                <w:highlight w:val="none"/>
              </w:rPr>
              <w:t>t/a，场内暂存后外售路基材料综合利用。</w:t>
            </w:r>
          </w:p>
          <w:p>
            <w:pPr>
              <w:pStyle w:val="44"/>
              <w:bidi w:val="0"/>
              <w:rPr>
                <w:rFonts w:hint="eastAsia"/>
                <w:highlight w:val="none"/>
              </w:rPr>
            </w:pPr>
            <w:r>
              <w:rPr>
                <w:rFonts w:hint="eastAsia"/>
                <w:highlight w:val="none"/>
                <w:lang w:val="en-US" w:eastAsia="zh-CN"/>
              </w:rPr>
              <w:t>④废包装桶</w:t>
            </w:r>
          </w:p>
          <w:p>
            <w:pPr>
              <w:pStyle w:val="44"/>
              <w:bidi w:val="0"/>
              <w:rPr>
                <w:rFonts w:hint="eastAsia"/>
                <w:highlight w:val="none"/>
              </w:rPr>
            </w:pPr>
            <w:r>
              <w:rPr>
                <w:rFonts w:hint="eastAsia"/>
                <w:highlight w:val="none"/>
              </w:rPr>
              <w:t>本项目脱模剂采用</w:t>
            </w:r>
            <w:r>
              <w:rPr>
                <w:rFonts w:hint="eastAsia"/>
                <w:highlight w:val="none"/>
                <w:lang w:val="en-US" w:eastAsia="zh-CN"/>
              </w:rPr>
              <w:t>水性脱模剂</w:t>
            </w:r>
            <w:r>
              <w:rPr>
                <w:rFonts w:hint="eastAsia"/>
                <w:highlight w:val="none"/>
              </w:rPr>
              <w:t>，使用过程中废包装桶，废包装桶产生量为800个/a，为一般工业固体废物，经集中收集后出售给资源回收利用公司处置。</w:t>
            </w:r>
          </w:p>
          <w:p>
            <w:pPr>
              <w:pStyle w:val="44"/>
              <w:bidi w:val="0"/>
              <w:rPr>
                <w:rFonts w:hint="eastAsia"/>
                <w:highlight w:val="none"/>
                <w:lang w:val="en-US" w:eastAsia="zh-CN"/>
              </w:rPr>
            </w:pPr>
            <w:r>
              <w:rPr>
                <w:rFonts w:hint="eastAsia"/>
                <w:highlight w:val="none"/>
                <w:lang w:val="en-US" w:eastAsia="zh-CN"/>
              </w:rPr>
              <w:t>（2）危险废物</w:t>
            </w:r>
          </w:p>
          <w:p>
            <w:pPr>
              <w:pStyle w:val="44"/>
              <w:bidi w:val="0"/>
              <w:rPr>
                <w:rFonts w:hint="default" w:ascii="Times New Roman" w:hAnsi="Times New Roman" w:cs="Times New Roman"/>
                <w:highlight w:val="none"/>
                <w:lang w:val="en-US" w:eastAsia="zh-CN"/>
              </w:rPr>
            </w:pPr>
            <w:r>
              <w:rPr>
                <w:rFonts w:hint="eastAsia" w:cs="Times New Roman"/>
                <w:highlight w:val="none"/>
                <w:lang w:val="en-US" w:eastAsia="zh-CN"/>
              </w:rPr>
              <w:t>①废液压油</w:t>
            </w:r>
          </w:p>
          <w:p>
            <w:pPr>
              <w:pStyle w:val="44"/>
              <w:bidi w:val="0"/>
              <w:rPr>
                <w:rFonts w:hint="eastAsia"/>
                <w:highlight w:val="none"/>
                <w:lang w:val="en-US" w:eastAsia="zh-CN"/>
              </w:rPr>
            </w:pPr>
            <w:r>
              <w:rPr>
                <w:rFonts w:hint="default" w:ascii="Times New Roman" w:hAnsi="Times New Roman" w:cs="Times New Roman"/>
                <w:highlight w:val="none"/>
                <w:lang w:val="en-US" w:eastAsia="zh-CN"/>
              </w:rPr>
              <w:t>本项目设备维护保养产生</w:t>
            </w:r>
            <w:r>
              <w:rPr>
                <w:rFonts w:hint="eastAsia" w:cs="Times New Roman"/>
                <w:highlight w:val="none"/>
                <w:lang w:val="en-US" w:eastAsia="zh-CN"/>
              </w:rPr>
              <w:t>废液压油</w:t>
            </w:r>
            <w:r>
              <w:rPr>
                <w:rFonts w:hint="default" w:ascii="Times New Roman" w:hAnsi="Times New Roman" w:cs="Times New Roman"/>
                <w:highlight w:val="none"/>
                <w:lang w:val="en-US" w:eastAsia="zh-CN"/>
              </w:rPr>
              <w:t>，</w:t>
            </w:r>
            <w:r>
              <w:rPr>
                <w:rFonts w:hint="eastAsia" w:cs="Times New Roman"/>
                <w:highlight w:val="none"/>
                <w:lang w:val="en-US" w:eastAsia="zh-CN"/>
              </w:rPr>
              <w:t>废液压油</w:t>
            </w:r>
            <w:r>
              <w:rPr>
                <w:rFonts w:hint="default" w:ascii="Times New Roman" w:hAnsi="Times New Roman" w:cs="Times New Roman"/>
                <w:highlight w:val="none"/>
                <w:lang w:val="en-US" w:eastAsia="zh-CN"/>
              </w:rPr>
              <w:t>为危废，经收集后暂存于厂内危废</w:t>
            </w:r>
            <w:r>
              <w:rPr>
                <w:rFonts w:hint="eastAsia" w:cs="Times New Roman"/>
                <w:highlight w:val="none"/>
                <w:lang w:val="en-US" w:eastAsia="zh-CN"/>
              </w:rPr>
              <w:t>贮存点</w:t>
            </w:r>
            <w:r>
              <w:rPr>
                <w:rFonts w:hint="default" w:ascii="Times New Roman" w:hAnsi="Times New Roman" w:cs="Times New Roman"/>
                <w:highlight w:val="none"/>
                <w:lang w:val="en-US" w:eastAsia="zh-CN"/>
              </w:rPr>
              <w:t>，交由有资质的单位处理，</w:t>
            </w:r>
            <w:r>
              <w:rPr>
                <w:rFonts w:hint="eastAsia" w:cs="Times New Roman"/>
                <w:highlight w:val="none"/>
                <w:lang w:val="en-US" w:eastAsia="zh-CN"/>
              </w:rPr>
              <w:t>废液压油</w:t>
            </w:r>
            <w:r>
              <w:rPr>
                <w:rFonts w:hint="default" w:ascii="Times New Roman" w:hAnsi="Times New Roman" w:cs="Times New Roman"/>
                <w:highlight w:val="none"/>
                <w:lang w:val="en-US" w:eastAsia="zh-CN"/>
              </w:rPr>
              <w:t>的产生量约为</w:t>
            </w:r>
            <w:r>
              <w:rPr>
                <w:rFonts w:hint="eastAsia" w:cs="Times New Roman"/>
                <w:highlight w:val="none"/>
                <w:lang w:val="en-US" w:eastAsia="zh-CN"/>
              </w:rPr>
              <w:t>0.5</w:t>
            </w:r>
            <w:r>
              <w:rPr>
                <w:rFonts w:hint="default" w:ascii="Times New Roman" w:hAnsi="Times New Roman" w:cs="Times New Roman"/>
                <w:highlight w:val="none"/>
                <w:lang w:val="en-US" w:eastAsia="zh-CN"/>
              </w:rPr>
              <w:t>t/</w:t>
            </w:r>
            <w:r>
              <w:rPr>
                <w:rFonts w:hint="eastAsia" w:cs="Times New Roman"/>
                <w:highlight w:val="none"/>
                <w:lang w:val="en-US" w:eastAsia="zh-CN"/>
              </w:rPr>
              <w:t>3</w:t>
            </w:r>
            <w:r>
              <w:rPr>
                <w:rFonts w:hint="default" w:ascii="Times New Roman" w:hAnsi="Times New Roman" w:cs="Times New Roman"/>
                <w:highlight w:val="none"/>
                <w:lang w:val="en-US" w:eastAsia="zh-CN"/>
              </w:rPr>
              <w:t>a</w:t>
            </w:r>
            <w:r>
              <w:rPr>
                <w:rFonts w:hint="eastAsia" w:cs="Times New Roman"/>
                <w:highlight w:val="none"/>
                <w:lang w:val="en-US" w:eastAsia="zh-CN"/>
              </w:rPr>
              <w:t>，三年更换一次，</w:t>
            </w:r>
            <w:r>
              <w:rPr>
                <w:rFonts w:hint="default" w:ascii="Times New Roman" w:hAnsi="Times New Roman" w:cs="Times New Roman"/>
                <w:highlight w:val="none"/>
                <w:lang w:val="en-US" w:eastAsia="zh-CN"/>
              </w:rPr>
              <w:t>属于《国家危险废物名录》（202</w:t>
            </w:r>
            <w:r>
              <w:rPr>
                <w:rFonts w:hint="eastAsia" w:cs="Times New Roman"/>
                <w:highlight w:val="none"/>
                <w:lang w:val="en-US" w:eastAsia="zh-CN"/>
              </w:rPr>
              <w:t>5</w:t>
            </w:r>
            <w:r>
              <w:rPr>
                <w:rFonts w:hint="default" w:ascii="Times New Roman" w:hAnsi="Times New Roman" w:cs="Times New Roman"/>
                <w:highlight w:val="none"/>
                <w:lang w:val="en-US" w:eastAsia="zh-CN"/>
              </w:rPr>
              <w:t>版）中HW08类危险废物，废物代码为900-21</w:t>
            </w:r>
            <w:r>
              <w:rPr>
                <w:rFonts w:hint="eastAsia" w:cs="Times New Roman"/>
                <w:highlight w:val="none"/>
                <w:lang w:val="en-US" w:eastAsia="zh-CN"/>
              </w:rPr>
              <w:t>8</w:t>
            </w:r>
            <w:r>
              <w:rPr>
                <w:rFonts w:hint="default" w:ascii="Times New Roman" w:hAnsi="Times New Roman" w:cs="Times New Roman"/>
                <w:highlight w:val="none"/>
                <w:lang w:val="en-US" w:eastAsia="zh-CN"/>
              </w:rPr>
              <w:t>-08</w:t>
            </w:r>
            <w:r>
              <w:rPr>
                <w:rFonts w:hint="eastAsia"/>
                <w:highlight w:val="none"/>
                <w:lang w:val="en-US" w:eastAsia="zh-CN"/>
              </w:rPr>
              <w:t>。</w:t>
            </w:r>
          </w:p>
          <w:p>
            <w:pPr>
              <w:pStyle w:val="44"/>
              <w:bidi w:val="0"/>
              <w:rPr>
                <w:rFonts w:hint="eastAsia" w:cs="Times New Roman"/>
                <w:sz w:val="24"/>
                <w:szCs w:val="24"/>
                <w:highlight w:val="none"/>
                <w:lang w:val="en-US" w:eastAsia="zh-CN"/>
              </w:rPr>
            </w:pPr>
            <w:r>
              <w:rPr>
                <w:rFonts w:hint="eastAsia" w:cs="Times New Roman"/>
                <w:sz w:val="24"/>
                <w:szCs w:val="24"/>
                <w:highlight w:val="none"/>
                <w:lang w:val="en-US" w:eastAsia="zh-CN"/>
              </w:rPr>
              <w:t>②废含油抹布及手套</w:t>
            </w:r>
          </w:p>
          <w:p>
            <w:pPr>
              <w:pStyle w:val="51"/>
              <w:ind w:firstLine="480"/>
              <w:rPr>
                <w:rFonts w:hint="eastAsia" w:cs="Times New Roman"/>
                <w:sz w:val="24"/>
                <w:szCs w:val="24"/>
                <w:highlight w:val="none"/>
                <w:lang w:val="en-US" w:eastAsia="zh-CN"/>
              </w:rPr>
            </w:pPr>
            <w:r>
              <w:rPr>
                <w:rFonts w:hint="eastAsia" w:cs="Times New Roman"/>
                <w:sz w:val="24"/>
                <w:szCs w:val="24"/>
                <w:highlight w:val="none"/>
                <w:lang w:val="en-US" w:eastAsia="zh-CN"/>
              </w:rPr>
              <w:t>本项目设备清理及维修过程中会产生少量的废含油抹布及手套，产生量约为0.06t/a。</w:t>
            </w:r>
          </w:p>
          <w:p>
            <w:pPr>
              <w:pStyle w:val="51"/>
              <w:ind w:firstLine="480"/>
              <w:rPr>
                <w:rFonts w:hint="eastAsia" w:cs="Times New Roman"/>
                <w:sz w:val="24"/>
                <w:szCs w:val="24"/>
                <w:highlight w:val="none"/>
                <w:lang w:val="en-US" w:eastAsia="zh-CN"/>
              </w:rPr>
            </w:pPr>
            <w:r>
              <w:rPr>
                <w:rFonts w:hint="eastAsia"/>
                <w:highlight w:val="none"/>
              </w:rPr>
              <w:t>根据《国家危险废物名录》</w:t>
            </w:r>
            <w:r>
              <w:rPr>
                <w:rFonts w:hint="eastAsia"/>
                <w:highlight w:val="none"/>
                <w:lang w:eastAsia="zh-CN"/>
              </w:rPr>
              <w:t>（</w:t>
            </w:r>
            <w:r>
              <w:rPr>
                <w:rFonts w:hint="eastAsia"/>
                <w:highlight w:val="none"/>
              </w:rPr>
              <w:t>2025 年版</w:t>
            </w:r>
            <w:r>
              <w:rPr>
                <w:rFonts w:hint="eastAsia"/>
                <w:highlight w:val="none"/>
                <w:lang w:eastAsia="zh-CN"/>
              </w:rPr>
              <w:t>），</w:t>
            </w:r>
            <w:r>
              <w:rPr>
                <w:rFonts w:hint="eastAsia"/>
                <w:highlight w:val="none"/>
                <w:lang w:val="en-US" w:eastAsia="zh-CN"/>
              </w:rPr>
              <w:t>未分类收集的</w:t>
            </w:r>
            <w:r>
              <w:rPr>
                <w:rFonts w:hint="eastAsia" w:cs="Times New Roman"/>
                <w:sz w:val="24"/>
                <w:szCs w:val="24"/>
                <w:highlight w:val="none"/>
                <w:lang w:val="en-US" w:eastAsia="zh-CN"/>
              </w:rPr>
              <w:t>废含油抹布及手套属于危险废物豁免管理范畴，豁免环节为全部环节，全过程不按危险废物管理，</w:t>
            </w:r>
            <w:r>
              <w:rPr>
                <w:rFonts w:hint="eastAsia"/>
                <w:highlight w:val="none"/>
              </w:rPr>
              <w:t>本项目属于新建项目，应对废含油抹布及手套等废弃劳保用品按照危险废物进行管理。</w:t>
            </w:r>
            <w:r>
              <w:rPr>
                <w:rFonts w:hint="eastAsia" w:cs="Times New Roman"/>
                <w:sz w:val="24"/>
                <w:szCs w:val="24"/>
                <w:highlight w:val="none"/>
                <w:lang w:val="en-US" w:eastAsia="zh-CN"/>
              </w:rPr>
              <w:t>废手套、废抹布分类集中收集后，</w:t>
            </w:r>
            <w:r>
              <w:rPr>
                <w:rFonts w:hint="default" w:ascii="Times New Roman" w:hAnsi="Times New Roman" w:cs="Times New Roman"/>
                <w:highlight w:val="none"/>
                <w:lang w:val="en-US" w:eastAsia="zh-CN"/>
              </w:rPr>
              <w:t>暂存于厂内危废</w:t>
            </w:r>
            <w:r>
              <w:rPr>
                <w:rFonts w:hint="eastAsia" w:cs="Times New Roman"/>
                <w:highlight w:val="none"/>
                <w:lang w:val="en-US" w:eastAsia="zh-CN"/>
              </w:rPr>
              <w:t>贮存点</w:t>
            </w:r>
            <w:r>
              <w:rPr>
                <w:rFonts w:hint="default" w:ascii="Times New Roman" w:hAnsi="Times New Roman" w:cs="Times New Roman"/>
                <w:highlight w:val="none"/>
                <w:lang w:val="en-US" w:eastAsia="zh-CN"/>
              </w:rPr>
              <w:t>，交由有资质的单位处理</w:t>
            </w:r>
            <w:r>
              <w:rPr>
                <w:rFonts w:hint="eastAsia" w:cs="Times New Roman"/>
                <w:sz w:val="24"/>
                <w:szCs w:val="24"/>
                <w:highlight w:val="none"/>
                <w:lang w:val="en-US" w:eastAsia="zh-CN"/>
              </w:rPr>
              <w:t>。</w:t>
            </w:r>
          </w:p>
          <w:p>
            <w:pPr>
              <w:pStyle w:val="44"/>
              <w:bidi w:val="0"/>
              <w:rPr>
                <w:rFonts w:hint="eastAsia"/>
                <w:highlight w:val="none"/>
                <w:lang w:val="en-US" w:eastAsia="zh-CN"/>
              </w:rPr>
            </w:pPr>
            <w:r>
              <w:rPr>
                <w:rFonts w:hint="eastAsia"/>
                <w:highlight w:val="none"/>
                <w:lang w:val="en-US" w:eastAsia="zh-CN"/>
              </w:rPr>
              <w:t>（3）生活垃圾</w:t>
            </w:r>
          </w:p>
          <w:p>
            <w:pPr>
              <w:pStyle w:val="44"/>
              <w:bidi w:val="0"/>
              <w:rPr>
                <w:rFonts w:hint="eastAsia"/>
                <w:highlight w:val="none"/>
                <w:lang w:val="en-US" w:eastAsia="zh-CN"/>
              </w:rPr>
            </w:pPr>
            <w:r>
              <w:rPr>
                <w:rFonts w:hint="eastAsia"/>
                <w:highlight w:val="none"/>
                <w:lang w:val="en-US" w:eastAsia="zh-CN"/>
              </w:rPr>
              <w:t>本次劳动定</w:t>
            </w:r>
            <w:r>
              <w:rPr>
                <w:rFonts w:hint="eastAsia"/>
                <w:highlight w:val="none"/>
              </w:rPr>
              <w:t>员</w:t>
            </w:r>
            <w:r>
              <w:rPr>
                <w:rFonts w:hint="eastAsia"/>
                <w:highlight w:val="none"/>
                <w:lang w:val="en-US" w:eastAsia="zh-CN"/>
              </w:rPr>
              <w:t>15</w:t>
            </w:r>
            <w:r>
              <w:rPr>
                <w:rFonts w:hint="eastAsia"/>
                <w:highlight w:val="none"/>
              </w:rPr>
              <w:t>人，年工作</w:t>
            </w:r>
            <w:r>
              <w:rPr>
                <w:rFonts w:hint="eastAsia"/>
                <w:highlight w:val="none"/>
                <w:lang w:val="en-US" w:eastAsia="zh-CN"/>
              </w:rPr>
              <w:t>210</w:t>
            </w:r>
            <w:r>
              <w:rPr>
                <w:rFonts w:hint="eastAsia"/>
                <w:highlight w:val="none"/>
              </w:rPr>
              <w:t>天</w:t>
            </w:r>
            <w:r>
              <w:rPr>
                <w:rFonts w:hint="eastAsia"/>
                <w:highlight w:val="none"/>
                <w:lang w:eastAsia="zh-CN"/>
              </w:rPr>
              <w:t>，</w:t>
            </w:r>
            <w:r>
              <w:rPr>
                <w:rFonts w:hint="eastAsia"/>
                <w:highlight w:val="none"/>
                <w:lang w:val="en-US" w:eastAsia="zh-CN"/>
              </w:rPr>
              <w:t>垃圾产生系数为1.0kg/人·d</w:t>
            </w:r>
            <w:r>
              <w:rPr>
                <w:rFonts w:hint="eastAsia"/>
                <w:highlight w:val="none"/>
                <w:lang w:val="zh-CN"/>
              </w:rPr>
              <w:t>，</w:t>
            </w:r>
            <w:r>
              <w:rPr>
                <w:rFonts w:hint="eastAsia"/>
                <w:highlight w:val="none"/>
                <w:lang w:val="en-US" w:eastAsia="zh-CN"/>
              </w:rPr>
              <w:t>则员工生活垃圾产生量为15kg/d，约3.15t/a。厂内设有加盖生活垃圾垃圾收集箱，统一收集后交由当地市政环卫部门及时清运</w:t>
            </w:r>
            <w:r>
              <w:rPr>
                <w:rFonts w:hint="eastAsia"/>
                <w:highlight w:val="none"/>
                <w:lang w:val="zh-CN" w:eastAsia="zh-CN"/>
              </w:rPr>
              <w:t>。</w:t>
            </w:r>
          </w:p>
          <w:p>
            <w:pPr>
              <w:pStyle w:val="44"/>
              <w:bidi w:val="0"/>
              <w:rPr>
                <w:rFonts w:hint="eastAsia"/>
                <w:highlight w:val="none"/>
                <w:lang w:val="en-US" w:eastAsia="zh-CN"/>
              </w:rPr>
            </w:pPr>
            <w:r>
              <w:rPr>
                <w:rFonts w:hint="eastAsia"/>
                <w:highlight w:val="none"/>
                <w:lang w:val="en-US" w:eastAsia="zh-CN"/>
              </w:rPr>
              <w:t>根据《固体废物分类与代码目录》和《国家危险废物名录（2025版）》，本项目固体废物产生情况见表4-14。</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表4-14  固体废物分类及代码</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246"/>
              <w:gridCol w:w="1322"/>
              <w:gridCol w:w="1336"/>
              <w:gridCol w:w="231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noWrap w:val="0"/>
                  <w:vAlign w:val="center"/>
                </w:tcPr>
                <w:p>
                  <w:pPr>
                    <w:pStyle w:val="30"/>
                    <w:bidi w:val="0"/>
                    <w:rPr>
                      <w:rFonts w:hint="eastAsia"/>
                      <w:highlight w:val="none"/>
                      <w:lang w:val="en-US" w:eastAsia="zh-CN"/>
                    </w:rPr>
                  </w:pPr>
                  <w:r>
                    <w:rPr>
                      <w:rFonts w:hint="eastAsia"/>
                      <w:highlight w:val="none"/>
                      <w:lang w:val="en-US" w:eastAsia="zh-CN"/>
                    </w:rPr>
                    <w:t>序号</w:t>
                  </w:r>
                </w:p>
              </w:tc>
              <w:tc>
                <w:tcPr>
                  <w:tcW w:w="1247" w:type="dxa"/>
                  <w:noWrap w:val="0"/>
                  <w:vAlign w:val="center"/>
                </w:tcPr>
                <w:p>
                  <w:pPr>
                    <w:pStyle w:val="30"/>
                    <w:bidi w:val="0"/>
                    <w:rPr>
                      <w:rFonts w:hint="eastAsia"/>
                      <w:highlight w:val="none"/>
                      <w:lang w:val="en-US" w:eastAsia="zh-CN"/>
                    </w:rPr>
                  </w:pPr>
                  <w:r>
                    <w:rPr>
                      <w:rFonts w:hint="eastAsia"/>
                      <w:highlight w:val="none"/>
                      <w:lang w:val="en-US" w:eastAsia="zh-CN"/>
                    </w:rPr>
                    <w:t>名称</w:t>
                  </w:r>
                </w:p>
              </w:tc>
              <w:tc>
                <w:tcPr>
                  <w:tcW w:w="1322" w:type="dxa"/>
                  <w:noWrap w:val="0"/>
                  <w:vAlign w:val="center"/>
                </w:tcPr>
                <w:p>
                  <w:pPr>
                    <w:pStyle w:val="30"/>
                    <w:bidi w:val="0"/>
                    <w:rPr>
                      <w:rFonts w:hint="eastAsia"/>
                      <w:highlight w:val="none"/>
                      <w:lang w:val="en-US" w:eastAsia="zh-CN"/>
                    </w:rPr>
                  </w:pPr>
                  <w:r>
                    <w:rPr>
                      <w:rFonts w:hint="eastAsia"/>
                      <w:highlight w:val="none"/>
                      <w:lang w:val="en-US" w:eastAsia="zh-CN"/>
                    </w:rPr>
                    <w:t>产生量</w:t>
                  </w:r>
                </w:p>
              </w:tc>
              <w:tc>
                <w:tcPr>
                  <w:tcW w:w="1336" w:type="dxa"/>
                  <w:noWrap w:val="0"/>
                  <w:vAlign w:val="center"/>
                </w:tcPr>
                <w:p>
                  <w:pPr>
                    <w:pStyle w:val="30"/>
                    <w:bidi w:val="0"/>
                    <w:rPr>
                      <w:rFonts w:hint="eastAsia"/>
                      <w:highlight w:val="none"/>
                      <w:lang w:val="en-US" w:eastAsia="zh-CN"/>
                    </w:rPr>
                  </w:pPr>
                  <w:r>
                    <w:rPr>
                      <w:rFonts w:hint="eastAsia"/>
                      <w:highlight w:val="none"/>
                      <w:lang w:val="en-US" w:eastAsia="zh-CN"/>
                    </w:rPr>
                    <w:t>代码</w:t>
                  </w:r>
                </w:p>
              </w:tc>
              <w:tc>
                <w:tcPr>
                  <w:tcW w:w="2315" w:type="dxa"/>
                  <w:noWrap w:val="0"/>
                  <w:vAlign w:val="center"/>
                </w:tcPr>
                <w:p>
                  <w:pPr>
                    <w:pStyle w:val="30"/>
                    <w:bidi w:val="0"/>
                    <w:rPr>
                      <w:rFonts w:hint="eastAsia"/>
                      <w:highlight w:val="none"/>
                      <w:lang w:val="en-US" w:eastAsia="zh-CN"/>
                    </w:rPr>
                  </w:pPr>
                  <w:r>
                    <w:rPr>
                      <w:rFonts w:hint="eastAsia"/>
                      <w:highlight w:val="none"/>
                      <w:lang w:val="en-US" w:eastAsia="zh-CN"/>
                    </w:rPr>
                    <w:t>管理要求</w:t>
                  </w:r>
                </w:p>
              </w:tc>
              <w:tc>
                <w:tcPr>
                  <w:tcW w:w="1122" w:type="dxa"/>
                  <w:noWrap w:val="0"/>
                  <w:vAlign w:val="center"/>
                </w:tcPr>
                <w:p>
                  <w:pPr>
                    <w:pStyle w:val="30"/>
                    <w:bidi w:val="0"/>
                    <w:rPr>
                      <w:rFonts w:hint="eastAsia"/>
                      <w:highlight w:val="none"/>
                      <w:lang w:val="en-US" w:eastAsia="zh-CN"/>
                    </w:rPr>
                  </w:pPr>
                  <w:r>
                    <w:rPr>
                      <w:rFonts w:hint="eastAsia"/>
                      <w:highlight w:val="none"/>
                      <w:lang w:val="en-US" w:eastAsia="zh-CN"/>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noWrap w:val="0"/>
                  <w:vAlign w:val="center"/>
                </w:tcPr>
                <w:p>
                  <w:pPr>
                    <w:pStyle w:val="30"/>
                    <w:bidi w:val="0"/>
                    <w:rPr>
                      <w:rFonts w:hint="eastAsia"/>
                      <w:highlight w:val="none"/>
                      <w:lang w:val="en-US" w:eastAsia="zh-CN"/>
                    </w:rPr>
                  </w:pPr>
                  <w:r>
                    <w:rPr>
                      <w:rFonts w:hint="eastAsia"/>
                      <w:highlight w:val="none"/>
                      <w:lang w:val="en-US" w:eastAsia="zh-CN"/>
                    </w:rPr>
                    <w:t>1</w:t>
                  </w:r>
                </w:p>
              </w:tc>
              <w:tc>
                <w:tcPr>
                  <w:tcW w:w="1247" w:type="dxa"/>
                  <w:noWrap w:val="0"/>
                  <w:vAlign w:val="center"/>
                </w:tcPr>
                <w:p>
                  <w:pPr>
                    <w:pStyle w:val="30"/>
                    <w:bidi w:val="0"/>
                    <w:rPr>
                      <w:rFonts w:hint="eastAsia"/>
                      <w:highlight w:val="none"/>
                      <w:lang w:val="en-US" w:eastAsia="zh-CN"/>
                    </w:rPr>
                  </w:pPr>
                  <w:r>
                    <w:rPr>
                      <w:rFonts w:hint="eastAsia"/>
                      <w:highlight w:val="none"/>
                      <w:lang w:val="en-US" w:eastAsia="zh-CN"/>
                    </w:rPr>
                    <w:t>车间及除尘系统收集的粉尘</w:t>
                  </w:r>
                </w:p>
              </w:tc>
              <w:tc>
                <w:tcPr>
                  <w:tcW w:w="1322" w:type="dxa"/>
                  <w:noWrap w:val="0"/>
                  <w:vAlign w:val="center"/>
                </w:tcPr>
                <w:p>
                  <w:pPr>
                    <w:pStyle w:val="30"/>
                    <w:bidi w:val="0"/>
                    <w:rPr>
                      <w:rFonts w:hint="default"/>
                      <w:highlight w:val="none"/>
                      <w:lang w:val="en-US" w:eastAsia="zh-CN"/>
                    </w:rPr>
                  </w:pPr>
                  <w:r>
                    <w:rPr>
                      <w:rFonts w:hint="eastAsia"/>
                      <w:highlight w:val="none"/>
                      <w:lang w:val="en-US" w:eastAsia="zh-CN"/>
                    </w:rPr>
                    <w:t>1.9991t/a</w:t>
                  </w:r>
                </w:p>
              </w:tc>
              <w:tc>
                <w:tcPr>
                  <w:tcW w:w="1336" w:type="dxa"/>
                  <w:noWrap w:val="0"/>
                  <w:vAlign w:val="center"/>
                </w:tcPr>
                <w:p>
                  <w:pPr>
                    <w:pStyle w:val="30"/>
                    <w:bidi w:val="0"/>
                    <w:rPr>
                      <w:rFonts w:hint="eastAsia"/>
                      <w:highlight w:val="none"/>
                      <w:lang w:val="en-US" w:eastAsia="zh-CN"/>
                    </w:rPr>
                  </w:pPr>
                  <w:r>
                    <w:rPr>
                      <w:rFonts w:hint="eastAsia"/>
                      <w:highlight w:val="none"/>
                      <w:lang w:val="en-US" w:eastAsia="zh-CN"/>
                    </w:rPr>
                    <w:t>900-099-S59</w:t>
                  </w:r>
                </w:p>
              </w:tc>
              <w:tc>
                <w:tcPr>
                  <w:tcW w:w="2315" w:type="dxa"/>
                  <w:noWrap w:val="0"/>
                  <w:vAlign w:val="center"/>
                </w:tcPr>
                <w:p>
                  <w:pPr>
                    <w:pStyle w:val="30"/>
                    <w:bidi w:val="0"/>
                    <w:rPr>
                      <w:rFonts w:hint="eastAsia"/>
                      <w:highlight w:val="none"/>
                      <w:lang w:val="en-US" w:eastAsia="zh-CN"/>
                    </w:rPr>
                  </w:pPr>
                  <w:r>
                    <w:rPr>
                      <w:rFonts w:hint="eastAsia"/>
                      <w:highlight w:val="none"/>
                      <w:lang w:val="en-US" w:eastAsia="zh-CN"/>
                    </w:rPr>
                    <w:t>回用于生产</w:t>
                  </w:r>
                </w:p>
              </w:tc>
              <w:tc>
                <w:tcPr>
                  <w:tcW w:w="1122" w:type="dxa"/>
                  <w:noWrap w:val="0"/>
                  <w:vAlign w:val="center"/>
                </w:tcPr>
                <w:p>
                  <w:pPr>
                    <w:pStyle w:val="30"/>
                    <w:bidi w:val="0"/>
                    <w:rPr>
                      <w:rFonts w:hint="eastAsia"/>
                      <w:highlight w:val="none"/>
                    </w:rPr>
                  </w:pPr>
                  <w:r>
                    <w:rPr>
                      <w:rFonts w:hint="eastAsia"/>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2</w:t>
                  </w:r>
                </w:p>
              </w:tc>
              <w:tc>
                <w:tcPr>
                  <w:tcW w:w="1247" w:type="dxa"/>
                  <w:noWrap w:val="0"/>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废模具</w:t>
                  </w:r>
                </w:p>
              </w:tc>
              <w:tc>
                <w:tcPr>
                  <w:tcW w:w="1322" w:type="dxa"/>
                  <w:noWrap w:val="0"/>
                  <w:vAlign w:val="center"/>
                </w:tcPr>
                <w:p>
                  <w:pPr>
                    <w:pStyle w:val="30"/>
                    <w:bidi w:val="0"/>
                    <w:rPr>
                      <w:rFonts w:hint="default"/>
                      <w:highlight w:val="none"/>
                      <w:lang w:val="en-US" w:eastAsia="zh-CN"/>
                    </w:rPr>
                  </w:pPr>
                  <w:r>
                    <w:rPr>
                      <w:rFonts w:hint="eastAsia"/>
                      <w:highlight w:val="none"/>
                      <w:lang w:val="en-US" w:eastAsia="zh-CN"/>
                    </w:rPr>
                    <w:t>0.04t/a</w:t>
                  </w:r>
                </w:p>
              </w:tc>
              <w:tc>
                <w:tcPr>
                  <w:tcW w:w="1336" w:type="dxa"/>
                  <w:noWrap w:val="0"/>
                  <w:vAlign w:val="center"/>
                </w:tcPr>
                <w:p>
                  <w:pPr>
                    <w:pStyle w:val="30"/>
                    <w:bidi w:val="0"/>
                    <w:rPr>
                      <w:rFonts w:hint="eastAsia"/>
                      <w:highlight w:val="none"/>
                      <w:lang w:val="en-US" w:eastAsia="zh-CN"/>
                    </w:rPr>
                  </w:pPr>
                  <w:r>
                    <w:rPr>
                      <w:rFonts w:hint="eastAsia"/>
                      <w:highlight w:val="none"/>
                      <w:lang w:val="en-US" w:eastAsia="zh-CN"/>
                    </w:rPr>
                    <w:t>900-001-S17</w:t>
                  </w:r>
                </w:p>
              </w:tc>
              <w:tc>
                <w:tcPr>
                  <w:tcW w:w="231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color w:val="auto"/>
                      <w:highlight w:val="none"/>
                      <w:lang w:val="en-US" w:eastAsia="zh-CN"/>
                    </w:rPr>
                    <w:t>收集后外售利用</w:t>
                  </w:r>
                </w:p>
              </w:tc>
              <w:tc>
                <w:tcPr>
                  <w:tcW w:w="1122"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3</w:t>
                  </w:r>
                </w:p>
              </w:tc>
              <w:tc>
                <w:tcPr>
                  <w:tcW w:w="1247" w:type="dxa"/>
                  <w:noWrap w:val="0"/>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不合格产品</w:t>
                  </w:r>
                </w:p>
              </w:tc>
              <w:tc>
                <w:tcPr>
                  <w:tcW w:w="1322" w:type="dxa"/>
                  <w:noWrap w:val="0"/>
                  <w:vAlign w:val="center"/>
                </w:tcPr>
                <w:p>
                  <w:pPr>
                    <w:pStyle w:val="30"/>
                    <w:bidi w:val="0"/>
                    <w:rPr>
                      <w:rFonts w:hint="default"/>
                      <w:highlight w:val="none"/>
                      <w:lang w:val="en-US" w:eastAsia="zh-CN"/>
                    </w:rPr>
                  </w:pPr>
                  <w:r>
                    <w:rPr>
                      <w:rFonts w:hint="eastAsia"/>
                      <w:highlight w:val="none"/>
                      <w:lang w:val="en-US" w:eastAsia="zh-CN"/>
                    </w:rPr>
                    <w:t>1.2t/a</w:t>
                  </w:r>
                </w:p>
              </w:tc>
              <w:tc>
                <w:tcPr>
                  <w:tcW w:w="1336" w:type="dxa"/>
                  <w:noWrap w:val="0"/>
                  <w:vAlign w:val="center"/>
                </w:tcPr>
                <w:p>
                  <w:pPr>
                    <w:pStyle w:val="30"/>
                    <w:bidi w:val="0"/>
                    <w:rPr>
                      <w:rFonts w:hint="eastAsia"/>
                      <w:highlight w:val="none"/>
                      <w:lang w:val="en-US" w:eastAsia="zh-CN"/>
                    </w:rPr>
                  </w:pPr>
                  <w:r>
                    <w:rPr>
                      <w:rFonts w:hint="eastAsia"/>
                      <w:highlight w:val="none"/>
                      <w:lang w:val="en-US" w:eastAsia="zh-CN"/>
                    </w:rPr>
                    <w:t>900-099-S17</w:t>
                  </w:r>
                </w:p>
              </w:tc>
              <w:tc>
                <w:tcPr>
                  <w:tcW w:w="2315" w:type="dxa"/>
                  <w:noWrap w:val="0"/>
                  <w:vAlign w:val="center"/>
                </w:tcPr>
                <w:p>
                  <w:pPr>
                    <w:pStyle w:val="30"/>
                    <w:bidi w:val="0"/>
                    <w:rPr>
                      <w:rFonts w:hint="eastAsia"/>
                      <w:highlight w:val="none"/>
                      <w:lang w:val="en-US" w:eastAsia="zh-CN"/>
                    </w:rPr>
                  </w:pPr>
                  <w:r>
                    <w:rPr>
                      <w:rFonts w:hint="eastAsia"/>
                      <w:highlight w:val="none"/>
                      <w:lang w:val="en-US" w:eastAsia="zh-CN"/>
                    </w:rPr>
                    <w:t>外售路基材料综合利用</w:t>
                  </w:r>
                </w:p>
              </w:tc>
              <w:tc>
                <w:tcPr>
                  <w:tcW w:w="1122" w:type="dxa"/>
                  <w:noWrap w:val="0"/>
                  <w:vAlign w:val="center"/>
                </w:tcPr>
                <w:p>
                  <w:pPr>
                    <w:pStyle w:val="30"/>
                    <w:bidi w:val="0"/>
                    <w:rPr>
                      <w:rFonts w:hint="eastAsia"/>
                      <w:highlight w:val="none"/>
                    </w:rPr>
                  </w:pPr>
                  <w:r>
                    <w:rPr>
                      <w:rFonts w:hint="eastAsia"/>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4</w:t>
                  </w:r>
                </w:p>
              </w:tc>
              <w:tc>
                <w:tcPr>
                  <w:tcW w:w="1247" w:type="dxa"/>
                  <w:noWrap w:val="0"/>
                  <w:vAlign w:val="center"/>
                </w:tcPr>
                <w:p>
                  <w:pPr>
                    <w:pStyle w:val="30"/>
                    <w:bidi w:val="0"/>
                    <w:rPr>
                      <w:rFonts w:hint="eastAsia"/>
                      <w:highlight w:val="none"/>
                      <w:lang w:val="en-US" w:eastAsia="zh-CN"/>
                    </w:rPr>
                  </w:pPr>
                  <w:r>
                    <w:rPr>
                      <w:rFonts w:hint="eastAsia"/>
                      <w:highlight w:val="none"/>
                      <w:lang w:val="en-US" w:eastAsia="zh-CN"/>
                    </w:rPr>
                    <w:t>废包装桶</w:t>
                  </w:r>
                </w:p>
              </w:tc>
              <w:tc>
                <w:tcPr>
                  <w:tcW w:w="1322" w:type="dxa"/>
                  <w:noWrap w:val="0"/>
                  <w:vAlign w:val="center"/>
                </w:tcPr>
                <w:p>
                  <w:pPr>
                    <w:pStyle w:val="30"/>
                    <w:bidi w:val="0"/>
                    <w:rPr>
                      <w:rFonts w:hint="default"/>
                      <w:highlight w:val="none"/>
                      <w:lang w:val="en-US" w:eastAsia="zh-CN"/>
                    </w:rPr>
                  </w:pPr>
                  <w:r>
                    <w:rPr>
                      <w:rFonts w:hint="default"/>
                      <w:highlight w:val="none"/>
                      <w:lang w:val="en-US" w:eastAsia="zh-CN"/>
                    </w:rPr>
                    <w:t>800个/a</w:t>
                  </w:r>
                </w:p>
              </w:tc>
              <w:tc>
                <w:tcPr>
                  <w:tcW w:w="1336" w:type="dxa"/>
                  <w:noWrap w:val="0"/>
                  <w:vAlign w:val="center"/>
                </w:tcPr>
                <w:p>
                  <w:pPr>
                    <w:pStyle w:val="30"/>
                    <w:bidi w:val="0"/>
                    <w:rPr>
                      <w:rFonts w:hint="eastAsia"/>
                      <w:highlight w:val="none"/>
                      <w:lang w:val="en-US" w:eastAsia="zh-CN"/>
                    </w:rPr>
                  </w:pPr>
                  <w:r>
                    <w:rPr>
                      <w:rFonts w:hint="eastAsia"/>
                      <w:highlight w:val="none"/>
                      <w:lang w:val="en-US" w:eastAsia="zh-CN"/>
                    </w:rPr>
                    <w:t>900-003-S17</w:t>
                  </w:r>
                </w:p>
              </w:tc>
              <w:tc>
                <w:tcPr>
                  <w:tcW w:w="231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color w:val="auto"/>
                      <w:highlight w:val="none"/>
                      <w:lang w:val="en-US" w:eastAsia="zh-CN"/>
                    </w:rPr>
                    <w:t>收集后外售利用</w:t>
                  </w:r>
                </w:p>
              </w:tc>
              <w:tc>
                <w:tcPr>
                  <w:tcW w:w="1122"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5</w:t>
                  </w:r>
                </w:p>
              </w:tc>
              <w:tc>
                <w:tcPr>
                  <w:tcW w:w="1247"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cs="Times New Roman"/>
                      <w:highlight w:val="none"/>
                      <w:lang w:val="en-US" w:eastAsia="zh-CN"/>
                    </w:rPr>
                    <w:t>废液压油</w:t>
                  </w:r>
                </w:p>
              </w:tc>
              <w:tc>
                <w:tcPr>
                  <w:tcW w:w="1322" w:type="dxa"/>
                  <w:shd w:val="clear" w:color="auto" w:fill="auto"/>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0.5t/3a</w:t>
                  </w:r>
                </w:p>
              </w:tc>
              <w:tc>
                <w:tcPr>
                  <w:tcW w:w="1336" w:type="dxa"/>
                  <w:shd w:val="clear" w:color="auto" w:fill="auto"/>
                  <w:noWrap w:val="0"/>
                  <w:vAlign w:val="center"/>
                </w:tcPr>
                <w:p>
                  <w:pPr>
                    <w:pStyle w:val="30"/>
                    <w:bidi w:val="0"/>
                    <w:rPr>
                      <w:rFonts w:hint="eastAsia"/>
                      <w:highlight w:val="none"/>
                      <w:lang w:val="en-US" w:eastAsia="zh-CN"/>
                    </w:rPr>
                  </w:pPr>
                  <w:r>
                    <w:rPr>
                      <w:rFonts w:hint="eastAsia"/>
                      <w:highlight w:val="none"/>
                      <w:lang w:val="en-US" w:eastAsia="zh-CN"/>
                    </w:rPr>
                    <w:t>900-218-08</w:t>
                  </w:r>
                </w:p>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(HW08)</w:t>
                  </w:r>
                </w:p>
              </w:tc>
              <w:tc>
                <w:tcPr>
                  <w:tcW w:w="2315" w:type="dxa"/>
                  <w:shd w:val="clear" w:color="auto" w:fill="auto"/>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暂存于危废贮存点，定期交由有危废处置资质的单位安全处置</w:t>
                  </w:r>
                </w:p>
              </w:tc>
              <w:tc>
                <w:tcPr>
                  <w:tcW w:w="1122"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noWrap w:val="0"/>
                  <w:vAlign w:val="center"/>
                </w:tcPr>
                <w:p>
                  <w:pPr>
                    <w:pStyle w:val="30"/>
                    <w:bidi w:val="0"/>
                    <w:rPr>
                      <w:rFonts w:hint="eastAsia"/>
                      <w:highlight w:val="none"/>
                      <w:lang w:val="en-US" w:eastAsia="zh-CN"/>
                    </w:rPr>
                  </w:pPr>
                  <w:r>
                    <w:rPr>
                      <w:rFonts w:hint="eastAsia"/>
                      <w:highlight w:val="none"/>
                      <w:lang w:val="en-US" w:eastAsia="zh-CN"/>
                    </w:rPr>
                    <w:t>6</w:t>
                  </w:r>
                </w:p>
              </w:tc>
              <w:tc>
                <w:tcPr>
                  <w:tcW w:w="1247"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废含油抹布及手套</w:t>
                  </w:r>
                </w:p>
              </w:tc>
              <w:tc>
                <w:tcPr>
                  <w:tcW w:w="1322" w:type="dxa"/>
                  <w:shd w:val="clear" w:color="auto" w:fill="auto"/>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0.06t/a</w:t>
                  </w:r>
                </w:p>
              </w:tc>
              <w:tc>
                <w:tcPr>
                  <w:tcW w:w="1336" w:type="dxa"/>
                  <w:shd w:val="clear" w:color="auto" w:fill="auto"/>
                  <w:noWrap w:val="0"/>
                  <w:vAlign w:val="center"/>
                </w:tcPr>
                <w:p>
                  <w:pPr>
                    <w:pStyle w:val="30"/>
                    <w:bidi w:val="0"/>
                    <w:rPr>
                      <w:rFonts w:hint="eastAsia"/>
                      <w:highlight w:val="none"/>
                      <w:lang w:val="en-US" w:eastAsia="zh-CN"/>
                    </w:rPr>
                  </w:pPr>
                  <w:r>
                    <w:rPr>
                      <w:rFonts w:hint="eastAsia"/>
                      <w:highlight w:val="none"/>
                      <w:lang w:val="en-US" w:eastAsia="zh-CN"/>
                    </w:rPr>
                    <w:t>900-041-49</w:t>
                  </w:r>
                </w:p>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(HW49)</w:t>
                  </w:r>
                </w:p>
              </w:tc>
              <w:tc>
                <w:tcPr>
                  <w:tcW w:w="231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暂存于危废贮存点，定期由环卫部门负责清运处置</w:t>
                  </w:r>
                </w:p>
              </w:tc>
              <w:tc>
                <w:tcPr>
                  <w:tcW w:w="1122"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5" w:type="dxa"/>
                  <w:noWrap w:val="0"/>
                  <w:vAlign w:val="center"/>
                </w:tcPr>
                <w:p>
                  <w:pPr>
                    <w:pStyle w:val="30"/>
                    <w:bidi w:val="0"/>
                    <w:rPr>
                      <w:rFonts w:hint="default"/>
                      <w:highlight w:val="none"/>
                      <w:lang w:val="en-US" w:eastAsia="zh-CN"/>
                    </w:rPr>
                  </w:pPr>
                  <w:r>
                    <w:rPr>
                      <w:rFonts w:hint="eastAsia"/>
                      <w:highlight w:val="none"/>
                      <w:lang w:val="en-US" w:eastAsia="zh-CN"/>
                    </w:rPr>
                    <w:t>7</w:t>
                  </w:r>
                </w:p>
              </w:tc>
              <w:tc>
                <w:tcPr>
                  <w:tcW w:w="1247"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生活垃圾</w:t>
                  </w:r>
                </w:p>
              </w:tc>
              <w:tc>
                <w:tcPr>
                  <w:tcW w:w="1322" w:type="dxa"/>
                  <w:shd w:val="clear" w:color="auto" w:fill="auto"/>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3.15t/a</w:t>
                  </w:r>
                </w:p>
              </w:tc>
              <w:tc>
                <w:tcPr>
                  <w:tcW w:w="1336"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900-099-S64</w:t>
                  </w:r>
                </w:p>
              </w:tc>
              <w:tc>
                <w:tcPr>
                  <w:tcW w:w="2315"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厂内设有加盖生活垃圾垃圾收集箱，统一收集后交由当地市政环卫部门及时清运</w:t>
                  </w:r>
                </w:p>
              </w:tc>
              <w:tc>
                <w:tcPr>
                  <w:tcW w:w="1122" w:type="dxa"/>
                  <w:shd w:val="clear" w:color="auto" w:fill="auto"/>
                  <w:noWrap w:val="0"/>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生活垃圾</w:t>
                  </w:r>
                </w:p>
              </w:tc>
            </w:tr>
          </w:tbl>
          <w:p>
            <w:pPr>
              <w:pStyle w:val="44"/>
              <w:bidi w:val="0"/>
              <w:rPr>
                <w:rFonts w:hint="eastAsia"/>
                <w:highlight w:val="none"/>
                <w:lang w:val="en-US" w:eastAsia="zh-CN"/>
              </w:rPr>
            </w:pPr>
            <w:r>
              <w:rPr>
                <w:rFonts w:hint="eastAsia"/>
                <w:highlight w:val="none"/>
                <w:lang w:val="en-US" w:eastAsia="zh-CN"/>
              </w:rPr>
              <w:t>4.2固废环境管理要求及措施</w:t>
            </w:r>
          </w:p>
          <w:p>
            <w:pPr>
              <w:pStyle w:val="44"/>
              <w:bidi w:val="0"/>
              <w:rPr>
                <w:rFonts w:hint="default"/>
                <w:highlight w:val="none"/>
                <w:lang w:val="en-US" w:eastAsia="zh-CN"/>
              </w:rPr>
            </w:pPr>
            <w:r>
              <w:rPr>
                <w:rFonts w:hint="eastAsia"/>
                <w:highlight w:val="none"/>
                <w:lang w:val="en-US" w:eastAsia="zh-CN"/>
              </w:rPr>
              <w:t>（1）一般固废环境管理要求</w:t>
            </w:r>
          </w:p>
          <w:p>
            <w:pPr>
              <w:pStyle w:val="44"/>
              <w:bidi w:val="0"/>
              <w:rPr>
                <w:rFonts w:hint="eastAsia"/>
                <w:highlight w:val="none"/>
                <w:lang w:val="en-US" w:eastAsia="zh-CN"/>
              </w:rPr>
            </w:pPr>
            <w:r>
              <w:rPr>
                <w:rFonts w:hint="eastAsia"/>
                <w:highlight w:val="none"/>
                <w:lang w:val="en-US" w:eastAsia="zh-CN"/>
              </w:rPr>
              <w:t>建设单位须按照《一般工业固体废物贮存和填埋污染控制标准》（GB 18599-2020）及《排污许可证申请与核发技术规范 工业固体废物（试行）》（HJ 1200—2021）要求对一般固废进行管理：</w:t>
            </w:r>
          </w:p>
          <w:p>
            <w:pPr>
              <w:pStyle w:val="44"/>
              <w:bidi w:val="0"/>
              <w:rPr>
                <w:rFonts w:hint="eastAsia"/>
                <w:highlight w:val="none"/>
                <w:lang w:val="en-US" w:eastAsia="zh-CN"/>
              </w:rPr>
            </w:pPr>
            <w:r>
              <w:rPr>
                <w:rFonts w:hint="eastAsia"/>
                <w:highlight w:val="none"/>
                <w:lang w:val="en-US" w:eastAsia="zh-CN"/>
              </w:rPr>
              <w:t>①委托贮存/利用/处置环节污染防控技术要求：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pStyle w:val="44"/>
              <w:bidi w:val="0"/>
              <w:rPr>
                <w:rFonts w:hint="eastAsia"/>
                <w:highlight w:val="none"/>
                <w:lang w:val="en-US" w:eastAsia="zh-CN"/>
              </w:rPr>
            </w:pPr>
            <w:r>
              <w:rPr>
                <w:rFonts w:hint="eastAsia"/>
                <w:highlight w:val="none"/>
                <w:lang w:val="en-US" w:eastAsia="zh-CN"/>
              </w:rPr>
              <w:t>②自行贮存/利用/处置设施污染防控技术要求：建设一般工业固体废物贮存间，贮存过程满足防渗漏、防雨淋、防扬尘等环境保护要求；危险废物和生活垃圾不得进入一般工业固体废物贮存间；不相容的一般工业固体废物应设置不同的分区进行贮存；贮存间应设置清晰、完整的一般工业固体废物标志牌等。</w:t>
            </w:r>
          </w:p>
          <w:p>
            <w:pPr>
              <w:pStyle w:val="44"/>
              <w:bidi w:val="0"/>
              <w:rPr>
                <w:rFonts w:hint="eastAsia"/>
                <w:highlight w:val="none"/>
                <w:lang w:val="en-US" w:eastAsia="zh-CN"/>
              </w:rPr>
            </w:pPr>
            <w:r>
              <w:rPr>
                <w:rFonts w:hint="eastAsia"/>
                <w:highlight w:val="none"/>
                <w:lang w:val="en-US" w:eastAsia="zh-CN"/>
              </w:rPr>
              <w:t>生产运营期间一般工业固体废物自行贮存/利用/处置设施的环境管理和相关设施运行维护要求还应符合GB 15562.2、GB 18599、GB 30485和HJ 2035 等相关标准规范要求。</w:t>
            </w:r>
          </w:p>
          <w:p>
            <w:pPr>
              <w:pStyle w:val="44"/>
              <w:bidi w:val="0"/>
              <w:rPr>
                <w:rFonts w:hint="eastAsia"/>
                <w:highlight w:val="none"/>
                <w:lang w:val="en-US" w:eastAsia="zh-CN"/>
              </w:rPr>
            </w:pPr>
            <w:r>
              <w:rPr>
                <w:rFonts w:hint="eastAsia"/>
                <w:highlight w:val="none"/>
                <w:lang w:val="en-US" w:eastAsia="zh-CN"/>
              </w:rPr>
              <w:t xml:space="preserve">③建立环境管理台账制度，记录固体废物产生量和去向（处理、处置、综合利用或外运）及相应量。一般工业固体废物环境管理台账记录应符合生态环境部规定的一般工业固体废物环境管理台账相关标准及管理文件要求。 </w:t>
            </w:r>
          </w:p>
          <w:p>
            <w:pPr>
              <w:pStyle w:val="44"/>
              <w:bidi w:val="0"/>
              <w:rPr>
                <w:rFonts w:hint="eastAsia"/>
                <w:highlight w:val="none"/>
                <w:lang w:val="en-US" w:eastAsia="zh-CN"/>
              </w:rPr>
            </w:pPr>
            <w:r>
              <w:rPr>
                <w:rFonts w:hint="eastAsia"/>
                <w:highlight w:val="none"/>
                <w:lang w:val="en-US" w:eastAsia="zh-CN"/>
              </w:rPr>
              <w:t>企业还应积极采用先进技术，注重清洁生产，在生产过程中尽量降低固废的产生量。</w:t>
            </w:r>
          </w:p>
          <w:p>
            <w:pPr>
              <w:pStyle w:val="44"/>
              <w:bidi w:val="0"/>
              <w:rPr>
                <w:rFonts w:hint="eastAsia"/>
                <w:highlight w:val="none"/>
                <w:lang w:val="en-US" w:eastAsia="zh-CN"/>
              </w:rPr>
            </w:pPr>
            <w:r>
              <w:rPr>
                <w:rFonts w:hint="eastAsia"/>
                <w:highlight w:val="none"/>
                <w:lang w:val="en-US" w:eastAsia="zh-CN"/>
              </w:rPr>
              <w:t>本项目一般工业固体废物满足《一般工业固体废物贮存和填埋污染控制标准》（GB18599-2020）及《排污许可证申请与核发技术规范 工业固体废物（试行）》（HJ 1200—2021）要求。产生的固体废物均得到合理处置，对周围环境影响较小。</w:t>
            </w:r>
          </w:p>
          <w:p>
            <w:pPr>
              <w:pStyle w:val="44"/>
              <w:bidi w:val="0"/>
              <w:rPr>
                <w:rFonts w:hint="eastAsia"/>
                <w:highlight w:val="none"/>
                <w:lang w:val="en-US" w:eastAsia="zh-CN"/>
              </w:rPr>
            </w:pPr>
            <w:r>
              <w:rPr>
                <w:rFonts w:hint="eastAsia"/>
                <w:highlight w:val="none"/>
                <w:lang w:val="en-US" w:eastAsia="zh-CN"/>
              </w:rPr>
              <w:t>（2）危险废物环境管理要求</w:t>
            </w:r>
          </w:p>
          <w:p>
            <w:pPr>
              <w:pStyle w:val="44"/>
              <w:bidi w:val="0"/>
              <w:rPr>
                <w:rFonts w:hint="eastAsia"/>
                <w:highlight w:val="none"/>
                <w:lang w:val="en-US" w:eastAsia="zh-CN"/>
              </w:rPr>
            </w:pPr>
            <w:r>
              <w:rPr>
                <w:rFonts w:hint="eastAsia"/>
                <w:highlight w:val="none"/>
                <w:lang w:val="en-US" w:eastAsia="zh-CN"/>
              </w:rPr>
              <w:t>根据《建设项目危险废物环境影响评价指南》（2017.10.1）《危险废物收集、贮存、运输技术规范》（HJ2025-2012）要求，本次环评重点对危险废物的收集、贮存、转运等环节进行全过程管理：</w:t>
            </w:r>
          </w:p>
          <w:p>
            <w:pPr>
              <w:pStyle w:val="44"/>
              <w:bidi w:val="0"/>
              <w:rPr>
                <w:rFonts w:hint="eastAsia"/>
                <w:highlight w:val="none"/>
                <w:lang w:val="en-US" w:eastAsia="zh-CN"/>
              </w:rPr>
            </w:pPr>
            <w:r>
              <w:rPr>
                <w:rFonts w:hint="eastAsia"/>
                <w:highlight w:val="none"/>
                <w:lang w:val="en-US" w:eastAsia="zh-CN"/>
              </w:rPr>
              <w:t>1）收集</w:t>
            </w:r>
          </w:p>
          <w:p>
            <w:pPr>
              <w:pStyle w:val="44"/>
              <w:bidi w:val="0"/>
              <w:rPr>
                <w:rFonts w:hint="eastAsia"/>
                <w:highlight w:val="none"/>
                <w:lang w:val="en-US" w:eastAsia="zh-CN"/>
              </w:rPr>
            </w:pPr>
            <w:r>
              <w:rPr>
                <w:rFonts w:hint="eastAsia"/>
                <w:highlight w:val="none"/>
                <w:lang w:val="en-US" w:eastAsia="zh-CN"/>
              </w:rPr>
              <w:t>危险废物收集应制定详细的操作规程，可使用专用的容器（可选择钢、铝、塑料等材质）进行收集，并设置作业界线标志和警示牌；危险废物应在收集容器上设置相应的标签、标志。填写收集记录表（包括种类、名称、数量、形态、包装形式、暂存地点及责任主体等内容）。</w:t>
            </w:r>
          </w:p>
          <w:p>
            <w:pPr>
              <w:pStyle w:val="44"/>
              <w:bidi w:val="0"/>
              <w:rPr>
                <w:rFonts w:hint="eastAsia"/>
                <w:highlight w:val="none"/>
                <w:lang w:val="en-US" w:eastAsia="zh-CN"/>
              </w:rPr>
            </w:pPr>
            <w:r>
              <w:rPr>
                <w:rFonts w:hint="eastAsia"/>
                <w:highlight w:val="none"/>
                <w:lang w:val="en-US" w:eastAsia="zh-CN"/>
              </w:rPr>
              <w:t>2）内部运输</w:t>
            </w:r>
          </w:p>
          <w:p>
            <w:pPr>
              <w:pStyle w:val="44"/>
              <w:bidi w:val="0"/>
              <w:rPr>
                <w:rFonts w:hint="eastAsia"/>
                <w:highlight w:val="none"/>
                <w:lang w:val="en-US" w:eastAsia="zh-CN"/>
              </w:rPr>
            </w:pPr>
            <w:r>
              <w:rPr>
                <w:rFonts w:hint="eastAsia"/>
                <w:highlight w:val="none"/>
                <w:lang w:val="en-US" w:eastAsia="zh-CN"/>
              </w:rPr>
              <w:t>建设单位应根据车间的实际情况确定转运路线，避开车间员工操作区域；运送人员采用专用的运输工具进行转运。运送前，应当检查容器的标识、标签及封口是否符合要求，不得将不符合要求的危险废物运送至暂时贮存地点。运送人员在运送废矿物油时，应当防止造成容器破损和危险废物的流失、泄漏和扩散，并防止危险废物直接接触身体。</w:t>
            </w:r>
          </w:p>
          <w:p>
            <w:pPr>
              <w:pStyle w:val="44"/>
              <w:bidi w:val="0"/>
              <w:rPr>
                <w:rFonts w:hint="eastAsia"/>
                <w:highlight w:val="none"/>
                <w:lang w:val="en-US" w:eastAsia="zh-CN"/>
              </w:rPr>
            </w:pPr>
            <w:r>
              <w:rPr>
                <w:rFonts w:hint="eastAsia"/>
                <w:highlight w:val="none"/>
                <w:lang w:val="en-US" w:eastAsia="zh-CN"/>
              </w:rPr>
              <w:t>填写厂内转运记录表。</w:t>
            </w:r>
          </w:p>
          <w:p>
            <w:pPr>
              <w:pStyle w:val="44"/>
              <w:bidi w:val="0"/>
              <w:rPr>
                <w:rFonts w:hint="eastAsia"/>
                <w:highlight w:val="none"/>
                <w:lang w:val="en-US" w:eastAsia="zh-CN"/>
              </w:rPr>
            </w:pPr>
            <w:r>
              <w:rPr>
                <w:rFonts w:hint="eastAsia"/>
                <w:highlight w:val="none"/>
                <w:lang w:val="en-US" w:eastAsia="zh-CN"/>
              </w:rPr>
              <w:t>3）厂内暂存——危废间设置</w:t>
            </w:r>
          </w:p>
          <w:p>
            <w:pPr>
              <w:pStyle w:val="44"/>
              <w:bidi w:val="0"/>
              <w:rPr>
                <w:rFonts w:hint="eastAsia"/>
                <w:highlight w:val="none"/>
                <w:lang w:val="en-US" w:eastAsia="zh-CN"/>
              </w:rPr>
            </w:pPr>
            <w:r>
              <w:rPr>
                <w:rFonts w:hint="eastAsia"/>
                <w:highlight w:val="none"/>
                <w:lang w:val="en-US" w:eastAsia="zh-CN"/>
              </w:rPr>
              <w:t>项目拟设置1间危废贮存点，位于厂区东南侧，占地面积30m²，地坪及裙角做防渗处理，危废贮存点建造应严格按照《危险废物贮存污染控制标准》（GB18597-2023）中要求，内置防腐塑料桶（加盖若干）及防渗托盘并作为重点防渗区进行管理。</w:t>
            </w:r>
          </w:p>
          <w:p>
            <w:pPr>
              <w:pStyle w:val="44"/>
              <w:bidi w:val="0"/>
              <w:rPr>
                <w:rFonts w:hint="eastAsia"/>
                <w:highlight w:val="none"/>
                <w:lang w:val="en-US" w:eastAsia="zh-CN"/>
              </w:rPr>
            </w:pPr>
            <w:r>
              <w:rPr>
                <w:rFonts w:hint="eastAsia"/>
                <w:highlight w:val="none"/>
                <w:lang w:val="en-US" w:eastAsia="zh-CN"/>
              </w:rPr>
              <w:t>根据《危险废物贮存污染控制标准》（GB18597-2023），危废贮存点贮存要求具体如下：</w:t>
            </w:r>
          </w:p>
          <w:p>
            <w:pPr>
              <w:pStyle w:val="44"/>
              <w:bidi w:val="0"/>
              <w:rPr>
                <w:rFonts w:hint="eastAsia"/>
                <w:highlight w:val="none"/>
                <w:lang w:val="en-US" w:eastAsia="zh-CN"/>
              </w:rPr>
            </w:pPr>
            <w:r>
              <w:rPr>
                <w:rFonts w:hint="eastAsia"/>
                <w:highlight w:val="none"/>
                <w:lang w:val="en-US" w:eastAsia="zh-CN"/>
              </w:rPr>
              <w:t>①危废贮存点采取必要的防风、防晒、防雨、防漏、防渗、防腐以及其他环境污染防治措施，不应露天堆放危险废物。</w:t>
            </w:r>
          </w:p>
          <w:p>
            <w:pPr>
              <w:pStyle w:val="44"/>
              <w:bidi w:val="0"/>
              <w:rPr>
                <w:rFonts w:hint="eastAsia"/>
                <w:highlight w:val="none"/>
                <w:lang w:val="en-US" w:eastAsia="zh-CN"/>
              </w:rPr>
            </w:pPr>
            <w:r>
              <w:rPr>
                <w:rFonts w:hint="eastAsia"/>
                <w:highlight w:val="none"/>
                <w:lang w:val="en-US" w:eastAsia="zh-CN"/>
              </w:rPr>
              <w:t>②危废贮存点应根据危险废物的类别、数量、形态、物理化学性质和污染防治等要求设置必要的贮存分区，避免不相容的危险废物接触、混合；贮存液态或半固态废物的，还应设置泄漏液体收集装置；装载危险废物的容器应确保完好无损。</w:t>
            </w:r>
          </w:p>
          <w:p>
            <w:pPr>
              <w:pStyle w:val="44"/>
              <w:bidi w:val="0"/>
              <w:rPr>
                <w:rFonts w:hint="eastAsia"/>
                <w:highlight w:val="none"/>
                <w:lang w:val="en-US" w:eastAsia="zh-CN"/>
              </w:rPr>
            </w:pPr>
            <w:r>
              <w:rPr>
                <w:rFonts w:hint="eastAsia"/>
                <w:highlight w:val="none"/>
                <w:lang w:val="en-US" w:eastAsia="zh-CN"/>
              </w:rPr>
              <w:t>③贮存设施内地面、墙面裙角、堵截泄漏的围堰、接触危险废物的隔板和墙体等应采用坚固的材料建造，表面无裂缝；</w:t>
            </w:r>
          </w:p>
          <w:p>
            <w:pPr>
              <w:pStyle w:val="44"/>
              <w:bidi w:val="0"/>
              <w:rPr>
                <w:rFonts w:hint="eastAsia"/>
                <w:highlight w:val="none"/>
                <w:lang w:val="en-US" w:eastAsia="zh-CN"/>
              </w:rPr>
            </w:pPr>
            <w:r>
              <w:rPr>
                <w:rFonts w:hint="eastAsia"/>
                <w:highlight w:val="none"/>
                <w:lang w:val="en-US" w:eastAsia="zh-CN"/>
              </w:rPr>
              <w:t>④危废贮存点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w:t>
            </w:r>
            <w:r>
              <w:rPr>
                <w:rFonts w:hint="eastAsia"/>
                <w:highlight w:val="none"/>
              </w:rPr>
              <w:t>10</w:t>
            </w:r>
            <w:r>
              <w:rPr>
                <w:rFonts w:hint="eastAsia"/>
                <w:highlight w:val="none"/>
                <w:vertAlign w:val="superscript"/>
                <w:lang w:val="en-US" w:eastAsia="zh-CN"/>
              </w:rPr>
              <w:t>-</w:t>
            </w:r>
            <w:r>
              <w:rPr>
                <w:rFonts w:hint="eastAsia"/>
                <w:highlight w:val="none"/>
                <w:vertAlign w:val="superscript"/>
              </w:rPr>
              <w:t>7</w:t>
            </w:r>
            <w:r>
              <w:rPr>
                <w:rFonts w:hint="eastAsia"/>
                <w:highlight w:val="none"/>
                <w:lang w:val="en-US" w:eastAsia="zh-CN"/>
              </w:rPr>
              <w:t>cm/s），或2mm厚高密度聚乙烯，或至少2mm厚的其他人工材料，渗透系数≤</w:t>
            </w:r>
            <w:r>
              <w:rPr>
                <w:rFonts w:hint="eastAsia"/>
                <w:highlight w:val="none"/>
              </w:rPr>
              <w:t>10</w:t>
            </w:r>
            <w:r>
              <w:rPr>
                <w:rFonts w:hint="eastAsia"/>
                <w:highlight w:val="none"/>
                <w:vertAlign w:val="superscript"/>
                <w:lang w:val="en-US" w:eastAsia="zh-CN"/>
              </w:rPr>
              <w:t>-10</w:t>
            </w:r>
            <w:r>
              <w:rPr>
                <w:rFonts w:hint="eastAsia"/>
                <w:highlight w:val="none"/>
                <w:lang w:val="en-US" w:eastAsia="zh-CN"/>
              </w:rPr>
              <w:t>cm/s，或其他防渗性能等效的材料。</w:t>
            </w:r>
          </w:p>
          <w:p>
            <w:pPr>
              <w:pStyle w:val="44"/>
              <w:bidi w:val="0"/>
              <w:rPr>
                <w:rFonts w:hint="eastAsia"/>
                <w:highlight w:val="none"/>
                <w:lang w:val="en-US" w:eastAsia="zh-CN"/>
              </w:rPr>
            </w:pPr>
            <w:r>
              <w:rPr>
                <w:rFonts w:hint="eastAsia"/>
                <w:highlight w:val="none"/>
                <w:lang w:val="en-US" w:eastAsia="zh-CN"/>
              </w:rPr>
              <w:t>⑤在危险废物暂存场所显著位置张贴危险废物的标识，根据《危险废物贮存污染控制标准》（GB18597-2023）中的相关要求，盛装危险废物的容器上必须粘贴符合标准的标签。</w:t>
            </w:r>
          </w:p>
          <w:p>
            <w:pPr>
              <w:pStyle w:val="44"/>
              <w:bidi w:val="0"/>
              <w:rPr>
                <w:rFonts w:hint="default"/>
                <w:highlight w:val="none"/>
                <w:lang w:val="en-US" w:eastAsia="zh-CN"/>
              </w:rPr>
            </w:pPr>
            <w:r>
              <w:rPr>
                <w:rFonts w:hint="eastAsia"/>
                <w:highlight w:val="none"/>
                <w:lang w:val="en-US" w:eastAsia="zh-CN"/>
              </w:rPr>
              <w:t>4）危险废物识别标志设置</w:t>
            </w:r>
          </w:p>
          <w:p>
            <w:pPr>
              <w:pStyle w:val="44"/>
              <w:bidi w:val="0"/>
              <w:rPr>
                <w:rFonts w:hint="eastAsia"/>
                <w:highlight w:val="none"/>
                <w:lang w:val="en-US" w:eastAsia="zh-CN"/>
              </w:rPr>
            </w:pPr>
            <w:r>
              <w:rPr>
                <w:rFonts w:hint="eastAsia"/>
                <w:highlight w:val="none"/>
                <w:lang w:val="en-US" w:eastAsia="zh-CN"/>
              </w:rPr>
              <w:t>危险废物的容器和包装物，以及收集、贮存、利用、处置危险废物的设施、场所使用的环境保护识别标志的设置，按照《危险废物识别标志设置技术规范》（HJ1276—2022）设置。危险废物识别标志见表4-15。</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表4-15  危险废物识别标志示例</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3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4" w:hRule="atLeast"/>
                <w:jc w:val="center"/>
              </w:trPr>
              <w:tc>
                <w:tcPr>
                  <w:tcW w:w="2499" w:type="pct"/>
                  <w:tcBorders>
                    <w:top w:val="single" w:color="auto" w:sz="4" w:space="0"/>
                    <w:left w:val="single" w:color="auto" w:sz="12" w:space="0"/>
                    <w:bottom w:val="single" w:color="auto" w:sz="4" w:space="0"/>
                    <w:right w:val="single" w:color="auto" w:sz="4" w:space="0"/>
                  </w:tcBorders>
                  <w:noWrap w:val="0"/>
                  <w:vAlign w:val="center"/>
                </w:tcPr>
                <w:p>
                  <w:pPr>
                    <w:pStyle w:val="43"/>
                    <w:bidi w:val="0"/>
                    <w:rPr>
                      <w:rFonts w:hint="default"/>
                      <w:highlight w:val="none"/>
                    </w:rPr>
                  </w:pPr>
                  <w:r>
                    <w:rPr>
                      <w:rFonts w:hint="eastAsia"/>
                      <w:highlight w:val="none"/>
                    </w:rPr>
                    <w:t>危险废物标签设置示意图</w:t>
                  </w:r>
                </w:p>
              </w:tc>
              <w:tc>
                <w:tcPr>
                  <w:tcW w:w="2500" w:type="pct"/>
                  <w:tcBorders>
                    <w:top w:val="single" w:color="auto" w:sz="4" w:space="0"/>
                    <w:left w:val="single" w:color="auto" w:sz="4" w:space="0"/>
                    <w:bottom w:val="single" w:color="auto" w:sz="4" w:space="0"/>
                    <w:right w:val="single" w:color="auto" w:sz="4" w:space="0"/>
                  </w:tcBorders>
                  <w:noWrap w:val="0"/>
                  <w:vAlign w:val="center"/>
                </w:tcPr>
                <w:p>
                  <w:pPr>
                    <w:pStyle w:val="43"/>
                    <w:bidi w:val="0"/>
                    <w:rPr>
                      <w:rFonts w:hint="default"/>
                      <w:highlight w:val="none"/>
                    </w:rPr>
                  </w:pPr>
                  <w:r>
                    <w:rPr>
                      <w:rFonts w:hint="eastAsia"/>
                      <w:highlight w:val="none"/>
                    </w:rPr>
                    <w:t>附着式危险废物贮存分区标志设置示意图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6" w:hRule="atLeast"/>
                <w:jc w:val="center"/>
              </w:trPr>
              <w:tc>
                <w:tcPr>
                  <w:tcW w:w="24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sz w:val="21"/>
                      <w:szCs w:val="21"/>
                      <w:highlight w:val="none"/>
                    </w:rPr>
                  </w:pPr>
                  <w:r>
                    <w:rPr>
                      <w:rFonts w:hint="default"/>
                      <w:sz w:val="21"/>
                      <w:szCs w:val="21"/>
                      <w:highlight w:val="none"/>
                    </w:rPr>
                    <w:drawing>
                      <wp:inline distT="0" distB="0" distL="114300" distR="114300">
                        <wp:extent cx="2291080" cy="1847850"/>
                        <wp:effectExtent l="0" t="0" r="1397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pic:cNvPicPr>
                              </pic:nvPicPr>
                              <pic:blipFill>
                                <a:blip r:embed="rId17"/>
                                <a:stretch>
                                  <a:fillRect/>
                                </a:stretch>
                              </pic:blipFill>
                              <pic:spPr>
                                <a:xfrm>
                                  <a:off x="0" y="0"/>
                                  <a:ext cx="2291080" cy="184785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sz w:val="21"/>
                      <w:szCs w:val="21"/>
                      <w:highlight w:val="none"/>
                    </w:rPr>
                  </w:pPr>
                  <w:r>
                    <w:rPr>
                      <w:rFonts w:hint="default"/>
                      <w:sz w:val="21"/>
                      <w:szCs w:val="21"/>
                      <w:highlight w:val="none"/>
                    </w:rPr>
                    <w:drawing>
                      <wp:inline distT="0" distB="0" distL="114300" distR="114300">
                        <wp:extent cx="2279650" cy="1838960"/>
                        <wp:effectExtent l="0" t="0" r="6350" b="889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8"/>
                                <a:stretch>
                                  <a:fillRect/>
                                </a:stretch>
                              </pic:blipFill>
                              <pic:spPr>
                                <a:xfrm>
                                  <a:off x="0" y="0"/>
                                  <a:ext cx="2279650" cy="183896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9" w:type="pct"/>
                  <w:tcBorders>
                    <w:top w:val="single" w:color="auto" w:sz="4" w:space="0"/>
                    <w:left w:val="single" w:color="auto" w:sz="4" w:space="0"/>
                    <w:bottom w:val="single" w:color="auto" w:sz="4" w:space="0"/>
                    <w:right w:val="single" w:color="auto" w:sz="4" w:space="0"/>
                  </w:tcBorders>
                  <w:noWrap w:val="0"/>
                  <w:vAlign w:val="center"/>
                </w:tcPr>
                <w:p>
                  <w:pPr>
                    <w:pStyle w:val="43"/>
                    <w:bidi w:val="0"/>
                    <w:rPr>
                      <w:rFonts w:hint="default"/>
                      <w:highlight w:val="none"/>
                    </w:rPr>
                  </w:pPr>
                  <w:r>
                    <w:rPr>
                      <w:rFonts w:hint="eastAsia"/>
                      <w:highlight w:val="none"/>
                    </w:rPr>
                    <w:t>附着式危险废物设施标志设置示意图</w:t>
                  </w:r>
                </w:p>
              </w:tc>
              <w:tc>
                <w:tcPr>
                  <w:tcW w:w="2500" w:type="pct"/>
                  <w:tcBorders>
                    <w:top w:val="single" w:color="auto" w:sz="4" w:space="0"/>
                    <w:left w:val="single" w:color="auto" w:sz="4" w:space="0"/>
                    <w:bottom w:val="single" w:color="auto" w:sz="4" w:space="0"/>
                    <w:right w:val="single" w:color="auto" w:sz="4" w:space="0"/>
                  </w:tcBorders>
                  <w:noWrap w:val="0"/>
                  <w:vAlign w:val="center"/>
                </w:tcPr>
                <w:p>
                  <w:pPr>
                    <w:pStyle w:val="43"/>
                    <w:bidi w:val="0"/>
                    <w:rPr>
                      <w:rFonts w:hint="default"/>
                      <w:highlight w:val="none"/>
                    </w:rPr>
                  </w:pPr>
                  <w:r>
                    <w:rPr>
                      <w:rFonts w:hint="eastAsia"/>
                      <w:highlight w:val="none"/>
                    </w:rPr>
                    <w:t>危险废物标签样式示意图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3" w:hRule="atLeast"/>
                <w:jc w:val="center"/>
              </w:trPr>
              <w:tc>
                <w:tcPr>
                  <w:tcW w:w="2499"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sz w:val="21"/>
                      <w:szCs w:val="21"/>
                      <w:highlight w:val="none"/>
                    </w:rPr>
                  </w:pPr>
                  <w:r>
                    <w:rPr>
                      <w:rFonts w:hint="default"/>
                      <w:sz w:val="21"/>
                      <w:szCs w:val="21"/>
                      <w:highlight w:val="none"/>
                    </w:rPr>
                    <w:drawing>
                      <wp:inline distT="0" distB="0" distL="114300" distR="114300">
                        <wp:extent cx="2299970" cy="1513205"/>
                        <wp:effectExtent l="0" t="0" r="5080" b="10795"/>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19"/>
                                <a:stretch>
                                  <a:fillRect/>
                                </a:stretch>
                              </pic:blipFill>
                              <pic:spPr>
                                <a:xfrm>
                                  <a:off x="0" y="0"/>
                                  <a:ext cx="2299970" cy="1513205"/>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sz w:val="21"/>
                      <w:szCs w:val="21"/>
                      <w:highlight w:val="none"/>
                    </w:rPr>
                  </w:pPr>
                  <w:r>
                    <w:rPr>
                      <w:rFonts w:hint="default"/>
                      <w:sz w:val="21"/>
                      <w:szCs w:val="21"/>
                      <w:highlight w:val="none"/>
                    </w:rPr>
                    <w:drawing>
                      <wp:inline distT="0" distB="0" distL="114300" distR="114300">
                        <wp:extent cx="1875155" cy="1873250"/>
                        <wp:effectExtent l="0" t="0" r="10795" b="1270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20"/>
                                <a:stretch>
                                  <a:fillRect/>
                                </a:stretch>
                              </pic:blipFill>
                              <pic:spPr>
                                <a:xfrm>
                                  <a:off x="0" y="0"/>
                                  <a:ext cx="1875155" cy="18732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2499" w:type="pct"/>
                  <w:tcBorders>
                    <w:top w:val="single" w:color="auto" w:sz="4" w:space="0"/>
                    <w:left w:val="single" w:color="auto" w:sz="4" w:space="0"/>
                    <w:bottom w:val="single" w:color="auto" w:sz="4" w:space="0"/>
                    <w:right w:val="single" w:color="auto" w:sz="4" w:space="0"/>
                  </w:tcBorders>
                  <w:noWrap w:val="0"/>
                  <w:vAlign w:val="center"/>
                </w:tcPr>
                <w:p>
                  <w:pPr>
                    <w:pStyle w:val="43"/>
                    <w:bidi w:val="0"/>
                    <w:rPr>
                      <w:rFonts w:hint="default"/>
                      <w:highlight w:val="none"/>
                      <w:lang w:val="en-US" w:eastAsia="zh-CN"/>
                    </w:rPr>
                  </w:pPr>
                  <w:r>
                    <w:rPr>
                      <w:rFonts w:hint="eastAsia"/>
                      <w:highlight w:val="none"/>
                    </w:rPr>
                    <w:t>危险废物贮存设施标志</w:t>
                  </w:r>
                </w:p>
              </w:tc>
              <w:tc>
                <w:tcPr>
                  <w:tcW w:w="2500" w:type="pct"/>
                  <w:tcBorders>
                    <w:top w:val="single" w:color="auto" w:sz="4" w:space="0"/>
                    <w:left w:val="single" w:color="auto" w:sz="4" w:space="0"/>
                    <w:bottom w:val="single" w:color="auto" w:sz="4" w:space="0"/>
                    <w:right w:val="single" w:color="auto" w:sz="4" w:space="0"/>
                  </w:tcBorders>
                  <w:noWrap w:val="0"/>
                  <w:vAlign w:val="center"/>
                </w:tcPr>
                <w:p>
                  <w:pPr>
                    <w:pStyle w:val="43"/>
                    <w:bidi w:val="0"/>
                    <w:rPr>
                      <w:rFonts w:hint="default"/>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92" w:hRule="atLeast"/>
                <w:jc w:val="center"/>
              </w:trPr>
              <w:tc>
                <w:tcPr>
                  <w:tcW w:w="24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drawing>
                      <wp:inline distT="0" distB="0" distL="114300" distR="114300">
                        <wp:extent cx="2292985" cy="1635125"/>
                        <wp:effectExtent l="0" t="0" r="12065" b="3175"/>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21"/>
                                <a:stretch>
                                  <a:fillRect/>
                                </a:stretch>
                              </pic:blipFill>
                              <pic:spPr>
                                <a:xfrm>
                                  <a:off x="0" y="0"/>
                                  <a:ext cx="2292985" cy="1635125"/>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sz w:val="21"/>
                      <w:szCs w:val="21"/>
                      <w:highlight w:val="none"/>
                    </w:rPr>
                  </w:pPr>
                </w:p>
              </w:tc>
            </w:tr>
          </w:tbl>
          <w:p>
            <w:pPr>
              <w:pStyle w:val="44"/>
              <w:bidi w:val="0"/>
              <w:rPr>
                <w:rFonts w:hint="eastAsia"/>
                <w:highlight w:val="none"/>
                <w:lang w:val="en-US" w:eastAsia="zh-CN"/>
              </w:rPr>
            </w:pPr>
          </w:p>
          <w:p>
            <w:pPr>
              <w:pStyle w:val="44"/>
              <w:bidi w:val="0"/>
              <w:rPr>
                <w:rFonts w:hint="eastAsia"/>
                <w:highlight w:val="none"/>
                <w:lang w:val="en-US" w:eastAsia="zh-CN"/>
              </w:rPr>
            </w:pPr>
            <w:r>
              <w:rPr>
                <w:rFonts w:hint="eastAsia"/>
                <w:highlight w:val="none"/>
                <w:lang w:val="en-US" w:eastAsia="zh-CN"/>
              </w:rPr>
              <w:t>5）转运</w:t>
            </w:r>
          </w:p>
          <w:p>
            <w:pPr>
              <w:pStyle w:val="44"/>
              <w:bidi w:val="0"/>
              <w:rPr>
                <w:rFonts w:hint="default"/>
                <w:highlight w:val="none"/>
                <w:lang w:val="en-US" w:eastAsia="zh-CN"/>
              </w:rPr>
            </w:pPr>
            <w:r>
              <w:rPr>
                <w:rFonts w:hint="default"/>
                <w:highlight w:val="none"/>
                <w:lang w:val="en-US" w:eastAsia="zh-CN"/>
              </w:rPr>
              <w:t>根据《危险废物转移管理办法》（生态环境部</w:t>
            </w:r>
            <w:r>
              <w:rPr>
                <w:rFonts w:hint="eastAsia"/>
                <w:highlight w:val="none"/>
                <w:lang w:val="en-US" w:eastAsia="zh-CN"/>
              </w:rPr>
              <w:t xml:space="preserve"> </w:t>
            </w:r>
            <w:r>
              <w:rPr>
                <w:rFonts w:hint="default"/>
                <w:highlight w:val="none"/>
                <w:lang w:val="en-US" w:eastAsia="zh-CN"/>
              </w:rPr>
              <w:t>部令 第23号）规定，危废转运执行危险废物转移联单制度，通过国家危险废物信息管理系统（以下简称信息系统）填写、运行危险废物电子转移联单，并依照国家有关规定公开危险废物转移相关污染环境防治信息。</w:t>
            </w:r>
          </w:p>
          <w:p>
            <w:pPr>
              <w:pStyle w:val="44"/>
              <w:bidi w:val="0"/>
              <w:rPr>
                <w:rFonts w:hint="default"/>
                <w:highlight w:val="none"/>
                <w:lang w:val="en-US" w:eastAsia="zh-CN"/>
              </w:rPr>
            </w:pPr>
            <w:r>
              <w:rPr>
                <w:rFonts w:hint="default"/>
                <w:highlight w:val="none"/>
                <w:lang w:val="en-US" w:eastAsia="zh-CN"/>
              </w:rPr>
              <w:t>建设单位应对承运人或者</w:t>
            </w:r>
            <w:r>
              <w:rPr>
                <w:rFonts w:hint="eastAsia"/>
                <w:highlight w:val="none"/>
                <w:lang w:val="en-US" w:eastAsia="zh-CN"/>
              </w:rPr>
              <w:t>接收</w:t>
            </w:r>
            <w:r>
              <w:rPr>
                <w:rFonts w:hint="default"/>
                <w:highlight w:val="none"/>
                <w:lang w:val="en-US" w:eastAsia="zh-CN"/>
              </w:rPr>
              <w:t>人的主体资格和技术能力进行核实，依法签订书面合同，并在合同中约定运输、贮存、利用、处置危险废物的污染防治要求及相关责任；制定危险废物管理计划，明确拟转移危险废物的种类、重量（数量）和流向等信息；建立危险废物管理台账，对转移的危险废物进行计量称重，如实记录、妥善保管转移危险废物的种类、重量（数量）和</w:t>
            </w:r>
            <w:r>
              <w:rPr>
                <w:rFonts w:hint="eastAsia"/>
                <w:highlight w:val="none"/>
                <w:lang w:val="en-US" w:eastAsia="zh-CN"/>
              </w:rPr>
              <w:t>接收人</w:t>
            </w:r>
            <w:r>
              <w:rPr>
                <w:rFonts w:hint="default"/>
                <w:highlight w:val="none"/>
                <w:lang w:val="en-US" w:eastAsia="zh-CN"/>
              </w:rPr>
              <w:t>等相关信息；填写、运行危险废物转移联单，在危险废物转移联单中如实填写移出人、承运人、</w:t>
            </w:r>
            <w:r>
              <w:rPr>
                <w:rFonts w:hint="eastAsia"/>
                <w:highlight w:val="none"/>
                <w:lang w:val="en-US" w:eastAsia="zh-CN"/>
              </w:rPr>
              <w:t>接收人</w:t>
            </w:r>
            <w:r>
              <w:rPr>
                <w:rFonts w:hint="default"/>
                <w:highlight w:val="none"/>
                <w:lang w:val="en-US" w:eastAsia="zh-CN"/>
              </w:rPr>
              <w:t>信息，转移危险废物的种类、重量（数量）、危险特性等信息，以及突发环境事件的防范措施等；及时核实</w:t>
            </w:r>
            <w:r>
              <w:rPr>
                <w:rFonts w:hint="eastAsia"/>
                <w:highlight w:val="none"/>
                <w:lang w:val="en-US" w:eastAsia="zh-CN"/>
              </w:rPr>
              <w:t>接收</w:t>
            </w:r>
            <w:r>
              <w:rPr>
                <w:rFonts w:hint="default"/>
                <w:highlight w:val="none"/>
                <w:lang w:val="en-US" w:eastAsia="zh-CN"/>
              </w:rPr>
              <w:t>人贮存、利用或者处置相关危险废物情况。</w:t>
            </w:r>
          </w:p>
          <w:p>
            <w:pPr>
              <w:pStyle w:val="44"/>
              <w:bidi w:val="0"/>
              <w:rPr>
                <w:rFonts w:hint="default"/>
                <w:highlight w:val="none"/>
                <w:lang w:val="en-US" w:eastAsia="zh-CN"/>
              </w:rPr>
            </w:pPr>
            <w:r>
              <w:rPr>
                <w:rFonts w:hint="default"/>
                <w:highlight w:val="none"/>
                <w:lang w:val="en-US" w:eastAsia="zh-CN"/>
              </w:rPr>
              <w:t>一旦发生危险废物泄漏事故，建设单位和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Style w:val="44"/>
              <w:bidi w:val="0"/>
              <w:rPr>
                <w:rFonts w:hint="default"/>
                <w:highlight w:val="none"/>
                <w:lang w:val="en-US" w:eastAsia="zh-CN"/>
              </w:rPr>
            </w:pPr>
            <w:r>
              <w:rPr>
                <w:rFonts w:hint="default"/>
                <w:highlight w:val="none"/>
                <w:lang w:val="en-US" w:eastAsia="zh-CN"/>
              </w:rPr>
              <w:t>转运人员在接收危险废物时，应检查各储存容器的外观是否按规定进行包装、标识，对包装破损、包装外表污染或未盛装于专用容器的危险废物，转运人员有权要求重新包装、标识。危险废物装卸时应将其整齐地装入车内，尽量减少人工操作；如需手工操作应做好人员防护。</w:t>
            </w:r>
          </w:p>
          <w:p>
            <w:pPr>
              <w:pStyle w:val="44"/>
              <w:bidi w:val="0"/>
              <w:rPr>
                <w:rFonts w:hint="default"/>
                <w:highlight w:val="none"/>
                <w:lang w:val="en-US" w:eastAsia="zh-CN"/>
              </w:rPr>
            </w:pPr>
            <w:r>
              <w:rPr>
                <w:rFonts w:hint="default"/>
                <w:highlight w:val="none"/>
                <w:lang w:val="en-US" w:eastAsia="zh-CN"/>
              </w:rPr>
              <w:t xml:space="preserve">转运人员出发前必须对车况进行检查；不得搭乘其他无关人员，不得装载或混装其他货物。车辆行驶时应锁闭车厢门，确保安全，不得丢失、遗撒。 </w:t>
            </w:r>
          </w:p>
          <w:p>
            <w:pPr>
              <w:pStyle w:val="44"/>
              <w:bidi w:val="0"/>
              <w:rPr>
                <w:rFonts w:hint="default"/>
                <w:highlight w:val="none"/>
                <w:lang w:val="en-US" w:eastAsia="zh-CN"/>
              </w:rPr>
            </w:pPr>
            <w:r>
              <w:rPr>
                <w:rFonts w:hint="default"/>
                <w:highlight w:val="none"/>
                <w:lang w:val="en-US" w:eastAsia="zh-CN"/>
              </w:rPr>
              <w:t>一旦发生危险废物泄漏事故，公司和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Style w:val="44"/>
              <w:bidi w:val="0"/>
              <w:rPr>
                <w:rFonts w:hint="eastAsia"/>
                <w:highlight w:val="none"/>
                <w:lang w:val="en-US" w:eastAsia="zh-CN"/>
              </w:rPr>
            </w:pPr>
            <w:r>
              <w:rPr>
                <w:rFonts w:hint="eastAsia"/>
                <w:highlight w:val="none"/>
                <w:lang w:val="en-US" w:eastAsia="zh-CN"/>
              </w:rPr>
              <w:t>6）管理制度建设</w:t>
            </w:r>
          </w:p>
          <w:p>
            <w:pPr>
              <w:pStyle w:val="44"/>
              <w:bidi w:val="0"/>
              <w:rPr>
                <w:rFonts w:hint="eastAsia"/>
                <w:highlight w:val="none"/>
                <w:lang w:val="en-US" w:eastAsia="zh-CN"/>
              </w:rPr>
            </w:pPr>
            <w:r>
              <w:rPr>
                <w:rFonts w:hint="eastAsia"/>
                <w:highlight w:val="none"/>
                <w:lang w:val="en-US" w:eastAsia="zh-CN"/>
              </w:rPr>
              <w:t>①建立固废防治责任制度：建设单位按要求建立、健全污染环境防治责任制度，明确责任人。负责人熟悉危险废物管理相关法规、制度、标准、规范。</w:t>
            </w:r>
          </w:p>
          <w:p>
            <w:pPr>
              <w:pStyle w:val="44"/>
              <w:bidi w:val="0"/>
              <w:rPr>
                <w:rFonts w:hint="eastAsia"/>
                <w:highlight w:val="none"/>
                <w:lang w:val="en-US" w:eastAsia="zh-CN"/>
              </w:rPr>
            </w:pPr>
            <w:r>
              <w:rPr>
                <w:rFonts w:hint="eastAsia"/>
                <w:highlight w:val="none"/>
                <w:lang w:val="en-US" w:eastAsia="zh-CN"/>
              </w:rPr>
              <w:t>②制定危险废物管理计划：按要求制定危险废物管理计划，计划涵盖危险废物的产生环节、种类、危害特性、产生量、利用处置方式并报环保部门备案，如发生重大改变及时申报。</w:t>
            </w:r>
          </w:p>
          <w:p>
            <w:pPr>
              <w:pStyle w:val="44"/>
              <w:bidi w:val="0"/>
              <w:rPr>
                <w:rFonts w:hint="eastAsia"/>
                <w:highlight w:val="none"/>
                <w:lang w:val="en-US" w:eastAsia="zh-CN"/>
              </w:rPr>
            </w:pPr>
            <w:r>
              <w:rPr>
                <w:rFonts w:hint="eastAsia"/>
                <w:highlight w:val="none"/>
                <w:lang w:val="en-US" w:eastAsia="zh-CN"/>
              </w:rPr>
              <w:t>③建立申报登记制度：如实地向所在地县级以上地方人民政府环境保护行政主管部门申报危险废物的种类、产生量、流向、贮存、处置等有关资料。</w:t>
            </w:r>
          </w:p>
          <w:p>
            <w:pPr>
              <w:pStyle w:val="44"/>
              <w:bidi w:val="0"/>
              <w:rPr>
                <w:rFonts w:hint="eastAsia"/>
                <w:highlight w:val="none"/>
              </w:rPr>
            </w:pPr>
            <w:r>
              <w:rPr>
                <w:rFonts w:hint="eastAsia"/>
                <w:highlight w:val="none"/>
              </w:rPr>
              <w:t>④固废的暂存制度：项目产生的危险废物贮存执行《危险废物贮存污染控制标准》（GB18597-2023）及《危险废物收集</w:t>
            </w:r>
            <w:r>
              <w:rPr>
                <w:rFonts w:hint="eastAsia"/>
                <w:highlight w:val="none"/>
                <w:lang w:val="en-US" w:eastAsia="zh-CN"/>
              </w:rPr>
              <w:t>贮存</w:t>
            </w:r>
            <w:r>
              <w:rPr>
                <w:rFonts w:hint="eastAsia"/>
                <w:highlight w:val="none"/>
              </w:rPr>
              <w:t>运输技术规范》（HJ2025-2012）中相关规定要求，根据危险废物的包装、贮存设施的选址、设计、运行、安全防护、监测和关闭等要求进行合理的贮存。</w:t>
            </w:r>
          </w:p>
          <w:p>
            <w:pPr>
              <w:pStyle w:val="44"/>
              <w:bidi w:val="0"/>
              <w:rPr>
                <w:rFonts w:hint="eastAsia"/>
                <w:highlight w:val="none"/>
                <w:lang w:val="en-US" w:eastAsia="zh-CN"/>
              </w:rPr>
            </w:pPr>
            <w:r>
              <w:rPr>
                <w:rFonts w:hint="eastAsia"/>
                <w:highlight w:val="none"/>
                <w:lang w:val="en-US" w:eastAsia="zh-CN"/>
              </w:rPr>
              <w:t>4.3委托处置</w:t>
            </w:r>
          </w:p>
          <w:p>
            <w:pPr>
              <w:pStyle w:val="44"/>
              <w:bidi w:val="0"/>
              <w:rPr>
                <w:rFonts w:hint="eastAsia"/>
                <w:highlight w:val="none"/>
                <w:lang w:val="en-US" w:eastAsia="zh-CN"/>
              </w:rPr>
            </w:pPr>
            <w:r>
              <w:rPr>
                <w:rFonts w:hint="eastAsia"/>
                <w:highlight w:val="none"/>
                <w:lang w:val="en-US" w:eastAsia="zh-CN"/>
              </w:rPr>
              <w:t>本项目危废贮存点内暂存的危险废物，定期交由有相应经营类别资质的危废处置单位安全处置，本项目建设单位不自行外运、转移，危险废物按规定委托处置后对环境影响不大。</w:t>
            </w:r>
          </w:p>
          <w:p>
            <w:pPr>
              <w:pStyle w:val="44"/>
              <w:bidi w:val="0"/>
              <w:rPr>
                <w:rFonts w:hint="eastAsia"/>
                <w:highlight w:val="none"/>
                <w:lang w:val="en-US" w:eastAsia="zh-CN"/>
              </w:rPr>
            </w:pPr>
            <w:r>
              <w:rPr>
                <w:rFonts w:hint="eastAsia"/>
                <w:highlight w:val="none"/>
                <w:lang w:val="en-US" w:eastAsia="zh-CN"/>
              </w:rPr>
              <w:t>按照《建设项目危险废物环境影响评价指南》（生态环境部公告 2017年第43号）要求，本项目危险废物产生、处理汇总情况见表4-16、暂存情况见表4-17。</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表4-16  危险废物汇总表</w:t>
            </w:r>
          </w:p>
          <w:tbl>
            <w:tblPr>
              <w:tblStyle w:val="48"/>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9"/>
              <w:gridCol w:w="808"/>
              <w:gridCol w:w="657"/>
              <w:gridCol w:w="1055"/>
              <w:gridCol w:w="674"/>
              <w:gridCol w:w="706"/>
              <w:gridCol w:w="515"/>
              <w:gridCol w:w="515"/>
              <w:gridCol w:w="515"/>
              <w:gridCol w:w="588"/>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3" w:type="pct"/>
                  <w:noWrap w:val="0"/>
                  <w:vAlign w:val="center"/>
                </w:tcPr>
                <w:p>
                  <w:pPr>
                    <w:pStyle w:val="30"/>
                    <w:bidi w:val="0"/>
                    <w:rPr>
                      <w:highlight w:val="none"/>
                      <w:lang w:val="en-US" w:eastAsia="en-US"/>
                    </w:rPr>
                  </w:pPr>
                  <w:r>
                    <w:rPr>
                      <w:highlight w:val="none"/>
                      <w:lang w:val="en-US" w:eastAsia="en-US"/>
                    </w:rPr>
                    <w:t>序号</w:t>
                  </w:r>
                </w:p>
              </w:tc>
              <w:tc>
                <w:tcPr>
                  <w:tcW w:w="519" w:type="pct"/>
                  <w:noWrap w:val="0"/>
                  <w:vAlign w:val="center"/>
                </w:tcPr>
                <w:p>
                  <w:pPr>
                    <w:pStyle w:val="30"/>
                    <w:bidi w:val="0"/>
                    <w:rPr>
                      <w:highlight w:val="none"/>
                      <w:lang w:val="en-US" w:eastAsia="en-US"/>
                    </w:rPr>
                  </w:pPr>
                  <w:r>
                    <w:rPr>
                      <w:highlight w:val="none"/>
                      <w:lang w:val="en-US" w:eastAsia="en-US"/>
                    </w:rPr>
                    <w:t>危险废物名称</w:t>
                  </w:r>
                </w:p>
              </w:tc>
              <w:tc>
                <w:tcPr>
                  <w:tcW w:w="422" w:type="pct"/>
                  <w:noWrap w:val="0"/>
                  <w:vAlign w:val="center"/>
                </w:tcPr>
                <w:p>
                  <w:pPr>
                    <w:pStyle w:val="30"/>
                    <w:bidi w:val="0"/>
                    <w:rPr>
                      <w:highlight w:val="none"/>
                      <w:lang w:val="en-US" w:eastAsia="en-US"/>
                    </w:rPr>
                  </w:pPr>
                  <w:r>
                    <w:rPr>
                      <w:highlight w:val="none"/>
                      <w:lang w:val="en-US" w:eastAsia="en-US"/>
                    </w:rPr>
                    <w:t>危险废物类别</w:t>
                  </w:r>
                </w:p>
              </w:tc>
              <w:tc>
                <w:tcPr>
                  <w:tcW w:w="678" w:type="pct"/>
                  <w:noWrap w:val="0"/>
                  <w:vAlign w:val="center"/>
                </w:tcPr>
                <w:p>
                  <w:pPr>
                    <w:pStyle w:val="30"/>
                    <w:bidi w:val="0"/>
                    <w:rPr>
                      <w:highlight w:val="none"/>
                      <w:lang w:val="en-US" w:eastAsia="en-US"/>
                    </w:rPr>
                  </w:pPr>
                  <w:r>
                    <w:rPr>
                      <w:highlight w:val="none"/>
                      <w:lang w:val="en-US" w:eastAsia="en-US"/>
                    </w:rPr>
                    <w:t>危险废物代码</w:t>
                  </w:r>
                </w:p>
              </w:tc>
              <w:tc>
                <w:tcPr>
                  <w:tcW w:w="433" w:type="pct"/>
                  <w:noWrap w:val="0"/>
                  <w:vAlign w:val="center"/>
                </w:tcPr>
                <w:p>
                  <w:pPr>
                    <w:pStyle w:val="30"/>
                    <w:bidi w:val="0"/>
                    <w:rPr>
                      <w:highlight w:val="none"/>
                      <w:lang w:val="en-US" w:eastAsia="en-US"/>
                    </w:rPr>
                  </w:pPr>
                  <w:r>
                    <w:rPr>
                      <w:highlight w:val="none"/>
                      <w:lang w:val="en-US" w:eastAsia="en-US"/>
                    </w:rPr>
                    <w:t>产生量（t/a）</w:t>
                  </w:r>
                </w:p>
              </w:tc>
              <w:tc>
                <w:tcPr>
                  <w:tcW w:w="454" w:type="pct"/>
                  <w:noWrap w:val="0"/>
                  <w:vAlign w:val="center"/>
                </w:tcPr>
                <w:p>
                  <w:pPr>
                    <w:pStyle w:val="30"/>
                    <w:bidi w:val="0"/>
                    <w:rPr>
                      <w:highlight w:val="none"/>
                      <w:lang w:val="en-US" w:eastAsia="en-US"/>
                    </w:rPr>
                  </w:pPr>
                  <w:r>
                    <w:rPr>
                      <w:highlight w:val="none"/>
                      <w:lang w:val="en-US" w:eastAsia="en-US"/>
                    </w:rPr>
                    <w:t>产生工序及装</w:t>
                  </w:r>
                </w:p>
                <w:p>
                  <w:pPr>
                    <w:pStyle w:val="30"/>
                    <w:bidi w:val="0"/>
                    <w:rPr>
                      <w:highlight w:val="none"/>
                      <w:lang w:val="en-US" w:eastAsia="en-US"/>
                    </w:rPr>
                  </w:pPr>
                  <w:r>
                    <w:rPr>
                      <w:highlight w:val="none"/>
                      <w:lang w:val="en-US" w:eastAsia="en-US"/>
                    </w:rPr>
                    <w:t>置</w:t>
                  </w:r>
                </w:p>
              </w:tc>
              <w:tc>
                <w:tcPr>
                  <w:tcW w:w="331" w:type="pct"/>
                  <w:noWrap w:val="0"/>
                  <w:vAlign w:val="center"/>
                </w:tcPr>
                <w:p>
                  <w:pPr>
                    <w:pStyle w:val="30"/>
                    <w:bidi w:val="0"/>
                    <w:rPr>
                      <w:highlight w:val="none"/>
                      <w:lang w:val="en-US" w:eastAsia="en-US"/>
                    </w:rPr>
                  </w:pPr>
                  <w:r>
                    <w:rPr>
                      <w:highlight w:val="none"/>
                      <w:lang w:val="en-US" w:eastAsia="en-US"/>
                    </w:rPr>
                    <w:t>形态</w:t>
                  </w:r>
                </w:p>
              </w:tc>
              <w:tc>
                <w:tcPr>
                  <w:tcW w:w="331" w:type="pct"/>
                  <w:noWrap w:val="0"/>
                  <w:vAlign w:val="center"/>
                </w:tcPr>
                <w:p>
                  <w:pPr>
                    <w:pStyle w:val="30"/>
                    <w:bidi w:val="0"/>
                    <w:rPr>
                      <w:highlight w:val="none"/>
                      <w:lang w:val="en-US" w:eastAsia="en-US"/>
                    </w:rPr>
                  </w:pPr>
                  <w:r>
                    <w:rPr>
                      <w:highlight w:val="none"/>
                      <w:lang w:val="en-US" w:eastAsia="en-US"/>
                    </w:rPr>
                    <w:t>主要成分</w:t>
                  </w:r>
                </w:p>
              </w:tc>
              <w:tc>
                <w:tcPr>
                  <w:tcW w:w="331" w:type="pct"/>
                  <w:noWrap w:val="0"/>
                  <w:vAlign w:val="center"/>
                </w:tcPr>
                <w:p>
                  <w:pPr>
                    <w:pStyle w:val="30"/>
                    <w:bidi w:val="0"/>
                    <w:rPr>
                      <w:highlight w:val="none"/>
                      <w:lang w:val="en-US" w:eastAsia="en-US"/>
                    </w:rPr>
                  </w:pPr>
                  <w:r>
                    <w:rPr>
                      <w:highlight w:val="none"/>
                      <w:lang w:val="en-US" w:eastAsia="en-US"/>
                    </w:rPr>
                    <w:t>产废周期</w:t>
                  </w:r>
                </w:p>
              </w:tc>
              <w:tc>
                <w:tcPr>
                  <w:tcW w:w="378" w:type="pct"/>
                  <w:noWrap w:val="0"/>
                  <w:vAlign w:val="center"/>
                </w:tcPr>
                <w:p>
                  <w:pPr>
                    <w:pStyle w:val="30"/>
                    <w:bidi w:val="0"/>
                    <w:rPr>
                      <w:highlight w:val="none"/>
                      <w:lang w:val="en-US" w:eastAsia="en-US"/>
                    </w:rPr>
                  </w:pPr>
                  <w:r>
                    <w:rPr>
                      <w:highlight w:val="none"/>
                      <w:lang w:val="en-US" w:eastAsia="en-US"/>
                    </w:rPr>
                    <w:t>危险特性</w:t>
                  </w:r>
                </w:p>
              </w:tc>
              <w:tc>
                <w:tcPr>
                  <w:tcW w:w="925" w:type="pct"/>
                  <w:noWrap w:val="0"/>
                  <w:vAlign w:val="center"/>
                </w:tcPr>
                <w:p>
                  <w:pPr>
                    <w:pStyle w:val="30"/>
                    <w:bidi w:val="0"/>
                    <w:rPr>
                      <w:highlight w:val="none"/>
                      <w:lang w:val="en-US" w:eastAsia="en-US"/>
                    </w:rPr>
                  </w:pPr>
                  <w:r>
                    <w:rPr>
                      <w:highlight w:val="none"/>
                      <w:lang w:val="en-US" w:eastAsia="en-US"/>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3" w:type="pct"/>
                  <w:noWrap w:val="0"/>
                  <w:vAlign w:val="center"/>
                </w:tcPr>
                <w:p>
                  <w:pPr>
                    <w:pStyle w:val="30"/>
                    <w:bidi w:val="0"/>
                    <w:rPr>
                      <w:rFonts w:hint="eastAsia"/>
                      <w:highlight w:val="none"/>
                      <w:lang w:val="en-US" w:eastAsia="zh-CN"/>
                    </w:rPr>
                  </w:pPr>
                  <w:r>
                    <w:rPr>
                      <w:rFonts w:hint="eastAsia"/>
                      <w:highlight w:val="none"/>
                      <w:lang w:val="en-US" w:eastAsia="zh-CN"/>
                    </w:rPr>
                    <w:t>1</w:t>
                  </w:r>
                </w:p>
              </w:tc>
              <w:tc>
                <w:tcPr>
                  <w:tcW w:w="519" w:type="pct"/>
                  <w:noWrap w:val="0"/>
                  <w:vAlign w:val="center"/>
                </w:tcPr>
                <w:p>
                  <w:pPr>
                    <w:pStyle w:val="30"/>
                    <w:bidi w:val="0"/>
                    <w:rPr>
                      <w:rFonts w:hint="eastAsia" w:ascii="Times New Roman" w:hAnsi="Times New Roman" w:eastAsia="宋体" w:cs="Times New Roman"/>
                      <w:sz w:val="21"/>
                      <w:szCs w:val="21"/>
                      <w:highlight w:val="none"/>
                      <w:lang w:val="en-US" w:eastAsia="en-US" w:bidi="ar-SA"/>
                    </w:rPr>
                  </w:pPr>
                  <w:r>
                    <w:rPr>
                      <w:rFonts w:hint="eastAsia"/>
                      <w:highlight w:val="none"/>
                      <w:lang w:val="en-US" w:eastAsia="zh-CN"/>
                    </w:rPr>
                    <w:t>废液压油</w:t>
                  </w:r>
                </w:p>
              </w:tc>
              <w:tc>
                <w:tcPr>
                  <w:tcW w:w="422" w:type="pct"/>
                  <w:noWrap w:val="0"/>
                  <w:vAlign w:val="center"/>
                </w:tcPr>
                <w:p>
                  <w:pPr>
                    <w:pStyle w:val="30"/>
                    <w:bidi w:val="0"/>
                    <w:rPr>
                      <w:rFonts w:hint="default" w:ascii="Times New Roman" w:hAnsi="Times New Roman" w:eastAsia="宋体" w:cs="Times New Roman"/>
                      <w:sz w:val="21"/>
                      <w:szCs w:val="21"/>
                      <w:highlight w:val="none"/>
                      <w:lang w:val="en-US" w:eastAsia="en-US" w:bidi="ar-SA"/>
                    </w:rPr>
                  </w:pPr>
                  <w:r>
                    <w:rPr>
                      <w:rFonts w:hint="eastAsia"/>
                      <w:highlight w:val="none"/>
                      <w:lang w:val="en-US" w:eastAsia="zh-CN"/>
                    </w:rPr>
                    <w:t>HW08</w:t>
                  </w:r>
                </w:p>
              </w:tc>
              <w:tc>
                <w:tcPr>
                  <w:tcW w:w="678" w:type="pct"/>
                  <w:noWrap w:val="0"/>
                  <w:vAlign w:val="center"/>
                </w:tcPr>
                <w:p>
                  <w:pPr>
                    <w:pStyle w:val="30"/>
                    <w:bidi w:val="0"/>
                    <w:rPr>
                      <w:rFonts w:ascii="Times New Roman" w:hAnsi="Times New Roman" w:eastAsia="宋体" w:cs="Times New Roman"/>
                      <w:sz w:val="21"/>
                      <w:szCs w:val="21"/>
                      <w:highlight w:val="none"/>
                      <w:lang w:val="zh-CN" w:eastAsia="en-US" w:bidi="ar-SA"/>
                    </w:rPr>
                  </w:pPr>
                  <w:r>
                    <w:rPr>
                      <w:highlight w:val="none"/>
                      <w:lang w:eastAsia="en-US"/>
                    </w:rPr>
                    <w:t>900-21</w:t>
                  </w:r>
                  <w:r>
                    <w:rPr>
                      <w:rFonts w:hint="eastAsia"/>
                      <w:highlight w:val="none"/>
                      <w:lang w:val="en-US" w:eastAsia="zh-CN"/>
                    </w:rPr>
                    <w:t>7</w:t>
                  </w:r>
                  <w:r>
                    <w:rPr>
                      <w:highlight w:val="none"/>
                      <w:lang w:eastAsia="en-US"/>
                    </w:rPr>
                    <w:t>-08</w:t>
                  </w:r>
                </w:p>
              </w:tc>
              <w:tc>
                <w:tcPr>
                  <w:tcW w:w="433" w:type="pct"/>
                  <w:noWrap w:val="0"/>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0.5</w:t>
                  </w:r>
                </w:p>
              </w:tc>
              <w:tc>
                <w:tcPr>
                  <w:tcW w:w="454" w:type="pct"/>
                  <w:noWrap w:val="0"/>
                  <w:vAlign w:val="center"/>
                </w:tcPr>
                <w:p>
                  <w:pPr>
                    <w:pStyle w:val="30"/>
                    <w:bidi w:val="0"/>
                    <w:rPr>
                      <w:rFonts w:hint="eastAsia" w:ascii="Times New Roman" w:hAnsi="Times New Roman" w:eastAsia="宋体" w:cs="Times New Roman"/>
                      <w:sz w:val="21"/>
                      <w:szCs w:val="21"/>
                      <w:highlight w:val="none"/>
                      <w:lang w:val="en-US" w:eastAsia="en-US" w:bidi="ar-SA"/>
                    </w:rPr>
                  </w:pPr>
                  <w:r>
                    <w:rPr>
                      <w:rFonts w:hint="eastAsia"/>
                      <w:highlight w:val="none"/>
                      <w:lang w:val="en-US" w:eastAsia="zh-CN"/>
                    </w:rPr>
                    <w:t>设备保养</w:t>
                  </w:r>
                </w:p>
              </w:tc>
              <w:tc>
                <w:tcPr>
                  <w:tcW w:w="331" w:type="pct"/>
                  <w:noWrap w:val="0"/>
                  <w:vAlign w:val="center"/>
                </w:tcPr>
                <w:p>
                  <w:pPr>
                    <w:pStyle w:val="30"/>
                    <w:bidi w:val="0"/>
                    <w:rPr>
                      <w:rFonts w:hint="eastAsia" w:ascii="Times New Roman" w:hAnsi="Times New Roman" w:eastAsia="宋体" w:cs="Times New Roman"/>
                      <w:sz w:val="21"/>
                      <w:szCs w:val="21"/>
                      <w:highlight w:val="none"/>
                      <w:lang w:val="en-US" w:eastAsia="en-US" w:bidi="ar-SA"/>
                    </w:rPr>
                  </w:pPr>
                  <w:r>
                    <w:rPr>
                      <w:rFonts w:hint="eastAsia"/>
                      <w:highlight w:val="none"/>
                      <w:lang w:val="en-US" w:eastAsia="zh-CN"/>
                    </w:rPr>
                    <w:t>液体</w:t>
                  </w:r>
                </w:p>
              </w:tc>
              <w:tc>
                <w:tcPr>
                  <w:tcW w:w="331" w:type="pct"/>
                  <w:noWrap w:val="0"/>
                  <w:vAlign w:val="center"/>
                </w:tcPr>
                <w:p>
                  <w:pPr>
                    <w:pStyle w:val="30"/>
                    <w:bidi w:val="0"/>
                    <w:rPr>
                      <w:rFonts w:hint="eastAsia" w:ascii="Times New Roman" w:hAnsi="Times New Roman" w:eastAsia="宋体" w:cs="Times New Roman"/>
                      <w:sz w:val="21"/>
                      <w:szCs w:val="21"/>
                      <w:highlight w:val="none"/>
                      <w:lang w:val="en-US" w:eastAsia="en-US" w:bidi="ar-SA"/>
                    </w:rPr>
                  </w:pPr>
                  <w:r>
                    <w:rPr>
                      <w:rFonts w:hint="eastAsia"/>
                      <w:highlight w:val="none"/>
                      <w:lang w:val="en-US" w:eastAsia="zh-CN"/>
                    </w:rPr>
                    <w:t>液压油</w:t>
                  </w:r>
                </w:p>
              </w:tc>
              <w:tc>
                <w:tcPr>
                  <w:tcW w:w="331" w:type="pct"/>
                  <w:noWrap w:val="0"/>
                  <w:vAlign w:val="center"/>
                </w:tcPr>
                <w:p>
                  <w:pPr>
                    <w:pStyle w:val="30"/>
                    <w:bidi w:val="0"/>
                    <w:rPr>
                      <w:rFonts w:ascii="Times New Roman" w:hAnsi="Times New Roman" w:eastAsia="宋体" w:cs="Times New Roman"/>
                      <w:sz w:val="21"/>
                      <w:szCs w:val="21"/>
                      <w:highlight w:val="none"/>
                      <w:lang w:val="en-US" w:eastAsia="en-US" w:bidi="ar-SA"/>
                    </w:rPr>
                  </w:pPr>
                  <w:r>
                    <w:rPr>
                      <w:rFonts w:hint="eastAsia"/>
                      <w:highlight w:val="none"/>
                      <w:lang w:val="en-US" w:eastAsia="zh-CN"/>
                    </w:rPr>
                    <w:t>不定期</w:t>
                  </w:r>
                </w:p>
              </w:tc>
              <w:tc>
                <w:tcPr>
                  <w:tcW w:w="378" w:type="pct"/>
                  <w:noWrap w:val="0"/>
                  <w:vAlign w:val="center"/>
                </w:tcPr>
                <w:p>
                  <w:pPr>
                    <w:pStyle w:val="30"/>
                    <w:bidi w:val="0"/>
                    <w:rPr>
                      <w:rFonts w:ascii="Times New Roman" w:hAnsi="Times New Roman" w:eastAsia="宋体" w:cs="Times New Roman"/>
                      <w:sz w:val="21"/>
                      <w:szCs w:val="21"/>
                      <w:highlight w:val="none"/>
                      <w:lang w:val="zh-CN" w:eastAsia="en-US" w:bidi="ar-SA"/>
                    </w:rPr>
                  </w:pPr>
                  <w:r>
                    <w:rPr>
                      <w:highlight w:val="none"/>
                      <w:lang w:eastAsia="en-US"/>
                    </w:rPr>
                    <w:t>T/I</w:t>
                  </w:r>
                </w:p>
              </w:tc>
              <w:tc>
                <w:tcPr>
                  <w:tcW w:w="925" w:type="pct"/>
                  <w:noWrap w:val="0"/>
                  <w:vAlign w:val="center"/>
                </w:tcPr>
                <w:p>
                  <w:pPr>
                    <w:pStyle w:val="30"/>
                    <w:bidi w:val="0"/>
                    <w:rPr>
                      <w:highlight w:val="none"/>
                      <w:lang w:val="en-US" w:eastAsia="en-US"/>
                    </w:rPr>
                  </w:pPr>
                  <w:r>
                    <w:rPr>
                      <w:highlight w:val="none"/>
                      <w:lang w:val="en-US" w:eastAsia="en-US"/>
                    </w:rPr>
                    <w:t>暂存于危废</w:t>
                  </w:r>
                  <w:r>
                    <w:rPr>
                      <w:rFonts w:hint="eastAsia"/>
                      <w:highlight w:val="none"/>
                      <w:lang w:val="en-US" w:eastAsia="zh-CN"/>
                    </w:rPr>
                    <w:t>贮存点</w:t>
                  </w:r>
                  <w:r>
                    <w:rPr>
                      <w:highlight w:val="none"/>
                      <w:lang w:val="en-US" w:eastAsia="en-US"/>
                    </w:rPr>
                    <w:t>内，由有资质的单位清运处置</w:t>
                  </w:r>
                </w:p>
              </w:tc>
            </w:tr>
          </w:tbl>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表4-17  危险废物贮存场所（设施）基本情况表</w:t>
            </w:r>
          </w:p>
          <w:tbl>
            <w:tblPr>
              <w:tblStyle w:val="4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1"/>
              <w:gridCol w:w="761"/>
              <w:gridCol w:w="973"/>
              <w:gridCol w:w="973"/>
              <w:gridCol w:w="1011"/>
              <w:gridCol w:w="712"/>
              <w:gridCol w:w="668"/>
              <w:gridCol w:w="1091"/>
              <w:gridCol w:w="496"/>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0" w:type="pct"/>
                  <w:noWrap w:val="0"/>
                  <w:vAlign w:val="center"/>
                </w:tcPr>
                <w:p>
                  <w:pPr>
                    <w:pStyle w:val="30"/>
                    <w:bidi w:val="0"/>
                    <w:rPr>
                      <w:highlight w:val="none"/>
                      <w:lang w:val="en-US" w:eastAsia="en-US"/>
                    </w:rPr>
                  </w:pPr>
                  <w:r>
                    <w:rPr>
                      <w:highlight w:val="none"/>
                      <w:lang w:val="en-US" w:eastAsia="en-US"/>
                    </w:rPr>
                    <w:t>序号</w:t>
                  </w:r>
                </w:p>
              </w:tc>
              <w:tc>
                <w:tcPr>
                  <w:tcW w:w="486" w:type="pct"/>
                  <w:noWrap w:val="0"/>
                  <w:vAlign w:val="center"/>
                </w:tcPr>
                <w:p>
                  <w:pPr>
                    <w:pStyle w:val="30"/>
                    <w:bidi w:val="0"/>
                    <w:rPr>
                      <w:highlight w:val="none"/>
                      <w:lang w:val="en-US" w:eastAsia="en-US"/>
                    </w:rPr>
                  </w:pPr>
                  <w:r>
                    <w:rPr>
                      <w:highlight w:val="none"/>
                      <w:lang w:val="en-US" w:eastAsia="en-US"/>
                    </w:rPr>
                    <w:t>贮存场所（设施）名称</w:t>
                  </w:r>
                </w:p>
              </w:tc>
              <w:tc>
                <w:tcPr>
                  <w:tcW w:w="620" w:type="pct"/>
                  <w:noWrap w:val="0"/>
                  <w:vAlign w:val="center"/>
                </w:tcPr>
                <w:p>
                  <w:pPr>
                    <w:pStyle w:val="30"/>
                    <w:bidi w:val="0"/>
                    <w:rPr>
                      <w:highlight w:val="none"/>
                      <w:lang w:val="en-US" w:eastAsia="en-US"/>
                    </w:rPr>
                  </w:pPr>
                  <w:r>
                    <w:rPr>
                      <w:highlight w:val="none"/>
                      <w:lang w:val="en-US" w:eastAsia="en-US"/>
                    </w:rPr>
                    <w:t>危险废物名称</w:t>
                  </w:r>
                </w:p>
              </w:tc>
              <w:tc>
                <w:tcPr>
                  <w:tcW w:w="620" w:type="pct"/>
                  <w:noWrap w:val="0"/>
                  <w:vAlign w:val="center"/>
                </w:tcPr>
                <w:p>
                  <w:pPr>
                    <w:pStyle w:val="30"/>
                    <w:bidi w:val="0"/>
                    <w:rPr>
                      <w:highlight w:val="none"/>
                      <w:lang w:val="en-US" w:eastAsia="en-US"/>
                    </w:rPr>
                  </w:pPr>
                  <w:r>
                    <w:rPr>
                      <w:highlight w:val="none"/>
                      <w:lang w:val="en-US" w:eastAsia="en-US"/>
                    </w:rPr>
                    <w:t>危险废物类别</w:t>
                  </w:r>
                </w:p>
              </w:tc>
              <w:tc>
                <w:tcPr>
                  <w:tcW w:w="645" w:type="pct"/>
                  <w:noWrap w:val="0"/>
                  <w:vAlign w:val="center"/>
                </w:tcPr>
                <w:p>
                  <w:pPr>
                    <w:pStyle w:val="30"/>
                    <w:bidi w:val="0"/>
                    <w:rPr>
                      <w:highlight w:val="none"/>
                      <w:lang w:val="en-US" w:eastAsia="en-US"/>
                    </w:rPr>
                  </w:pPr>
                  <w:r>
                    <w:rPr>
                      <w:highlight w:val="none"/>
                      <w:lang w:val="en-US" w:eastAsia="en-US"/>
                    </w:rPr>
                    <w:t>危险废物代码</w:t>
                  </w:r>
                </w:p>
              </w:tc>
              <w:tc>
                <w:tcPr>
                  <w:tcW w:w="454" w:type="pct"/>
                  <w:noWrap w:val="0"/>
                  <w:vAlign w:val="center"/>
                </w:tcPr>
                <w:p>
                  <w:pPr>
                    <w:pStyle w:val="30"/>
                    <w:bidi w:val="0"/>
                    <w:rPr>
                      <w:highlight w:val="none"/>
                      <w:lang w:val="en-US" w:eastAsia="en-US"/>
                    </w:rPr>
                  </w:pPr>
                  <w:r>
                    <w:rPr>
                      <w:highlight w:val="none"/>
                      <w:lang w:val="en-US" w:eastAsia="en-US"/>
                    </w:rPr>
                    <w:t>产生位置</w:t>
                  </w:r>
                </w:p>
              </w:tc>
              <w:tc>
                <w:tcPr>
                  <w:tcW w:w="426" w:type="pct"/>
                  <w:noWrap w:val="0"/>
                  <w:vAlign w:val="center"/>
                </w:tcPr>
                <w:p>
                  <w:pPr>
                    <w:pStyle w:val="30"/>
                    <w:bidi w:val="0"/>
                    <w:rPr>
                      <w:highlight w:val="none"/>
                      <w:lang w:val="en-US" w:eastAsia="en-US"/>
                    </w:rPr>
                  </w:pPr>
                  <w:r>
                    <w:rPr>
                      <w:highlight w:val="none"/>
                      <w:lang w:val="en-US" w:eastAsia="en-US"/>
                    </w:rPr>
                    <w:t>占地面积</w:t>
                  </w:r>
                </w:p>
              </w:tc>
              <w:tc>
                <w:tcPr>
                  <w:tcW w:w="696" w:type="pct"/>
                  <w:noWrap w:val="0"/>
                  <w:vAlign w:val="center"/>
                </w:tcPr>
                <w:p>
                  <w:pPr>
                    <w:pStyle w:val="30"/>
                    <w:bidi w:val="0"/>
                    <w:rPr>
                      <w:highlight w:val="none"/>
                      <w:lang w:val="en-US" w:eastAsia="en-US"/>
                    </w:rPr>
                  </w:pPr>
                  <w:r>
                    <w:rPr>
                      <w:highlight w:val="none"/>
                      <w:lang w:val="en-US" w:eastAsia="en-US"/>
                    </w:rPr>
                    <w:t>贮存方式</w:t>
                  </w:r>
                </w:p>
              </w:tc>
              <w:tc>
                <w:tcPr>
                  <w:tcW w:w="317" w:type="pct"/>
                  <w:noWrap w:val="0"/>
                  <w:vAlign w:val="center"/>
                </w:tcPr>
                <w:p>
                  <w:pPr>
                    <w:pStyle w:val="30"/>
                    <w:bidi w:val="0"/>
                    <w:rPr>
                      <w:highlight w:val="none"/>
                      <w:lang w:val="en-US" w:eastAsia="en-US"/>
                    </w:rPr>
                  </w:pPr>
                  <w:r>
                    <w:rPr>
                      <w:highlight w:val="none"/>
                      <w:lang w:val="en-US" w:eastAsia="en-US"/>
                    </w:rPr>
                    <w:t>贮存能力</w:t>
                  </w:r>
                </w:p>
              </w:tc>
              <w:tc>
                <w:tcPr>
                  <w:tcW w:w="460" w:type="pct"/>
                  <w:noWrap w:val="0"/>
                  <w:vAlign w:val="center"/>
                </w:tcPr>
                <w:p>
                  <w:pPr>
                    <w:pStyle w:val="30"/>
                    <w:bidi w:val="0"/>
                    <w:rPr>
                      <w:highlight w:val="none"/>
                      <w:lang w:val="en-US" w:eastAsia="en-US"/>
                    </w:rPr>
                  </w:pPr>
                  <w:r>
                    <w:rPr>
                      <w:highlight w:val="none"/>
                      <w:lang w:val="en-US" w:eastAsia="en-US"/>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0" w:type="pct"/>
                  <w:noWrap w:val="0"/>
                  <w:vAlign w:val="center"/>
                </w:tcPr>
                <w:p>
                  <w:pPr>
                    <w:pStyle w:val="30"/>
                    <w:bidi w:val="0"/>
                    <w:rPr>
                      <w:rFonts w:hint="eastAsia"/>
                      <w:highlight w:val="none"/>
                      <w:lang w:val="en-US" w:eastAsia="zh-CN"/>
                    </w:rPr>
                  </w:pPr>
                  <w:r>
                    <w:rPr>
                      <w:rFonts w:hint="eastAsia"/>
                      <w:highlight w:val="none"/>
                      <w:lang w:val="en-US" w:eastAsia="zh-CN"/>
                    </w:rPr>
                    <w:t>1</w:t>
                  </w:r>
                </w:p>
              </w:tc>
              <w:tc>
                <w:tcPr>
                  <w:tcW w:w="486" w:type="pct"/>
                  <w:noWrap w:val="0"/>
                  <w:vAlign w:val="center"/>
                </w:tcPr>
                <w:p>
                  <w:pPr>
                    <w:pStyle w:val="30"/>
                    <w:bidi w:val="0"/>
                    <w:rPr>
                      <w:rFonts w:hint="eastAsia" w:eastAsia="宋体"/>
                      <w:highlight w:val="none"/>
                      <w:lang w:val="en-US" w:eastAsia="zh-CN"/>
                    </w:rPr>
                  </w:pPr>
                  <w:r>
                    <w:rPr>
                      <w:highlight w:val="none"/>
                      <w:lang w:val="en-US" w:eastAsia="en-US"/>
                    </w:rPr>
                    <w:t>危废</w:t>
                  </w:r>
                  <w:r>
                    <w:rPr>
                      <w:rFonts w:hint="eastAsia"/>
                      <w:highlight w:val="none"/>
                      <w:lang w:val="en-US" w:eastAsia="zh-CN"/>
                    </w:rPr>
                    <w:t>贮存点</w:t>
                  </w:r>
                </w:p>
              </w:tc>
              <w:tc>
                <w:tcPr>
                  <w:tcW w:w="620" w:type="pct"/>
                  <w:noWrap w:val="0"/>
                  <w:vAlign w:val="center"/>
                </w:tcPr>
                <w:p>
                  <w:pPr>
                    <w:pStyle w:val="30"/>
                    <w:bidi w:val="0"/>
                    <w:rPr>
                      <w:rFonts w:ascii="Times New Roman" w:hAnsi="Times New Roman" w:eastAsia="宋体" w:cs="Times New Roman"/>
                      <w:sz w:val="21"/>
                      <w:szCs w:val="21"/>
                      <w:highlight w:val="none"/>
                      <w:lang w:val="en-US" w:eastAsia="en-US" w:bidi="ar-SA"/>
                    </w:rPr>
                  </w:pPr>
                  <w:r>
                    <w:rPr>
                      <w:rFonts w:hint="eastAsia"/>
                      <w:highlight w:val="none"/>
                      <w:lang w:val="en-US" w:eastAsia="zh-CN"/>
                    </w:rPr>
                    <w:t>废液压油</w:t>
                  </w:r>
                </w:p>
              </w:tc>
              <w:tc>
                <w:tcPr>
                  <w:tcW w:w="620" w:type="pct"/>
                  <w:noWrap w:val="0"/>
                  <w:vAlign w:val="center"/>
                </w:tcPr>
                <w:p>
                  <w:pPr>
                    <w:pStyle w:val="30"/>
                    <w:bidi w:val="0"/>
                    <w:rPr>
                      <w:rFonts w:ascii="Times New Roman" w:hAnsi="Times New Roman" w:eastAsia="宋体" w:cs="Times New Roman"/>
                      <w:sz w:val="21"/>
                      <w:szCs w:val="21"/>
                      <w:highlight w:val="none"/>
                      <w:lang w:val="zh-CN" w:eastAsia="en-US" w:bidi="ar-SA"/>
                    </w:rPr>
                  </w:pPr>
                  <w:r>
                    <w:rPr>
                      <w:rFonts w:hint="eastAsia"/>
                      <w:highlight w:val="none"/>
                      <w:lang w:val="en-US" w:eastAsia="zh-CN"/>
                    </w:rPr>
                    <w:t>HW08</w:t>
                  </w:r>
                </w:p>
              </w:tc>
              <w:tc>
                <w:tcPr>
                  <w:tcW w:w="645" w:type="pct"/>
                  <w:noWrap w:val="0"/>
                  <w:vAlign w:val="center"/>
                </w:tcPr>
                <w:p>
                  <w:pPr>
                    <w:pStyle w:val="30"/>
                    <w:bidi w:val="0"/>
                    <w:rPr>
                      <w:rFonts w:ascii="Times New Roman" w:hAnsi="Times New Roman" w:eastAsia="宋体" w:cs="Times New Roman"/>
                      <w:sz w:val="21"/>
                      <w:szCs w:val="21"/>
                      <w:highlight w:val="none"/>
                      <w:lang w:val="zh-CN" w:eastAsia="en-US" w:bidi="ar-SA"/>
                    </w:rPr>
                  </w:pPr>
                  <w:r>
                    <w:rPr>
                      <w:highlight w:val="none"/>
                      <w:lang w:eastAsia="en-US"/>
                    </w:rPr>
                    <w:t>900-21</w:t>
                  </w:r>
                  <w:r>
                    <w:rPr>
                      <w:rFonts w:hint="eastAsia"/>
                      <w:highlight w:val="none"/>
                      <w:lang w:val="en-US" w:eastAsia="zh-CN"/>
                    </w:rPr>
                    <w:t>7</w:t>
                  </w:r>
                  <w:r>
                    <w:rPr>
                      <w:highlight w:val="none"/>
                      <w:lang w:eastAsia="en-US"/>
                    </w:rPr>
                    <w:t>-08</w:t>
                  </w:r>
                </w:p>
              </w:tc>
              <w:tc>
                <w:tcPr>
                  <w:tcW w:w="454" w:type="pct"/>
                  <w:noWrap w:val="0"/>
                  <w:vAlign w:val="center"/>
                </w:tcPr>
                <w:p>
                  <w:pPr>
                    <w:pStyle w:val="30"/>
                    <w:bidi w:val="0"/>
                    <w:rPr>
                      <w:rFonts w:ascii="Times New Roman" w:hAnsi="Times New Roman" w:eastAsia="宋体" w:cs="Times New Roman"/>
                      <w:sz w:val="21"/>
                      <w:szCs w:val="21"/>
                      <w:highlight w:val="none"/>
                      <w:lang w:val="en-US" w:eastAsia="en-US" w:bidi="ar-SA"/>
                    </w:rPr>
                  </w:pPr>
                  <w:r>
                    <w:rPr>
                      <w:rFonts w:hint="eastAsia"/>
                      <w:highlight w:val="none"/>
                      <w:lang w:val="en-US" w:eastAsia="zh-CN"/>
                    </w:rPr>
                    <w:t>设备保养</w:t>
                  </w:r>
                </w:p>
              </w:tc>
              <w:tc>
                <w:tcPr>
                  <w:tcW w:w="426" w:type="pct"/>
                  <w:noWrap w:val="0"/>
                  <w:vAlign w:val="center"/>
                </w:tcPr>
                <w:p>
                  <w:pPr>
                    <w:pStyle w:val="30"/>
                    <w:bidi w:val="0"/>
                    <w:rPr>
                      <w:highlight w:val="none"/>
                      <w:lang w:eastAsia="en-US"/>
                    </w:rPr>
                  </w:pPr>
                  <w:r>
                    <w:rPr>
                      <w:rFonts w:hint="eastAsia"/>
                      <w:highlight w:val="none"/>
                      <w:lang w:val="en-US" w:eastAsia="zh-CN"/>
                    </w:rPr>
                    <w:t>3</w:t>
                  </w:r>
                  <w:r>
                    <w:rPr>
                      <w:highlight w:val="none"/>
                      <w:lang w:eastAsia="en-US"/>
                    </w:rPr>
                    <w:t>0m</w:t>
                  </w:r>
                  <w:r>
                    <w:rPr>
                      <w:highlight w:val="none"/>
                      <w:vertAlign w:val="superscript"/>
                      <w:lang w:eastAsia="en-US"/>
                    </w:rPr>
                    <w:t>2</w:t>
                  </w:r>
                </w:p>
              </w:tc>
              <w:tc>
                <w:tcPr>
                  <w:tcW w:w="696" w:type="pct"/>
                  <w:noWrap w:val="0"/>
                  <w:vAlign w:val="center"/>
                </w:tcPr>
                <w:p>
                  <w:pPr>
                    <w:pStyle w:val="30"/>
                    <w:bidi w:val="0"/>
                    <w:rPr>
                      <w:highlight w:val="none"/>
                      <w:lang w:val="en-US" w:eastAsia="en-US"/>
                    </w:rPr>
                  </w:pPr>
                  <w:r>
                    <w:rPr>
                      <w:highlight w:val="none"/>
                      <w:lang w:val="en-US" w:eastAsia="en-US"/>
                    </w:rPr>
                    <w:t>专用收集桶收集，下设盛装托盘</w:t>
                  </w:r>
                </w:p>
              </w:tc>
              <w:tc>
                <w:tcPr>
                  <w:tcW w:w="317" w:type="pct"/>
                  <w:noWrap w:val="0"/>
                  <w:vAlign w:val="center"/>
                </w:tcPr>
                <w:p>
                  <w:pPr>
                    <w:pStyle w:val="30"/>
                    <w:bidi w:val="0"/>
                    <w:rPr>
                      <w:highlight w:val="none"/>
                      <w:lang w:eastAsia="en-US"/>
                    </w:rPr>
                  </w:pPr>
                  <w:r>
                    <w:rPr>
                      <w:highlight w:val="none"/>
                      <w:lang w:eastAsia="en-US"/>
                    </w:rPr>
                    <w:t>0.5t</w:t>
                  </w:r>
                </w:p>
              </w:tc>
              <w:tc>
                <w:tcPr>
                  <w:tcW w:w="460" w:type="pct"/>
                  <w:noWrap w:val="0"/>
                  <w:vAlign w:val="center"/>
                </w:tcPr>
                <w:p>
                  <w:pPr>
                    <w:pStyle w:val="30"/>
                    <w:bidi w:val="0"/>
                    <w:rPr>
                      <w:highlight w:val="none"/>
                      <w:lang w:val="en-US" w:eastAsia="en-US"/>
                    </w:rPr>
                  </w:pPr>
                  <w:r>
                    <w:rPr>
                      <w:highlight w:val="none"/>
                      <w:lang w:val="en-US" w:eastAsia="en-US"/>
                    </w:rPr>
                    <w:t>1年</w:t>
                  </w:r>
                </w:p>
              </w:tc>
            </w:tr>
          </w:tbl>
          <w:p>
            <w:pPr>
              <w:rPr>
                <w:rFonts w:hint="eastAsia" w:ascii="黑体" w:hAnsi="宋体" w:eastAsia="黑体" w:cs="黑体"/>
                <w:color w:val="000000"/>
                <w:kern w:val="0"/>
                <w:sz w:val="24"/>
                <w:szCs w:val="24"/>
                <w:highlight w:val="none"/>
                <w:lang w:val="en-US" w:eastAsia="zh-CN" w:bidi="ar"/>
              </w:rPr>
            </w:pPr>
          </w:p>
          <w:p>
            <w:pPr>
              <w:pStyle w:val="44"/>
              <w:bidi w:val="0"/>
              <w:rPr>
                <w:rFonts w:hint="eastAsia"/>
                <w:b/>
                <w:bCs/>
                <w:highlight w:val="none"/>
                <w:lang w:val="en-US" w:eastAsia="zh-CN"/>
              </w:rPr>
            </w:pPr>
            <w:r>
              <w:rPr>
                <w:rFonts w:hint="eastAsia"/>
                <w:b/>
                <w:bCs/>
                <w:highlight w:val="none"/>
                <w:lang w:val="en-US" w:eastAsia="zh-CN"/>
              </w:rPr>
              <w:t>5.地下水/土壤环境影响分析及污染防治措施</w:t>
            </w:r>
          </w:p>
          <w:p>
            <w:pPr>
              <w:pStyle w:val="44"/>
              <w:bidi w:val="0"/>
              <w:rPr>
                <w:rFonts w:hint="default" w:eastAsia="宋体"/>
                <w:highlight w:val="none"/>
                <w:lang w:val="en-US" w:eastAsia="zh-CN"/>
              </w:rPr>
            </w:pPr>
            <w:r>
              <w:rPr>
                <w:rFonts w:hint="eastAsia"/>
                <w:highlight w:val="none"/>
                <w:lang w:val="en-US" w:eastAsia="zh-CN"/>
              </w:rPr>
              <w:t>5.1污染途径分析</w:t>
            </w:r>
          </w:p>
          <w:p>
            <w:pPr>
              <w:pStyle w:val="44"/>
              <w:bidi w:val="0"/>
              <w:rPr>
                <w:rFonts w:hint="eastAsia"/>
                <w:highlight w:val="none"/>
              </w:rPr>
            </w:pPr>
            <w:r>
              <w:rPr>
                <w:rFonts w:hint="eastAsia"/>
                <w:highlight w:val="none"/>
              </w:rPr>
              <w:t>本项目为水泥预制件制造项目，项目运行过程中可能对周边地下水</w:t>
            </w:r>
            <w:r>
              <w:rPr>
                <w:rFonts w:hint="eastAsia"/>
                <w:highlight w:val="none"/>
                <w:lang w:val="en-US" w:eastAsia="zh-CN"/>
              </w:rPr>
              <w:t>/土壤</w:t>
            </w:r>
            <w:r>
              <w:rPr>
                <w:rFonts w:hint="eastAsia"/>
                <w:highlight w:val="none"/>
              </w:rPr>
              <w:t>环境产生影响</w:t>
            </w:r>
            <w:r>
              <w:rPr>
                <w:rFonts w:hint="eastAsia"/>
                <w:highlight w:val="none"/>
                <w:lang w:eastAsia="zh-CN"/>
              </w:rPr>
              <w:t>的</w:t>
            </w:r>
            <w:r>
              <w:rPr>
                <w:rFonts w:hint="eastAsia"/>
                <w:highlight w:val="none"/>
                <w:lang w:val="en-US" w:eastAsia="zh-CN"/>
              </w:rPr>
              <w:t>情形</w:t>
            </w:r>
            <w:r>
              <w:rPr>
                <w:rFonts w:hint="eastAsia"/>
                <w:highlight w:val="none"/>
              </w:rPr>
              <w:t>主要</w:t>
            </w:r>
            <w:r>
              <w:rPr>
                <w:rFonts w:hint="eastAsia"/>
                <w:highlight w:val="none"/>
                <w:lang w:val="en-US" w:eastAsia="zh-CN"/>
              </w:rPr>
              <w:t>为非正常状况下，</w:t>
            </w:r>
            <w:r>
              <w:rPr>
                <w:rFonts w:hint="eastAsia"/>
                <w:highlight w:val="none"/>
              </w:rPr>
              <w:t>沉淀池发生破损</w:t>
            </w:r>
            <w:r>
              <w:rPr>
                <w:rFonts w:hint="eastAsia"/>
                <w:highlight w:val="none"/>
                <w:lang w:eastAsia="zh-CN"/>
              </w:rPr>
              <w:t>、</w:t>
            </w:r>
            <w:r>
              <w:rPr>
                <w:rFonts w:hint="eastAsia"/>
                <w:highlight w:val="none"/>
              </w:rPr>
              <w:t>生产废水渗漏导致</w:t>
            </w:r>
            <w:r>
              <w:rPr>
                <w:rFonts w:hint="eastAsia"/>
                <w:highlight w:val="none"/>
                <w:lang w:val="en-US" w:eastAsia="zh-CN"/>
              </w:rPr>
              <w:t>污染物下渗对周围地下水造成污染，以及危废贮存点暂存的危废泄漏对地下水或土壤造成污染</w:t>
            </w:r>
            <w:r>
              <w:rPr>
                <w:rFonts w:hint="eastAsia"/>
                <w:highlight w:val="none"/>
              </w:rPr>
              <w:t>，污染途径主要是通过</w:t>
            </w:r>
            <w:r>
              <w:rPr>
                <w:rFonts w:hint="eastAsia"/>
                <w:highlight w:val="none"/>
                <w:lang w:val="en-US" w:eastAsia="zh-CN"/>
              </w:rPr>
              <w:t>土壤</w:t>
            </w:r>
            <w:r>
              <w:rPr>
                <w:rFonts w:hint="eastAsia"/>
                <w:highlight w:val="none"/>
              </w:rPr>
              <w:t>上部土层孔隙缓慢渗流</w:t>
            </w:r>
            <w:r>
              <w:rPr>
                <w:rFonts w:hint="eastAsia"/>
                <w:highlight w:val="none"/>
                <w:lang w:val="en-US" w:eastAsia="zh-CN"/>
              </w:rPr>
              <w:t>进入</w:t>
            </w:r>
            <w:r>
              <w:rPr>
                <w:rFonts w:hint="eastAsia"/>
                <w:highlight w:val="none"/>
              </w:rPr>
              <w:t>地下水，</w:t>
            </w:r>
            <w:r>
              <w:rPr>
                <w:rFonts w:hint="eastAsia"/>
                <w:highlight w:val="none"/>
                <w:lang w:val="en-US" w:eastAsia="zh-CN"/>
              </w:rPr>
              <w:t>若渗漏不能被及时发现和修复，会进一步向深层地下水蔓延，进而</w:t>
            </w:r>
            <w:r>
              <w:rPr>
                <w:rFonts w:hint="eastAsia"/>
                <w:highlight w:val="none"/>
              </w:rPr>
              <w:t>污染</w:t>
            </w:r>
            <w:r>
              <w:rPr>
                <w:rFonts w:hint="eastAsia"/>
                <w:highlight w:val="none"/>
                <w:lang w:val="en-US" w:eastAsia="zh-CN"/>
              </w:rPr>
              <w:t>深层及</w:t>
            </w:r>
            <w:r>
              <w:rPr>
                <w:rFonts w:hint="eastAsia"/>
                <w:highlight w:val="none"/>
              </w:rPr>
              <w:t>下游地下水。渗漏污染方向与地下水径流方向一致。</w:t>
            </w:r>
          </w:p>
          <w:p>
            <w:pPr>
              <w:pStyle w:val="44"/>
              <w:bidi w:val="0"/>
              <w:rPr>
                <w:rFonts w:hint="eastAsia"/>
                <w:highlight w:val="none"/>
              </w:rPr>
            </w:pPr>
            <w:r>
              <w:rPr>
                <w:rFonts w:hint="eastAsia"/>
                <w:highlight w:val="none"/>
                <w:lang w:val="en-US" w:eastAsia="zh-CN"/>
              </w:rPr>
              <w:t>5.2</w:t>
            </w:r>
            <w:r>
              <w:rPr>
                <w:rFonts w:hint="eastAsia"/>
                <w:highlight w:val="none"/>
              </w:rPr>
              <w:t>地下水污染控制措施</w:t>
            </w:r>
          </w:p>
          <w:p>
            <w:pPr>
              <w:pStyle w:val="44"/>
              <w:bidi w:val="0"/>
              <w:rPr>
                <w:rFonts w:hint="eastAsia"/>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）源头控制措施</w:t>
            </w:r>
          </w:p>
          <w:p>
            <w:pPr>
              <w:pStyle w:val="44"/>
              <w:bidi w:val="0"/>
              <w:rPr>
                <w:rFonts w:hint="eastAsia"/>
                <w:highlight w:val="none"/>
              </w:rPr>
            </w:pPr>
            <w:r>
              <w:rPr>
                <w:rFonts w:hint="eastAsia"/>
                <w:highlight w:val="none"/>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pStyle w:val="44"/>
              <w:bidi w:val="0"/>
              <w:rPr>
                <w:rFonts w:hint="eastAsia"/>
                <w:highlight w:val="none"/>
              </w:rPr>
            </w:pPr>
            <w:r>
              <w:rPr>
                <w:rFonts w:hint="eastAsia"/>
                <w:highlight w:val="none"/>
              </w:rPr>
              <w:t>②对工艺、管道、设备采取控制措施，</w:t>
            </w:r>
            <w:r>
              <w:rPr>
                <w:rFonts w:hint="eastAsia"/>
                <w:highlight w:val="none"/>
                <w:lang w:val="en-US" w:eastAsia="zh-CN"/>
              </w:rPr>
              <w:t>选用耐腐蚀耐高温材料管材，</w:t>
            </w:r>
            <w:r>
              <w:rPr>
                <w:rFonts w:hint="eastAsia"/>
                <w:highlight w:val="none"/>
              </w:rPr>
              <w:t>防止污染物的跑、冒、滴、漏，将污染物泄漏的环境风险事故降到最低限度。</w:t>
            </w:r>
          </w:p>
          <w:p>
            <w:pPr>
              <w:pStyle w:val="44"/>
              <w:bidi w:val="0"/>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分区防治措施</w:t>
            </w:r>
          </w:p>
          <w:p>
            <w:pPr>
              <w:pStyle w:val="44"/>
              <w:bidi w:val="0"/>
              <w:rPr>
                <w:rFonts w:hint="eastAsia"/>
                <w:highlight w:val="none"/>
              </w:rPr>
            </w:pPr>
            <w:r>
              <w:rPr>
                <w:rFonts w:hint="eastAsia"/>
                <w:highlight w:val="none"/>
              </w:rPr>
              <w:t>根据厂区平面布置，将厂区分为污染区和非污染区。</w:t>
            </w:r>
          </w:p>
          <w:p>
            <w:pPr>
              <w:pStyle w:val="44"/>
              <w:bidi w:val="0"/>
              <w:rPr>
                <w:rFonts w:hint="eastAsia"/>
                <w:highlight w:val="none"/>
              </w:rPr>
            </w:pPr>
            <w:r>
              <w:rPr>
                <w:rFonts w:hint="eastAsia"/>
                <w:highlight w:val="none"/>
              </w:rPr>
              <w:t>对于</w:t>
            </w:r>
            <w:r>
              <w:rPr>
                <w:rFonts w:hint="eastAsia"/>
                <w:highlight w:val="none"/>
                <w:lang w:val="en-US" w:eastAsia="zh-CN"/>
              </w:rPr>
              <w:t>厂区道路、公共区</w:t>
            </w:r>
            <w:r>
              <w:rPr>
                <w:rFonts w:hint="eastAsia"/>
                <w:highlight w:val="none"/>
              </w:rPr>
              <w:t>、办公区、绿化区域划为非污染区，可采取非铺砌地坪或普通混凝土地坪，不设置专门的防渗层；将污染区划分为一般污染防治区和重点污染防治区，对不同级别的污染防治区分别采取不同等级的防渗方案，</w:t>
            </w:r>
            <w:r>
              <w:rPr>
                <w:rFonts w:hint="eastAsia"/>
                <w:highlight w:val="none"/>
                <w:lang w:val="en-US" w:eastAsia="zh-CN"/>
              </w:rPr>
              <w:t>防渗分区布局详见附图6建设项目厂区防渗分区图，防渗分区明细</w:t>
            </w:r>
            <w:r>
              <w:rPr>
                <w:rFonts w:hint="eastAsia"/>
                <w:highlight w:val="none"/>
              </w:rPr>
              <w:t>具体如下：</w:t>
            </w:r>
          </w:p>
          <w:p>
            <w:pPr>
              <w:pStyle w:val="44"/>
              <w:bidi w:val="0"/>
              <w:rPr>
                <w:rFonts w:hint="eastAsia"/>
                <w:highlight w:val="none"/>
              </w:rPr>
            </w:pPr>
            <w:r>
              <w:rPr>
                <w:rFonts w:hint="eastAsia"/>
                <w:highlight w:val="none"/>
              </w:rPr>
              <w:t>①重点防渗区</w:t>
            </w:r>
          </w:p>
          <w:p>
            <w:pPr>
              <w:pStyle w:val="44"/>
              <w:bidi w:val="0"/>
              <w:rPr>
                <w:rFonts w:hint="eastAsia"/>
                <w:highlight w:val="none"/>
              </w:rPr>
            </w:pPr>
            <w:r>
              <w:rPr>
                <w:rFonts w:hint="eastAsia"/>
                <w:highlight w:val="none"/>
              </w:rPr>
              <w:t>危废</w:t>
            </w:r>
            <w:r>
              <w:rPr>
                <w:rFonts w:hint="eastAsia"/>
                <w:highlight w:val="none"/>
                <w:lang w:eastAsia="zh-CN"/>
              </w:rPr>
              <w:t>贮存点</w:t>
            </w:r>
            <w:r>
              <w:rPr>
                <w:rFonts w:hint="eastAsia"/>
                <w:highlight w:val="none"/>
              </w:rPr>
              <w:t>。该区域防渗技术要求：等效黏土防渗层Mb≥6.0m，K≤1×10</w:t>
            </w:r>
            <w:r>
              <w:rPr>
                <w:rFonts w:hint="eastAsia"/>
                <w:highlight w:val="none"/>
                <w:vertAlign w:val="superscript"/>
                <w:lang w:val="en-US" w:eastAsia="zh-CN"/>
              </w:rPr>
              <w:t>-</w:t>
            </w:r>
            <w:r>
              <w:rPr>
                <w:rFonts w:hint="eastAsia"/>
                <w:highlight w:val="none"/>
                <w:vertAlign w:val="superscript"/>
              </w:rPr>
              <w:t>7</w:t>
            </w:r>
            <w:r>
              <w:rPr>
                <w:rFonts w:hint="eastAsia"/>
                <w:highlight w:val="none"/>
              </w:rPr>
              <w:t>cm/s；或参照GB18598执行。</w:t>
            </w:r>
          </w:p>
          <w:p>
            <w:pPr>
              <w:pStyle w:val="44"/>
              <w:bidi w:val="0"/>
              <w:rPr>
                <w:rFonts w:hint="eastAsia"/>
                <w:highlight w:val="none"/>
              </w:rPr>
            </w:pPr>
            <w:r>
              <w:rPr>
                <w:rFonts w:hint="eastAsia"/>
                <w:highlight w:val="none"/>
              </w:rPr>
              <w:t>②一般防渗区</w:t>
            </w:r>
          </w:p>
          <w:p>
            <w:pPr>
              <w:pStyle w:val="44"/>
              <w:bidi w:val="0"/>
              <w:rPr>
                <w:rFonts w:hint="eastAsia"/>
                <w:highlight w:val="none"/>
              </w:rPr>
            </w:pPr>
            <w:r>
              <w:rPr>
                <w:rFonts w:hint="eastAsia"/>
                <w:highlight w:val="none"/>
                <w:lang w:val="en-US" w:eastAsia="zh-CN"/>
              </w:rPr>
              <w:t>化粪池、沉淀池</w:t>
            </w:r>
            <w:r>
              <w:rPr>
                <w:rFonts w:hint="eastAsia"/>
                <w:highlight w:val="none"/>
              </w:rPr>
              <w:t>。该区域防渗技术要求：等效黏土防渗层Mb≥1.5m，K≤1×10</w:t>
            </w:r>
            <w:r>
              <w:rPr>
                <w:rFonts w:hint="eastAsia"/>
                <w:highlight w:val="none"/>
                <w:vertAlign w:val="superscript"/>
                <w:lang w:val="en-US" w:eastAsia="zh-CN"/>
              </w:rPr>
              <w:t>-</w:t>
            </w:r>
            <w:r>
              <w:rPr>
                <w:rFonts w:hint="eastAsia"/>
                <w:highlight w:val="none"/>
                <w:vertAlign w:val="superscript"/>
              </w:rPr>
              <w:t>7</w:t>
            </w:r>
            <w:r>
              <w:rPr>
                <w:rFonts w:hint="eastAsia"/>
                <w:highlight w:val="none"/>
              </w:rPr>
              <w:t>cm/s；或参照GB16889执行。</w:t>
            </w:r>
          </w:p>
          <w:p>
            <w:pPr>
              <w:pStyle w:val="44"/>
              <w:bidi w:val="0"/>
              <w:rPr>
                <w:rFonts w:hint="eastAsia"/>
                <w:highlight w:val="none"/>
              </w:rPr>
            </w:pPr>
            <w:r>
              <w:rPr>
                <w:rFonts w:hint="eastAsia"/>
                <w:highlight w:val="none"/>
              </w:rPr>
              <w:t>③简单防渗区</w:t>
            </w:r>
          </w:p>
          <w:p>
            <w:pPr>
              <w:pStyle w:val="44"/>
              <w:bidi w:val="0"/>
              <w:rPr>
                <w:rFonts w:hint="eastAsia"/>
                <w:highlight w:val="none"/>
              </w:rPr>
            </w:pPr>
            <w:r>
              <w:rPr>
                <w:rFonts w:hint="eastAsia"/>
                <w:highlight w:val="none"/>
                <w:lang w:val="en-US" w:eastAsia="zh-CN"/>
              </w:rPr>
              <w:t>门卫</w:t>
            </w:r>
            <w:r>
              <w:rPr>
                <w:rFonts w:hint="eastAsia"/>
                <w:highlight w:val="none"/>
              </w:rPr>
              <w:t>、厂区路面</w:t>
            </w:r>
            <w:r>
              <w:rPr>
                <w:rFonts w:hint="eastAsia"/>
                <w:highlight w:val="none"/>
                <w:lang w:eastAsia="zh-CN"/>
              </w:rPr>
              <w:t>、</w:t>
            </w:r>
            <w:r>
              <w:rPr>
                <w:rFonts w:hint="eastAsia"/>
                <w:highlight w:val="none"/>
                <w:lang w:val="en-US" w:eastAsia="zh-CN"/>
              </w:rPr>
              <w:t>生产车间、一般固废暂存区、成品堆场</w:t>
            </w:r>
            <w:r>
              <w:rPr>
                <w:rFonts w:hint="eastAsia"/>
                <w:highlight w:val="none"/>
              </w:rPr>
              <w:t>。该区域防渗技术要求：一般地面硬化。</w:t>
            </w:r>
          </w:p>
          <w:p>
            <w:pPr>
              <w:pStyle w:val="44"/>
              <w:bidi w:val="0"/>
              <w:rPr>
                <w:rFonts w:hint="default"/>
                <w:highlight w:val="none"/>
                <w:lang w:val="en-US" w:eastAsia="zh-CN"/>
              </w:rPr>
            </w:pPr>
            <w:r>
              <w:rPr>
                <w:rFonts w:hint="eastAsia"/>
                <w:highlight w:val="none"/>
                <w:lang w:val="en-US" w:eastAsia="zh-CN"/>
              </w:rPr>
              <w:t>5.4影响分析</w:t>
            </w:r>
          </w:p>
          <w:p>
            <w:pPr>
              <w:pStyle w:val="44"/>
              <w:bidi w:val="0"/>
              <w:rPr>
                <w:rFonts w:hint="eastAsia"/>
                <w:highlight w:val="none"/>
              </w:rPr>
            </w:pPr>
            <w:r>
              <w:rPr>
                <w:rFonts w:hint="eastAsia"/>
                <w:highlight w:val="none"/>
                <w:lang w:eastAsia="zh-CN"/>
              </w:rPr>
              <w:t>项目在严格落实防渗施工要求并加强巡检巡视前提下，可最大限度减少渗漏发生概率，通过采取对应的污染防治措施，将有效预防污染扩散对土壤/地下水的不利影响。</w:t>
            </w:r>
          </w:p>
          <w:p>
            <w:pPr>
              <w:pStyle w:val="44"/>
              <w:bidi w:val="0"/>
              <w:rPr>
                <w:rFonts w:hint="eastAsia"/>
                <w:b/>
                <w:bCs/>
                <w:highlight w:val="none"/>
              </w:rPr>
            </w:pPr>
            <w:r>
              <w:rPr>
                <w:rFonts w:hint="eastAsia"/>
                <w:b/>
                <w:bCs/>
                <w:highlight w:val="none"/>
                <w:lang w:val="en-US" w:eastAsia="zh-CN"/>
              </w:rPr>
              <w:t>6.生态环境影响</w:t>
            </w:r>
          </w:p>
          <w:p>
            <w:pPr>
              <w:pStyle w:val="44"/>
              <w:bidi w:val="0"/>
              <w:rPr>
                <w:rFonts w:hint="eastAsia"/>
                <w:highlight w:val="none"/>
              </w:rPr>
            </w:pPr>
            <w:r>
              <w:rPr>
                <w:rFonts w:hint="eastAsia"/>
                <w:highlight w:val="none"/>
                <w:lang w:val="en-US" w:eastAsia="zh-CN"/>
              </w:rPr>
              <w:t>根据现场踏勘，项目区域内无重点保护的动植物资源、古树名木、自然保护区和需要重点保护的栖息地以及其他生态敏感点。项目建成后，通过地面绿化、硬化工程，控制水土流失，并美化环境，一定程度上提高周边的环境质量，对恢复植被、景观、生态建设呈正面影响。在严格落实相关水保措施后，项目对区域生态影响较小。</w:t>
            </w:r>
          </w:p>
          <w:p>
            <w:pPr>
              <w:pStyle w:val="44"/>
              <w:bidi w:val="0"/>
              <w:rPr>
                <w:rFonts w:hint="eastAsia"/>
                <w:b/>
                <w:bCs/>
                <w:highlight w:val="none"/>
                <w:lang w:val="en-US" w:eastAsia="zh-CN"/>
              </w:rPr>
            </w:pPr>
            <w:r>
              <w:rPr>
                <w:rFonts w:hint="eastAsia"/>
                <w:b/>
                <w:bCs/>
                <w:highlight w:val="none"/>
                <w:lang w:val="en-US" w:eastAsia="zh-CN"/>
              </w:rPr>
              <w:t>7.环境风险</w:t>
            </w:r>
          </w:p>
          <w:p>
            <w:pPr>
              <w:pStyle w:val="44"/>
              <w:bidi w:val="0"/>
              <w:rPr>
                <w:rFonts w:hint="default"/>
                <w:highlight w:val="none"/>
                <w:lang w:val="en-US" w:eastAsia="zh-CN"/>
              </w:rPr>
            </w:pPr>
            <w:r>
              <w:rPr>
                <w:rFonts w:hint="eastAsia"/>
                <w:highlight w:val="none"/>
                <w:lang w:val="en-US" w:eastAsia="zh-CN"/>
              </w:rPr>
              <w:t>（1）风险调查</w:t>
            </w:r>
          </w:p>
          <w:p>
            <w:pPr>
              <w:pStyle w:val="44"/>
              <w:bidi w:val="0"/>
              <w:rPr>
                <w:rFonts w:hint="eastAsia" w:ascii="宋体" w:hAnsi="宋体" w:eastAsia="宋体" w:cs="宋体"/>
                <w:color w:val="auto"/>
                <w:szCs w:val="24"/>
                <w:highlight w:val="none"/>
              </w:rPr>
            </w:pPr>
            <w:r>
              <w:rPr>
                <w:rFonts w:hint="eastAsia"/>
                <w:highlight w:val="none"/>
                <w:lang w:val="en-US" w:eastAsia="zh-CN"/>
              </w:rPr>
              <w:t>本项目运营过程中涉及的风险物质主要为生产过程中厂区储存的设备保养废液压油。根据《建设项目环境风险评价技术导则》（HJ 169-2018）附录B以及《企业突发环境事件风险分级方法》（发布稿）附录A，其使用及储存情况见下表。</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表4-18  项目风险物质使用及储存情况一览表</w:t>
            </w:r>
          </w:p>
          <w:tbl>
            <w:tblPr>
              <w:tblStyle w:val="48"/>
              <w:tblW w:w="783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1228"/>
              <w:gridCol w:w="1190"/>
              <w:gridCol w:w="642"/>
              <w:gridCol w:w="940"/>
              <w:gridCol w:w="1238"/>
              <w:gridCol w:w="908"/>
              <w:gridCol w:w="1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56" w:type="pct"/>
                  <w:noWrap w:val="0"/>
                  <w:vAlign w:val="center"/>
                </w:tcPr>
                <w:p>
                  <w:pPr>
                    <w:pStyle w:val="43"/>
                    <w:bidi w:val="0"/>
                    <w:rPr>
                      <w:highlight w:val="none"/>
                      <w:lang w:val="en-US" w:eastAsia="en-US"/>
                    </w:rPr>
                  </w:pPr>
                  <w:r>
                    <w:rPr>
                      <w:highlight w:val="none"/>
                      <w:lang w:val="en-US" w:eastAsia="en-US"/>
                    </w:rPr>
                    <w:t>序号</w:t>
                  </w:r>
                </w:p>
              </w:tc>
              <w:tc>
                <w:tcPr>
                  <w:tcW w:w="783" w:type="pct"/>
                  <w:noWrap w:val="0"/>
                  <w:vAlign w:val="center"/>
                </w:tcPr>
                <w:p>
                  <w:pPr>
                    <w:pStyle w:val="43"/>
                    <w:bidi w:val="0"/>
                    <w:rPr>
                      <w:highlight w:val="none"/>
                      <w:lang w:val="en-US" w:eastAsia="en-US"/>
                    </w:rPr>
                  </w:pPr>
                  <w:r>
                    <w:rPr>
                      <w:highlight w:val="none"/>
                      <w:lang w:val="en-US" w:eastAsia="en-US"/>
                    </w:rPr>
                    <w:t>名称</w:t>
                  </w:r>
                </w:p>
              </w:tc>
              <w:tc>
                <w:tcPr>
                  <w:tcW w:w="759" w:type="pct"/>
                  <w:noWrap w:val="0"/>
                  <w:vAlign w:val="center"/>
                </w:tcPr>
                <w:p>
                  <w:pPr>
                    <w:pStyle w:val="43"/>
                    <w:bidi w:val="0"/>
                    <w:rPr>
                      <w:highlight w:val="none"/>
                      <w:lang w:val="en-US" w:eastAsia="en-US"/>
                    </w:rPr>
                  </w:pPr>
                  <w:r>
                    <w:rPr>
                      <w:rFonts w:hint="eastAsia"/>
                      <w:highlight w:val="none"/>
                      <w:lang w:val="en-US" w:eastAsia="zh-CN"/>
                    </w:rPr>
                    <w:t>产生</w:t>
                  </w:r>
                  <w:r>
                    <w:rPr>
                      <w:highlight w:val="none"/>
                      <w:lang w:val="en-US" w:eastAsia="en-US"/>
                    </w:rPr>
                    <w:t>量t/a</w:t>
                  </w:r>
                </w:p>
              </w:tc>
              <w:tc>
                <w:tcPr>
                  <w:tcW w:w="409" w:type="pct"/>
                  <w:noWrap w:val="0"/>
                  <w:vAlign w:val="center"/>
                </w:tcPr>
                <w:p>
                  <w:pPr>
                    <w:pStyle w:val="43"/>
                    <w:bidi w:val="0"/>
                    <w:rPr>
                      <w:highlight w:val="none"/>
                      <w:lang w:val="en-US" w:eastAsia="en-US"/>
                    </w:rPr>
                  </w:pPr>
                  <w:r>
                    <w:rPr>
                      <w:highlight w:val="none"/>
                      <w:lang w:val="en-US" w:eastAsia="en-US"/>
                    </w:rPr>
                    <w:t>形态</w:t>
                  </w:r>
                </w:p>
              </w:tc>
              <w:tc>
                <w:tcPr>
                  <w:tcW w:w="599" w:type="pct"/>
                  <w:noWrap w:val="0"/>
                  <w:vAlign w:val="center"/>
                </w:tcPr>
                <w:p>
                  <w:pPr>
                    <w:pStyle w:val="43"/>
                    <w:bidi w:val="0"/>
                    <w:rPr>
                      <w:highlight w:val="none"/>
                      <w:lang w:val="en-US" w:eastAsia="en-US"/>
                    </w:rPr>
                  </w:pPr>
                  <w:r>
                    <w:rPr>
                      <w:highlight w:val="none"/>
                      <w:lang w:val="en-US" w:eastAsia="en-US"/>
                    </w:rPr>
                    <w:t>储存方式</w:t>
                  </w:r>
                </w:p>
              </w:tc>
              <w:tc>
                <w:tcPr>
                  <w:tcW w:w="790" w:type="pct"/>
                  <w:noWrap w:val="0"/>
                  <w:vAlign w:val="center"/>
                </w:tcPr>
                <w:p>
                  <w:pPr>
                    <w:pStyle w:val="43"/>
                    <w:bidi w:val="0"/>
                    <w:rPr>
                      <w:highlight w:val="none"/>
                      <w:lang w:val="en-US" w:eastAsia="en-US"/>
                    </w:rPr>
                  </w:pPr>
                  <w:r>
                    <w:rPr>
                      <w:highlight w:val="none"/>
                      <w:lang w:val="en-US" w:eastAsia="en-US"/>
                    </w:rPr>
                    <w:t>最大储存量t</w:t>
                  </w:r>
                </w:p>
              </w:tc>
              <w:tc>
                <w:tcPr>
                  <w:tcW w:w="579" w:type="pct"/>
                  <w:noWrap w:val="0"/>
                  <w:vAlign w:val="center"/>
                </w:tcPr>
                <w:p>
                  <w:pPr>
                    <w:pStyle w:val="43"/>
                    <w:bidi w:val="0"/>
                    <w:rPr>
                      <w:highlight w:val="none"/>
                      <w:lang w:val="en-US" w:eastAsia="en-US"/>
                    </w:rPr>
                  </w:pPr>
                  <w:r>
                    <w:rPr>
                      <w:highlight w:val="none"/>
                      <w:lang w:val="en-US" w:eastAsia="en-US"/>
                    </w:rPr>
                    <w:t>来源</w:t>
                  </w:r>
                </w:p>
              </w:tc>
              <w:tc>
                <w:tcPr>
                  <w:tcW w:w="721" w:type="pct"/>
                  <w:tcBorders>
                    <w:right w:val="single" w:color="000000" w:sz="6" w:space="0"/>
                  </w:tcBorders>
                  <w:noWrap w:val="0"/>
                  <w:vAlign w:val="center"/>
                </w:tcPr>
                <w:p>
                  <w:pPr>
                    <w:pStyle w:val="43"/>
                    <w:bidi w:val="0"/>
                    <w:rPr>
                      <w:highlight w:val="none"/>
                      <w:lang w:val="en-US" w:eastAsia="en-US"/>
                    </w:rPr>
                  </w:pPr>
                  <w:r>
                    <w:rPr>
                      <w:highlight w:val="none"/>
                      <w:lang w:val="en-US" w:eastAsia="en-US"/>
                    </w:rPr>
                    <w:t>储存位置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56" w:type="pct"/>
                  <w:noWrap w:val="0"/>
                  <w:vAlign w:val="center"/>
                </w:tcPr>
                <w:p>
                  <w:pPr>
                    <w:pStyle w:val="43"/>
                    <w:bidi w:val="0"/>
                    <w:rPr>
                      <w:highlight w:val="none"/>
                      <w:lang w:eastAsia="en-US"/>
                    </w:rPr>
                  </w:pPr>
                  <w:r>
                    <w:rPr>
                      <w:highlight w:val="none"/>
                      <w:lang w:eastAsia="en-US"/>
                    </w:rPr>
                    <w:t>1</w:t>
                  </w:r>
                </w:p>
              </w:tc>
              <w:tc>
                <w:tcPr>
                  <w:tcW w:w="783" w:type="pct"/>
                  <w:noWrap w:val="0"/>
                  <w:vAlign w:val="center"/>
                </w:tcPr>
                <w:p>
                  <w:pPr>
                    <w:pStyle w:val="43"/>
                    <w:bidi w:val="0"/>
                    <w:rPr>
                      <w:rFonts w:hint="eastAsia" w:ascii="Times New Roman" w:hAnsi="Times New Roman" w:eastAsia="宋体" w:cs="Times New Roman"/>
                      <w:kern w:val="2"/>
                      <w:sz w:val="21"/>
                      <w:szCs w:val="24"/>
                      <w:highlight w:val="none"/>
                      <w:lang w:val="en-US" w:eastAsia="en-US" w:bidi="ar-SA"/>
                    </w:rPr>
                  </w:pPr>
                  <w:r>
                    <w:rPr>
                      <w:rFonts w:hint="eastAsia"/>
                      <w:color w:val="auto"/>
                      <w:highlight w:val="none"/>
                      <w:lang w:val="en-US" w:eastAsia="zh-CN"/>
                    </w:rPr>
                    <w:t>废液压油</w:t>
                  </w:r>
                </w:p>
              </w:tc>
              <w:tc>
                <w:tcPr>
                  <w:tcW w:w="759" w:type="pct"/>
                  <w:noWrap w:val="0"/>
                  <w:vAlign w:val="center"/>
                </w:tcPr>
                <w:p>
                  <w:pPr>
                    <w:pStyle w:val="43"/>
                    <w:bidi w:val="0"/>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0.5</w:t>
                  </w:r>
                </w:p>
              </w:tc>
              <w:tc>
                <w:tcPr>
                  <w:tcW w:w="409" w:type="pct"/>
                  <w:noWrap w:val="0"/>
                  <w:vAlign w:val="center"/>
                </w:tcPr>
                <w:p>
                  <w:pPr>
                    <w:pStyle w:val="43"/>
                    <w:bidi w:val="0"/>
                    <w:rPr>
                      <w:rFonts w:ascii="Times New Roman" w:hAnsi="Times New Roman" w:eastAsia="宋体" w:cs="Times New Roman"/>
                      <w:kern w:val="2"/>
                      <w:sz w:val="21"/>
                      <w:szCs w:val="24"/>
                      <w:highlight w:val="none"/>
                      <w:lang w:val="en-US" w:eastAsia="en-US" w:bidi="ar-SA"/>
                    </w:rPr>
                  </w:pPr>
                  <w:r>
                    <w:rPr>
                      <w:rFonts w:hint="eastAsia"/>
                      <w:highlight w:val="none"/>
                      <w:lang w:val="en-US" w:eastAsia="zh-CN"/>
                    </w:rPr>
                    <w:t>液体</w:t>
                  </w:r>
                </w:p>
              </w:tc>
              <w:tc>
                <w:tcPr>
                  <w:tcW w:w="599" w:type="pct"/>
                  <w:noWrap w:val="0"/>
                  <w:vAlign w:val="center"/>
                </w:tcPr>
                <w:p>
                  <w:pPr>
                    <w:pStyle w:val="43"/>
                    <w:bidi w:val="0"/>
                    <w:rPr>
                      <w:rFonts w:ascii="Times New Roman" w:hAnsi="Times New Roman" w:eastAsia="宋体" w:cs="Times New Roman"/>
                      <w:kern w:val="2"/>
                      <w:sz w:val="21"/>
                      <w:szCs w:val="24"/>
                      <w:highlight w:val="none"/>
                      <w:lang w:val="en-US" w:eastAsia="en-US" w:bidi="ar-SA"/>
                    </w:rPr>
                  </w:pPr>
                  <w:r>
                    <w:rPr>
                      <w:rFonts w:hint="eastAsia"/>
                      <w:highlight w:val="none"/>
                      <w:lang w:val="en-US" w:eastAsia="zh-CN"/>
                    </w:rPr>
                    <w:t>桶装</w:t>
                  </w:r>
                </w:p>
              </w:tc>
              <w:tc>
                <w:tcPr>
                  <w:tcW w:w="790" w:type="pct"/>
                  <w:noWrap w:val="0"/>
                  <w:vAlign w:val="center"/>
                </w:tcPr>
                <w:p>
                  <w:pPr>
                    <w:pStyle w:val="43"/>
                    <w:bidi w:val="0"/>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0.5</w:t>
                  </w:r>
                </w:p>
              </w:tc>
              <w:tc>
                <w:tcPr>
                  <w:tcW w:w="579" w:type="pct"/>
                  <w:noWrap w:val="0"/>
                  <w:vAlign w:val="center"/>
                </w:tcPr>
                <w:p>
                  <w:pPr>
                    <w:pStyle w:val="43"/>
                    <w:bidi w:val="0"/>
                    <w:rPr>
                      <w:rFonts w:ascii="Times New Roman" w:hAnsi="Times New Roman" w:eastAsia="宋体" w:cs="Times New Roman"/>
                      <w:kern w:val="2"/>
                      <w:sz w:val="21"/>
                      <w:szCs w:val="24"/>
                      <w:highlight w:val="none"/>
                      <w:lang w:val="en-US" w:eastAsia="en-US" w:bidi="ar-SA"/>
                    </w:rPr>
                  </w:pPr>
                  <w:r>
                    <w:rPr>
                      <w:highlight w:val="none"/>
                      <w:lang w:val="en-US" w:eastAsia="en-US"/>
                    </w:rPr>
                    <w:t>外购</w:t>
                  </w:r>
                </w:p>
              </w:tc>
              <w:tc>
                <w:tcPr>
                  <w:tcW w:w="721" w:type="pct"/>
                  <w:tcBorders>
                    <w:right w:val="single" w:color="000000" w:sz="6" w:space="0"/>
                  </w:tcBorders>
                  <w:noWrap w:val="0"/>
                  <w:vAlign w:val="center"/>
                </w:tcPr>
                <w:p>
                  <w:pPr>
                    <w:pStyle w:val="43"/>
                    <w:bidi w:val="0"/>
                    <w:rPr>
                      <w:highlight w:val="none"/>
                      <w:lang w:val="en-US" w:eastAsia="en-US"/>
                    </w:rPr>
                  </w:pPr>
                  <w:r>
                    <w:rPr>
                      <w:rFonts w:hint="eastAsia"/>
                      <w:highlight w:val="none"/>
                      <w:lang w:val="en-US" w:eastAsia="zh-CN"/>
                    </w:rPr>
                    <w:t>危废贮存点</w:t>
                  </w:r>
                </w:p>
              </w:tc>
            </w:tr>
          </w:tbl>
          <w:p>
            <w:pPr>
              <w:pStyle w:val="44"/>
              <w:bidi w:val="0"/>
              <w:rPr>
                <w:rFonts w:hint="eastAsia"/>
                <w:highlight w:val="none"/>
                <w:lang w:val="en-US" w:eastAsia="zh-CN"/>
              </w:rPr>
            </w:pPr>
            <w:r>
              <w:rPr>
                <w:rFonts w:hint="eastAsia"/>
                <w:highlight w:val="none"/>
                <w:lang w:val="en-US" w:eastAsia="zh-CN"/>
              </w:rPr>
              <w:t>（2）环境敏感目标分布</w:t>
            </w:r>
          </w:p>
          <w:p>
            <w:pPr>
              <w:pStyle w:val="44"/>
              <w:bidi w:val="0"/>
              <w:rPr>
                <w:rFonts w:hint="eastAsia"/>
                <w:highlight w:val="none"/>
                <w:lang w:val="en-US" w:eastAsia="zh-CN"/>
              </w:rPr>
            </w:pPr>
            <w:r>
              <w:rPr>
                <w:rFonts w:hint="eastAsia"/>
                <w:highlight w:val="none"/>
              </w:rPr>
              <w:t>根据《建设项目环境保护分类管理名录》</w:t>
            </w:r>
            <w:r>
              <w:rPr>
                <w:rFonts w:hint="eastAsia"/>
                <w:highlight w:val="none"/>
                <w:lang w:eastAsia="zh-CN"/>
              </w:rPr>
              <w:t>（</w:t>
            </w:r>
            <w:r>
              <w:rPr>
                <w:rFonts w:hint="eastAsia"/>
                <w:highlight w:val="none"/>
                <w:lang w:val="en-US" w:eastAsia="zh-CN"/>
              </w:rPr>
              <w:t>2021年版</w:t>
            </w:r>
            <w:r>
              <w:rPr>
                <w:rFonts w:hint="eastAsia"/>
                <w:highlight w:val="none"/>
                <w:lang w:eastAsia="zh-CN"/>
              </w:rPr>
              <w:t>）</w:t>
            </w:r>
            <w:r>
              <w:rPr>
                <w:rFonts w:hint="eastAsia"/>
                <w:highlight w:val="none"/>
              </w:rPr>
              <w:t>中对敏感区的规定，本项目所在</w:t>
            </w:r>
            <w:r>
              <w:rPr>
                <w:rFonts w:hint="eastAsia"/>
                <w:highlight w:val="none"/>
                <w:lang w:val="en-US" w:eastAsia="zh-CN"/>
              </w:rPr>
              <w:t>地</w:t>
            </w:r>
            <w:r>
              <w:rPr>
                <w:rFonts w:hint="eastAsia"/>
                <w:highlight w:val="none"/>
              </w:rPr>
              <w:t>附近无国家及省级确定的风景名胜区、历史遗迹等保护区，也无重点保护生态品种及濒危生物物种，文物古迹等。本项目</w:t>
            </w:r>
            <w:r>
              <w:rPr>
                <w:rFonts w:hint="eastAsia"/>
                <w:highlight w:val="none"/>
                <w:lang w:val="en-US" w:eastAsia="zh-CN"/>
              </w:rPr>
              <w:t>500m范围内无居民区等环境敏感点。</w:t>
            </w:r>
          </w:p>
          <w:p>
            <w:pPr>
              <w:pStyle w:val="44"/>
              <w:bidi w:val="0"/>
              <w:rPr>
                <w:rFonts w:hint="eastAsia"/>
                <w:highlight w:val="none"/>
                <w:lang w:val="en-US" w:eastAsia="zh-CN"/>
              </w:rPr>
            </w:pPr>
            <w:r>
              <w:rPr>
                <w:rFonts w:hint="eastAsia"/>
                <w:highlight w:val="none"/>
                <w:lang w:val="en-US" w:eastAsia="zh-CN"/>
              </w:rPr>
              <w:t>（3）危险物质数量与临界量比值（Q）</w:t>
            </w:r>
          </w:p>
          <w:p>
            <w:pPr>
              <w:pStyle w:val="44"/>
              <w:bidi w:val="0"/>
              <w:rPr>
                <w:rFonts w:hint="eastAsia"/>
                <w:highlight w:val="none"/>
                <w:lang w:val="en-US" w:eastAsia="zh-CN"/>
              </w:rPr>
            </w:pPr>
            <w:r>
              <w:rPr>
                <w:rFonts w:hint="eastAsia"/>
                <w:highlight w:val="none"/>
                <w:lang w:val="en-US" w:eastAsia="zh-CN"/>
              </w:rPr>
              <w:t>危险物质数量与临界量比值（Q）为每种危险物质在厂界内的最大存在总量与其在《建设项目环境风险评价技术导则》（HJ 169-2018）附录B中对应临界量的比值Q，当只涉及一种危险物质时，计算该物质的总量与其临界量比值，即为Q；当存在多种危险物质时，则按照下式计算物质总量与其临界量比值（Q）：</w:t>
            </w:r>
          </w:p>
          <w:p>
            <w:pPr>
              <w:pStyle w:val="18"/>
              <w:widowControl w:val="0"/>
              <w:autoSpaceDE w:val="0"/>
              <w:autoSpaceDN w:val="0"/>
              <w:spacing w:before="6" w:beforeAutospacing="0" w:after="0" w:afterAutospacing="0"/>
              <w:jc w:val="center"/>
              <w:rPr>
                <w:rFonts w:hint="eastAsia" w:ascii="宋体" w:hAnsi="宋体" w:eastAsia="宋体" w:cs="宋体"/>
                <w:i/>
                <w:color w:val="auto"/>
                <w:sz w:val="28"/>
                <w:szCs w:val="28"/>
                <w:highlight w:val="none"/>
              </w:rPr>
            </w:pPr>
            <w:r>
              <w:rPr>
                <w:rFonts w:hint="eastAsia" w:ascii="宋体" w:hAnsi="宋体" w:eastAsia="宋体" w:cs="宋体"/>
                <w:color w:val="auto"/>
                <w:spacing w:val="6"/>
                <w:kern w:val="2"/>
                <w:sz w:val="28"/>
                <w:szCs w:val="28"/>
                <w:highlight w:val="none"/>
                <w:lang w:val="zh-CN" w:bidi="ar"/>
              </w:rPr>
              <w:object>
                <v:shape id="_x0000_i1025" o:spt="75" type="#_x0000_t75" style="height:31.85pt;width:100.5pt;" o:ole="t" filled="f" o:preferrelative="t" stroked="f" coordsize="21600,21600">
                  <v:path/>
                  <v:fill on="f" focussize="0,0"/>
                  <v:stroke on="f"/>
                  <v:imagedata r:id="rId23" o:title=""/>
                  <o:lock v:ext="edit" aspectratio="t"/>
                  <w10:wrap type="none"/>
                  <w10:anchorlock/>
                </v:shape>
                <o:OLEObject Type="Embed" ProgID="Equation.DSMT4" ShapeID="_x0000_i1025" DrawAspect="Content" ObjectID="_1468075725" r:id="rId22">
                  <o:LockedField>false</o:LockedField>
                </o:OLEObject>
              </w:object>
            </w:r>
          </w:p>
          <w:p>
            <w:pPr>
              <w:pStyle w:val="44"/>
              <w:bidi w:val="0"/>
              <w:rPr>
                <w:rFonts w:hint="eastAsia"/>
                <w:highlight w:val="none"/>
              </w:rPr>
            </w:pPr>
            <w:r>
              <w:rPr>
                <w:rFonts w:hint="eastAsia"/>
                <w:highlight w:val="none"/>
              </w:rPr>
              <w:t>式中：q</w:t>
            </w:r>
            <w:r>
              <w:rPr>
                <w:rFonts w:hint="eastAsia"/>
                <w:highlight w:val="none"/>
                <w:vertAlign w:val="subscript"/>
              </w:rPr>
              <w:t>1</w:t>
            </w:r>
            <w:r>
              <w:rPr>
                <w:rFonts w:hint="eastAsia"/>
                <w:highlight w:val="none"/>
              </w:rPr>
              <w:t>，q</w:t>
            </w:r>
            <w:r>
              <w:rPr>
                <w:rFonts w:hint="eastAsia"/>
                <w:highlight w:val="none"/>
                <w:vertAlign w:val="subscript"/>
              </w:rPr>
              <w:t>2</w:t>
            </w:r>
            <w:r>
              <w:rPr>
                <w:rFonts w:hint="eastAsia"/>
                <w:highlight w:val="none"/>
                <w:lang w:eastAsia="zh-CN"/>
              </w:rPr>
              <w:t>……</w:t>
            </w:r>
            <w:r>
              <w:rPr>
                <w:rFonts w:hint="eastAsia"/>
                <w:highlight w:val="none"/>
              </w:rPr>
              <w:t>q</w:t>
            </w:r>
            <w:r>
              <w:rPr>
                <w:rFonts w:hint="eastAsia"/>
                <w:highlight w:val="none"/>
                <w:vertAlign w:val="subscript"/>
              </w:rPr>
              <w:t>n</w:t>
            </w:r>
            <w:r>
              <w:rPr>
                <w:rFonts w:hint="eastAsia"/>
                <w:highlight w:val="none"/>
                <w:lang w:eastAsia="zh-CN"/>
              </w:rPr>
              <w:t>——</w:t>
            </w:r>
            <w:r>
              <w:rPr>
                <w:rFonts w:hint="eastAsia"/>
                <w:highlight w:val="none"/>
              </w:rPr>
              <w:t>每种危险化学品实际存在量，t；</w:t>
            </w:r>
          </w:p>
          <w:p>
            <w:pPr>
              <w:pStyle w:val="44"/>
              <w:bidi w:val="0"/>
              <w:rPr>
                <w:rFonts w:hint="eastAsia" w:eastAsia="宋体"/>
                <w:highlight w:val="none"/>
                <w:lang w:eastAsia="zh-CN"/>
              </w:rPr>
            </w:pPr>
            <w:r>
              <w:rPr>
                <w:rFonts w:hint="eastAsia"/>
                <w:highlight w:val="none"/>
              </w:rPr>
              <w:t>Q</w:t>
            </w:r>
            <w:r>
              <w:rPr>
                <w:rFonts w:hint="eastAsia"/>
                <w:highlight w:val="none"/>
                <w:vertAlign w:val="subscript"/>
              </w:rPr>
              <w:t>1</w:t>
            </w:r>
            <w:r>
              <w:rPr>
                <w:rFonts w:hint="eastAsia"/>
                <w:highlight w:val="none"/>
              </w:rPr>
              <w:t>，Q</w:t>
            </w:r>
            <w:r>
              <w:rPr>
                <w:rFonts w:hint="eastAsia"/>
                <w:highlight w:val="none"/>
                <w:vertAlign w:val="subscript"/>
              </w:rPr>
              <w:t>2</w:t>
            </w:r>
            <w:r>
              <w:rPr>
                <w:rFonts w:hint="eastAsia"/>
                <w:highlight w:val="none"/>
                <w:lang w:eastAsia="zh-CN"/>
              </w:rPr>
              <w:t>……</w:t>
            </w:r>
            <w:r>
              <w:rPr>
                <w:rFonts w:hint="eastAsia"/>
                <w:highlight w:val="none"/>
              </w:rPr>
              <w:t>Q</w:t>
            </w:r>
            <w:r>
              <w:rPr>
                <w:rFonts w:hint="eastAsia"/>
                <w:highlight w:val="none"/>
                <w:vertAlign w:val="subscript"/>
              </w:rPr>
              <w:t>n</w:t>
            </w:r>
            <w:r>
              <w:rPr>
                <w:rFonts w:hint="eastAsia"/>
                <w:highlight w:val="none"/>
                <w:lang w:eastAsia="zh-CN"/>
              </w:rPr>
              <w:t>——</w:t>
            </w:r>
            <w:r>
              <w:rPr>
                <w:rFonts w:hint="eastAsia"/>
                <w:highlight w:val="none"/>
              </w:rPr>
              <w:t>与个危险化学品的临界量，t</w:t>
            </w:r>
            <w:r>
              <w:rPr>
                <w:rFonts w:hint="eastAsia"/>
                <w:highlight w:val="none"/>
                <w:lang w:eastAsia="zh-CN"/>
              </w:rPr>
              <w:t>；</w:t>
            </w:r>
          </w:p>
          <w:p>
            <w:pPr>
              <w:pStyle w:val="44"/>
              <w:bidi w:val="0"/>
              <w:rPr>
                <w:rFonts w:hint="eastAsia"/>
                <w:highlight w:val="none"/>
              </w:rPr>
            </w:pPr>
            <w:r>
              <w:rPr>
                <w:rFonts w:hint="eastAsia"/>
                <w:highlight w:val="none"/>
              </w:rPr>
              <w:t>当Q＜1时，该项目风险潜势为Ⅰ；</w:t>
            </w:r>
          </w:p>
          <w:p>
            <w:pPr>
              <w:pStyle w:val="44"/>
              <w:bidi w:val="0"/>
              <w:rPr>
                <w:rFonts w:hint="eastAsia"/>
                <w:highlight w:val="none"/>
              </w:rPr>
            </w:pPr>
            <w:r>
              <w:rPr>
                <w:rFonts w:hint="eastAsia"/>
                <w:highlight w:val="none"/>
              </w:rPr>
              <w:t>当Q</w:t>
            </w:r>
            <w:r>
              <w:rPr>
                <w:rFonts w:hint="eastAsia"/>
                <w:highlight w:val="none"/>
                <w:lang w:eastAsia="zh-CN"/>
              </w:rPr>
              <w:t>≥</w:t>
            </w:r>
            <w:r>
              <w:rPr>
                <w:rFonts w:hint="eastAsia"/>
                <w:highlight w:val="none"/>
              </w:rPr>
              <w:t>1时，Q值划分为：（1）1</w:t>
            </w:r>
            <w:r>
              <w:rPr>
                <w:rFonts w:hint="eastAsia"/>
                <w:highlight w:val="none"/>
                <w:lang w:eastAsia="zh-CN"/>
              </w:rPr>
              <w:t>≤</w:t>
            </w:r>
            <w:r>
              <w:rPr>
                <w:rFonts w:hint="eastAsia"/>
                <w:highlight w:val="none"/>
              </w:rPr>
              <w:t>Q＜10；（2）10</w:t>
            </w:r>
            <w:r>
              <w:rPr>
                <w:rFonts w:hint="eastAsia"/>
                <w:highlight w:val="none"/>
                <w:lang w:eastAsia="zh-CN"/>
              </w:rPr>
              <w:t>≤</w:t>
            </w:r>
            <w:r>
              <w:rPr>
                <w:rFonts w:hint="eastAsia"/>
                <w:highlight w:val="none"/>
              </w:rPr>
              <w:t>Q＜100；（3）Q</w:t>
            </w:r>
            <w:r>
              <w:rPr>
                <w:rFonts w:hint="eastAsia"/>
                <w:highlight w:val="none"/>
                <w:lang w:eastAsia="zh-CN"/>
              </w:rPr>
              <w:t>≥</w:t>
            </w:r>
            <w:r>
              <w:rPr>
                <w:rFonts w:hint="eastAsia"/>
                <w:highlight w:val="none"/>
              </w:rPr>
              <w:t>100。</w:t>
            </w:r>
          </w:p>
          <w:p>
            <w:pPr>
              <w:pStyle w:val="44"/>
              <w:bidi w:val="0"/>
              <w:rPr>
                <w:rFonts w:hint="eastAsia"/>
                <w:highlight w:val="none"/>
              </w:rPr>
            </w:pPr>
            <w:r>
              <w:rPr>
                <w:rFonts w:hint="eastAsia"/>
                <w:highlight w:val="none"/>
              </w:rPr>
              <w:t>根据调查，本项目</w:t>
            </w:r>
            <w:r>
              <w:rPr>
                <w:rFonts w:hint="eastAsia"/>
                <w:highlight w:val="none"/>
                <w:lang w:val="en-US" w:eastAsia="zh-CN"/>
              </w:rPr>
              <w:t>重点关注</w:t>
            </w:r>
            <w:r>
              <w:rPr>
                <w:rFonts w:hint="eastAsia"/>
                <w:highlight w:val="none"/>
              </w:rPr>
              <w:t>物料储存情况见表</w:t>
            </w:r>
            <w:r>
              <w:rPr>
                <w:rFonts w:hint="eastAsia"/>
                <w:highlight w:val="none"/>
                <w:lang w:val="en-US" w:eastAsia="zh-CN"/>
              </w:rPr>
              <w:t>4</w:t>
            </w:r>
            <w:r>
              <w:rPr>
                <w:rFonts w:hint="eastAsia"/>
                <w:highlight w:val="none"/>
              </w:rPr>
              <w:t>-</w:t>
            </w:r>
            <w:r>
              <w:rPr>
                <w:rFonts w:hint="eastAsia"/>
                <w:highlight w:val="none"/>
                <w:lang w:val="en-US" w:eastAsia="zh-CN"/>
              </w:rPr>
              <w:t>19</w:t>
            </w:r>
            <w:r>
              <w:rPr>
                <w:rFonts w:hint="eastAsia"/>
                <w:highlight w:val="none"/>
              </w:rPr>
              <w:t>。</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表4-19  本项目重点关注物质储存情况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246"/>
              <w:gridCol w:w="1613"/>
              <w:gridCol w:w="161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25"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序号</w:t>
                  </w:r>
                </w:p>
              </w:tc>
              <w:tc>
                <w:tcPr>
                  <w:tcW w:w="1434"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重点关注的物质名称</w:t>
                  </w:r>
                </w:p>
              </w:tc>
              <w:tc>
                <w:tcPr>
                  <w:tcW w:w="1030"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临界量（t）</w:t>
                  </w:r>
                </w:p>
              </w:tc>
              <w:tc>
                <w:tcPr>
                  <w:tcW w:w="1031"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最大存储量（t）</w:t>
                  </w:r>
                </w:p>
              </w:tc>
              <w:tc>
                <w:tcPr>
                  <w:tcW w:w="878"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25" w:type="pct"/>
                  <w:tcBorders>
                    <w:tl2br w:val="nil"/>
                    <w:tr2bl w:val="nil"/>
                  </w:tcBorders>
                  <w:noWrap w:val="0"/>
                  <w:vAlign w:val="center"/>
                </w:tcPr>
                <w:p>
                  <w:pPr>
                    <w:pStyle w:val="43"/>
                    <w:bidi w:val="0"/>
                    <w:rPr>
                      <w:rFonts w:hint="eastAsia"/>
                      <w:highlight w:val="none"/>
                      <w:lang w:val="en-US" w:eastAsia="zh-CN"/>
                    </w:rPr>
                  </w:pPr>
                  <w:r>
                    <w:rPr>
                      <w:rFonts w:hint="eastAsia"/>
                      <w:highlight w:val="none"/>
                      <w:lang w:val="en-US" w:eastAsia="zh-CN"/>
                    </w:rPr>
                    <w:t>1</w:t>
                  </w:r>
                </w:p>
              </w:tc>
              <w:tc>
                <w:tcPr>
                  <w:tcW w:w="1434" w:type="pct"/>
                  <w:tcBorders>
                    <w:tl2br w:val="nil"/>
                    <w:tr2bl w:val="nil"/>
                  </w:tcBorders>
                  <w:noWrap w:val="0"/>
                  <w:vAlign w:val="center"/>
                </w:tcPr>
                <w:p>
                  <w:pPr>
                    <w:pStyle w:val="43"/>
                    <w:bidi w:val="0"/>
                    <w:rPr>
                      <w:rFonts w:hint="eastAsia"/>
                      <w:highlight w:val="none"/>
                      <w:lang w:val="en-US" w:eastAsia="zh-CN"/>
                    </w:rPr>
                  </w:pPr>
                  <w:r>
                    <w:rPr>
                      <w:rFonts w:hint="eastAsia"/>
                      <w:color w:val="auto"/>
                      <w:highlight w:val="none"/>
                      <w:lang w:val="en-US" w:eastAsia="zh-CN"/>
                    </w:rPr>
                    <w:t>废液压油</w:t>
                  </w:r>
                </w:p>
              </w:tc>
              <w:tc>
                <w:tcPr>
                  <w:tcW w:w="1030" w:type="pct"/>
                  <w:tcBorders>
                    <w:tl2br w:val="nil"/>
                    <w:tr2bl w:val="nil"/>
                  </w:tcBorders>
                  <w:noWrap w:val="0"/>
                  <w:vAlign w:val="center"/>
                </w:tcPr>
                <w:p>
                  <w:pPr>
                    <w:pStyle w:val="43"/>
                    <w:bidi w:val="0"/>
                    <w:rPr>
                      <w:rFonts w:hint="default"/>
                      <w:highlight w:val="none"/>
                      <w:lang w:val="en-US" w:eastAsia="zh-CN"/>
                    </w:rPr>
                  </w:pPr>
                  <w:r>
                    <w:rPr>
                      <w:rFonts w:hint="eastAsia"/>
                      <w:highlight w:val="none"/>
                      <w:lang w:val="en-US" w:eastAsia="zh-CN"/>
                    </w:rPr>
                    <w:t>2500</w:t>
                  </w:r>
                </w:p>
              </w:tc>
              <w:tc>
                <w:tcPr>
                  <w:tcW w:w="1031" w:type="pct"/>
                  <w:tcBorders>
                    <w:tl2br w:val="nil"/>
                    <w:tr2bl w:val="nil"/>
                  </w:tcBorders>
                  <w:noWrap w:val="0"/>
                  <w:vAlign w:val="center"/>
                </w:tcPr>
                <w:p>
                  <w:pPr>
                    <w:pStyle w:val="43"/>
                    <w:bidi w:val="0"/>
                    <w:rPr>
                      <w:rFonts w:hint="default"/>
                      <w:highlight w:val="none"/>
                      <w:lang w:val="en-US" w:eastAsia="zh-CN"/>
                    </w:rPr>
                  </w:pPr>
                  <w:r>
                    <w:rPr>
                      <w:rFonts w:hint="eastAsia"/>
                      <w:highlight w:val="none"/>
                      <w:lang w:val="en-US" w:eastAsia="zh-CN"/>
                    </w:rPr>
                    <w:t>0.5</w:t>
                  </w:r>
                </w:p>
              </w:tc>
              <w:tc>
                <w:tcPr>
                  <w:tcW w:w="1340" w:type="dxa"/>
                  <w:tcBorders>
                    <w:tl2br w:val="nil"/>
                    <w:tr2bl w:val="nil"/>
                  </w:tcBorders>
                  <w:noWrap w:val="0"/>
                  <w:vAlign w:val="center"/>
                </w:tcPr>
                <w:p>
                  <w:pPr>
                    <w:pStyle w:val="47"/>
                    <w:bidi w:val="0"/>
                    <w:ind w:firstLine="0" w:firstLineChars="0"/>
                    <w:rPr>
                      <w:rFonts w:hint="default"/>
                      <w:highlight w:val="none"/>
                      <w:lang w:val="en-US" w:eastAsia="zh-CN"/>
                    </w:rPr>
                  </w:pPr>
                  <w:r>
                    <w:rPr>
                      <w:rFonts w:hint="eastAsia"/>
                      <w:color w:val="auto"/>
                      <w:highlight w:val="none"/>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4121" w:type="pct"/>
                  <w:gridSpan w:val="4"/>
                  <w:tcBorders>
                    <w:tl2br w:val="nil"/>
                    <w:tr2bl w:val="nil"/>
                  </w:tcBorders>
                  <w:noWrap w:val="0"/>
                  <w:vAlign w:val="center"/>
                </w:tcPr>
                <w:p>
                  <w:pPr>
                    <w:pStyle w:val="43"/>
                    <w:bidi w:val="0"/>
                    <w:rPr>
                      <w:rFonts w:hint="default"/>
                      <w:highlight w:val="none"/>
                      <w:lang w:val="en-US" w:eastAsia="zh-CN"/>
                    </w:rPr>
                  </w:pPr>
                  <w:r>
                    <w:rPr>
                      <w:rFonts w:hint="eastAsia"/>
                      <w:highlight w:val="none"/>
                      <w:lang w:eastAsia="zh-CN"/>
                    </w:rPr>
                    <w:t>项目Q值</w:t>
                  </w:r>
                  <w:r>
                    <w:rPr>
                      <w:rFonts w:hint="eastAsia"/>
                      <w:highlight w:val="none"/>
                      <w:lang w:val="en-US" w:eastAsia="zh-CN"/>
                    </w:rPr>
                    <w:t>合计</w:t>
                  </w:r>
                </w:p>
              </w:tc>
              <w:tc>
                <w:tcPr>
                  <w:tcW w:w="1340" w:type="dxa"/>
                  <w:tcBorders>
                    <w:tl2br w:val="nil"/>
                    <w:tr2bl w:val="nil"/>
                  </w:tcBorders>
                  <w:noWrap w:val="0"/>
                  <w:vAlign w:val="center"/>
                </w:tcPr>
                <w:p>
                  <w:pPr>
                    <w:pStyle w:val="47"/>
                    <w:bidi w:val="0"/>
                    <w:ind w:firstLine="0" w:firstLineChars="0"/>
                    <w:rPr>
                      <w:rFonts w:hint="default"/>
                      <w:highlight w:val="none"/>
                      <w:lang w:val="en-US" w:eastAsia="zh-CN"/>
                    </w:rPr>
                  </w:pPr>
                  <w:r>
                    <w:rPr>
                      <w:rFonts w:hint="eastAsia"/>
                      <w:color w:val="auto"/>
                      <w:highlight w:val="none"/>
                    </w:rPr>
                    <w:t>0.00</w:t>
                  </w:r>
                  <w:r>
                    <w:rPr>
                      <w:rFonts w:hint="eastAsia"/>
                      <w:color w:val="auto"/>
                      <w:highlight w:val="none"/>
                      <w:lang w:val="en-US" w:eastAsia="zh-CN"/>
                    </w:rPr>
                    <w:t>02</w:t>
                  </w:r>
                </w:p>
              </w:tc>
            </w:tr>
          </w:tbl>
          <w:p>
            <w:pPr>
              <w:pStyle w:val="44"/>
              <w:bidi w:val="0"/>
              <w:rPr>
                <w:rFonts w:hint="eastAsia"/>
                <w:highlight w:val="none"/>
              </w:rPr>
            </w:pPr>
            <w:r>
              <w:rPr>
                <w:rFonts w:hint="eastAsia"/>
                <w:highlight w:val="none"/>
                <w:lang w:val="en-US" w:eastAsia="zh-CN"/>
              </w:rPr>
              <w:t>由上表可知，本项目风险物质数量与临界量比值Q=0.0002＜1，因此本项目环境风险潜势为I，根据《建设项目环境风险评价技术导则》（HJ169-2018），本项目环境风险评价仅进行简单分析。</w:t>
            </w:r>
          </w:p>
          <w:p>
            <w:pPr>
              <w:pStyle w:val="44"/>
              <w:bidi w:val="0"/>
              <w:rPr>
                <w:rFonts w:hint="eastAsia"/>
                <w:highlight w:val="none"/>
              </w:rPr>
            </w:pPr>
            <w:r>
              <w:rPr>
                <w:rFonts w:hint="eastAsia"/>
                <w:highlight w:val="none"/>
                <w:lang w:val="en-US" w:eastAsia="zh-CN"/>
              </w:rPr>
              <w:t>（4）环境风险识别</w:t>
            </w:r>
          </w:p>
          <w:p>
            <w:pPr>
              <w:pStyle w:val="44"/>
              <w:bidi w:val="0"/>
              <w:rPr>
                <w:rFonts w:hint="eastAsia"/>
                <w:highlight w:val="none"/>
              </w:rPr>
            </w:pPr>
            <w:r>
              <w:rPr>
                <w:rFonts w:hint="eastAsia"/>
                <w:highlight w:val="none"/>
                <w:lang w:val="en-US" w:eastAsia="zh-CN"/>
              </w:rPr>
              <w:t>本项目风险类型主要为：①储罐泄漏，液态物料外泄；②危废贮存点废液压油泄漏。</w:t>
            </w:r>
          </w:p>
          <w:p>
            <w:pPr>
              <w:pStyle w:val="44"/>
              <w:bidi w:val="0"/>
              <w:rPr>
                <w:rFonts w:hint="eastAsia"/>
                <w:highlight w:val="none"/>
                <w:lang w:val="en-US" w:eastAsia="zh-CN"/>
              </w:rPr>
            </w:pPr>
            <w:r>
              <w:rPr>
                <w:rFonts w:hint="eastAsia"/>
                <w:highlight w:val="none"/>
                <w:lang w:val="en-US" w:eastAsia="zh-CN"/>
              </w:rPr>
              <w:t>（5）影响环境的途径</w:t>
            </w:r>
          </w:p>
          <w:p>
            <w:pPr>
              <w:pStyle w:val="44"/>
              <w:bidi w:val="0"/>
              <w:rPr>
                <w:rFonts w:hint="eastAsia"/>
                <w:highlight w:val="none"/>
                <w:lang w:val="en-US" w:eastAsia="zh-CN"/>
              </w:rPr>
            </w:pPr>
            <w:r>
              <w:rPr>
                <w:rFonts w:hint="eastAsia"/>
                <w:highlight w:val="none"/>
                <w:lang w:val="en-US" w:eastAsia="zh-CN"/>
              </w:rPr>
              <w:t>危险物质容器发生破损、裂缝挥发进入地下水/土壤环境；液体物料容器桶破裂造成有害物质泄漏，有害物质通过地表径流进入地表水环境，此外还可能通过垂直渗透进入地下水环境或土壤环境。</w:t>
            </w:r>
          </w:p>
          <w:p>
            <w:pPr>
              <w:pStyle w:val="44"/>
              <w:bidi w:val="0"/>
              <w:rPr>
                <w:rFonts w:hint="eastAsia"/>
                <w:highlight w:val="none"/>
                <w:lang w:val="en-US" w:eastAsia="zh-CN"/>
              </w:rPr>
            </w:pPr>
            <w:r>
              <w:rPr>
                <w:rFonts w:hint="eastAsia"/>
                <w:highlight w:val="none"/>
                <w:lang w:val="en-US" w:eastAsia="zh-CN"/>
              </w:rPr>
              <w:t>生产过程中因管理不规范、操作不当等造成一般性火灾事故产生次生污染物进入大气环境，在灭火过程中事故消防废水通过地表径流进入地表水环境。</w:t>
            </w:r>
          </w:p>
          <w:p>
            <w:pPr>
              <w:pStyle w:val="44"/>
              <w:bidi w:val="0"/>
              <w:rPr>
                <w:rFonts w:hint="eastAsia"/>
                <w:highlight w:val="none"/>
                <w:lang w:val="en-US" w:eastAsia="zh-CN"/>
              </w:rPr>
            </w:pPr>
            <w:r>
              <w:rPr>
                <w:rFonts w:hint="eastAsia"/>
                <w:highlight w:val="none"/>
                <w:lang w:val="en-US" w:eastAsia="zh-CN"/>
              </w:rPr>
              <w:t>（6）环境风险防范措施</w:t>
            </w:r>
          </w:p>
          <w:p>
            <w:pPr>
              <w:pStyle w:val="44"/>
              <w:bidi w:val="0"/>
              <w:rPr>
                <w:rFonts w:hint="eastAsia"/>
                <w:highlight w:val="none"/>
              </w:rPr>
            </w:pPr>
            <w:r>
              <w:rPr>
                <w:rFonts w:hint="eastAsia"/>
                <w:highlight w:val="none"/>
              </w:rPr>
              <w:t>1</w:t>
            </w:r>
            <w:r>
              <w:rPr>
                <w:rFonts w:hint="eastAsia"/>
                <w:highlight w:val="none"/>
                <w:lang w:eastAsia="zh-CN"/>
              </w:rPr>
              <w:t>）</w:t>
            </w:r>
            <w:r>
              <w:rPr>
                <w:rFonts w:hint="eastAsia"/>
                <w:highlight w:val="none"/>
                <w:lang w:val="en-US" w:eastAsia="zh-CN"/>
              </w:rPr>
              <w:t>风险源防范措施</w:t>
            </w:r>
          </w:p>
          <w:p>
            <w:pPr>
              <w:pStyle w:val="44"/>
              <w:bidi w:val="0"/>
              <w:rPr>
                <w:rFonts w:hint="eastAsia"/>
                <w:highlight w:val="none"/>
              </w:rPr>
            </w:pPr>
            <w:r>
              <w:rPr>
                <w:rFonts w:hint="eastAsia"/>
                <w:highlight w:val="none"/>
                <w:lang w:val="en-US" w:eastAsia="zh-CN"/>
              </w:rPr>
              <w:t>①化粪池、沉淀池均为地下、半地下式池体，</w:t>
            </w:r>
            <w:r>
              <w:rPr>
                <w:rFonts w:hint="default" w:ascii="Times New Roman" w:hAnsi="Times New Roman" w:eastAsia="宋体" w:cs="Times New Roman"/>
                <w:color w:val="auto"/>
                <w:kern w:val="2"/>
                <w:sz w:val="24"/>
                <w:szCs w:val="24"/>
                <w:highlight w:val="none"/>
                <w:lang w:val="en-US" w:eastAsia="zh-CN"/>
              </w:rPr>
              <w:t>加强化粪池和</w:t>
            </w:r>
            <w:r>
              <w:rPr>
                <w:rFonts w:hint="eastAsia"/>
                <w:highlight w:val="none"/>
                <w:lang w:val="en-US" w:eastAsia="zh-CN"/>
              </w:rPr>
              <w:t>沉淀池</w:t>
            </w:r>
            <w:r>
              <w:rPr>
                <w:rFonts w:hint="default" w:ascii="Times New Roman" w:hAnsi="Times New Roman" w:eastAsia="宋体" w:cs="Times New Roman"/>
                <w:color w:val="auto"/>
                <w:kern w:val="2"/>
                <w:sz w:val="24"/>
                <w:szCs w:val="24"/>
                <w:highlight w:val="none"/>
                <w:lang w:val="en-US" w:eastAsia="zh-CN"/>
              </w:rPr>
              <w:t>的预防监控，定期巡检、调节、保养、维修，及时发现有可能引起</w:t>
            </w:r>
            <w:r>
              <w:rPr>
                <w:rFonts w:hint="eastAsia" w:cs="Times New Roman"/>
                <w:color w:val="auto"/>
                <w:kern w:val="2"/>
                <w:sz w:val="24"/>
                <w:szCs w:val="24"/>
                <w:highlight w:val="none"/>
                <w:lang w:val="en-US" w:eastAsia="zh-CN"/>
              </w:rPr>
              <w:t>泄漏</w:t>
            </w:r>
            <w:r>
              <w:rPr>
                <w:rFonts w:hint="default" w:ascii="Times New Roman" w:hAnsi="Times New Roman" w:eastAsia="宋体" w:cs="Times New Roman"/>
                <w:color w:val="auto"/>
                <w:kern w:val="2"/>
                <w:sz w:val="24"/>
                <w:szCs w:val="24"/>
                <w:highlight w:val="none"/>
                <w:lang w:val="en-US" w:eastAsia="zh-CN"/>
              </w:rPr>
              <w:t>的异常运行苗头，消除隐患。</w:t>
            </w:r>
          </w:p>
          <w:p>
            <w:pPr>
              <w:pStyle w:val="44"/>
              <w:bidi w:val="0"/>
              <w:rPr>
                <w:rFonts w:hint="eastAsia"/>
                <w:highlight w:val="none"/>
                <w:lang w:val="en-US" w:eastAsia="zh-CN"/>
              </w:rPr>
            </w:pPr>
            <w:r>
              <w:rPr>
                <w:rFonts w:hint="eastAsia"/>
                <w:highlight w:val="none"/>
                <w:lang w:val="en-US" w:eastAsia="zh-CN"/>
              </w:rPr>
              <w:t>②液体类原辅料、危险废物等存储容器应采取架空处理，且容器底部应设置托盘等收集装置。</w:t>
            </w:r>
          </w:p>
          <w:p>
            <w:pPr>
              <w:pStyle w:val="44"/>
              <w:bidi w:val="0"/>
              <w:rPr>
                <w:rFonts w:hint="eastAsia"/>
                <w:highlight w:val="none"/>
                <w:lang w:val="en-US" w:eastAsia="zh-CN"/>
              </w:rPr>
            </w:pPr>
            <w:r>
              <w:rPr>
                <w:rFonts w:hint="eastAsia"/>
                <w:highlight w:val="none"/>
                <w:lang w:val="en-US" w:eastAsia="zh-CN"/>
              </w:rPr>
              <w:t>③危险废物必须严实包装，危废间应采用耐腐蚀的硬化地面且表面无裂隙；液体危废容器下应设置托盘，设计堵截泄漏的裙脚，地面与裙脚要用坚固、防渗的材料建造；必须有泄漏液体收集装置；其他设计应严格按照《危险废物贮存污染控制标准》（GB18597-2023）相关要求执行。</w:t>
            </w:r>
          </w:p>
          <w:p>
            <w:pPr>
              <w:pStyle w:val="44"/>
              <w:bidi w:val="0"/>
              <w:rPr>
                <w:rFonts w:hint="eastAsia"/>
                <w:highlight w:val="none"/>
              </w:rPr>
            </w:pPr>
            <w:r>
              <w:rPr>
                <w:rFonts w:hint="eastAsia"/>
                <w:highlight w:val="none"/>
                <w:lang w:val="en-US" w:eastAsia="zh-CN"/>
              </w:rPr>
              <w:t>④制定完善的生产操作规程，最大限度预防事故发生；制定各种化学品使用、贮存过程的合理操作规程，防止在使用过程中由于操作不当引起大面积泄漏。</w:t>
            </w:r>
          </w:p>
          <w:p>
            <w:pPr>
              <w:pStyle w:val="44"/>
              <w:bidi w:val="0"/>
              <w:rPr>
                <w:rFonts w:hint="eastAsia"/>
                <w:highlight w:val="none"/>
                <w:lang w:val="en-US" w:eastAsia="zh-CN"/>
              </w:rPr>
            </w:pPr>
            <w:r>
              <w:rPr>
                <w:rFonts w:hint="eastAsia"/>
                <w:highlight w:val="none"/>
                <w:lang w:val="en-US" w:eastAsia="zh-CN"/>
              </w:rPr>
              <w:t>⑤严格执行企业的各项安全管理制度；组织专门人员每天多次进行周期性巡回检查，有跑冒滴漏或其他异常现象的应及时检修，必要时按照“生产服从安全”原则停车检修，严禁生产线带病生产。</w:t>
            </w:r>
          </w:p>
          <w:p>
            <w:pPr>
              <w:pStyle w:val="44"/>
              <w:bidi w:val="0"/>
              <w:rPr>
                <w:rFonts w:hint="eastAsia"/>
                <w:highlight w:val="none"/>
              </w:rPr>
            </w:pPr>
            <w:r>
              <w:rPr>
                <w:rFonts w:hint="eastAsia"/>
                <w:highlight w:val="none"/>
                <w:lang w:val="en-US" w:eastAsia="zh-CN"/>
              </w:rPr>
              <w:t>2）</w:t>
            </w:r>
            <w:r>
              <w:rPr>
                <w:rFonts w:hint="eastAsia"/>
                <w:highlight w:val="none"/>
              </w:rPr>
              <w:t>废气处理装置事故排放风险防范措施</w:t>
            </w:r>
          </w:p>
          <w:p>
            <w:pPr>
              <w:pStyle w:val="44"/>
              <w:bidi w:val="0"/>
              <w:rPr>
                <w:rFonts w:hint="eastAsia"/>
                <w:highlight w:val="none"/>
                <w:lang w:eastAsia="zh-CN"/>
              </w:rPr>
            </w:pPr>
            <w:r>
              <w:rPr>
                <w:rFonts w:hint="eastAsia"/>
                <w:highlight w:val="none"/>
              </w:rPr>
              <w:t>本项目</w:t>
            </w:r>
            <w:r>
              <w:rPr>
                <w:rFonts w:hint="eastAsia"/>
                <w:highlight w:val="none"/>
                <w:lang w:val="en-US" w:eastAsia="zh-CN"/>
              </w:rPr>
              <w:t>除尘系统</w:t>
            </w:r>
            <w:r>
              <w:rPr>
                <w:rFonts w:hint="eastAsia"/>
                <w:highlight w:val="none"/>
              </w:rPr>
              <w:t>故障，废气短时间内超标排放，上述处理系统均为整套装置，出现故障也容易发现并及时进行检修。安排专人加强日常定期对气体收集系统和</w:t>
            </w:r>
            <w:r>
              <w:rPr>
                <w:rFonts w:hint="eastAsia"/>
                <w:highlight w:val="none"/>
                <w:lang w:val="en-US" w:eastAsia="zh-CN"/>
              </w:rPr>
              <w:t>处理</w:t>
            </w:r>
            <w:r>
              <w:rPr>
                <w:rFonts w:hint="eastAsia"/>
                <w:highlight w:val="none"/>
              </w:rPr>
              <w:t>装置进行维护，认真填写巡检记录，认真记录设备运行情况，若发现异样，如设备参数等问题，应立即联系厂家进行处理，保证及时恢复正常运行</w:t>
            </w:r>
            <w:r>
              <w:rPr>
                <w:rFonts w:hint="eastAsia"/>
                <w:highlight w:val="none"/>
                <w:lang w:eastAsia="zh-CN"/>
              </w:rPr>
              <w:t>；</w:t>
            </w:r>
            <w:r>
              <w:rPr>
                <w:rFonts w:hint="eastAsia"/>
                <w:highlight w:val="none"/>
              </w:rPr>
              <w:t>如出现断电等事故，应立即启动应急电源，将事故隐患消灭于萌芽之中</w:t>
            </w:r>
            <w:r>
              <w:rPr>
                <w:rFonts w:hint="eastAsia"/>
                <w:highlight w:val="none"/>
                <w:lang w:eastAsia="zh-CN"/>
              </w:rPr>
              <w:t>。</w:t>
            </w:r>
          </w:p>
          <w:p>
            <w:pPr>
              <w:pStyle w:val="44"/>
              <w:bidi w:val="0"/>
              <w:rPr>
                <w:rFonts w:hint="eastAsia"/>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应急预案</w:t>
            </w:r>
          </w:p>
          <w:p>
            <w:pPr>
              <w:pStyle w:val="44"/>
              <w:bidi w:val="0"/>
              <w:rPr>
                <w:rFonts w:hint="eastAsia"/>
                <w:highlight w:val="none"/>
              </w:rPr>
            </w:pPr>
            <w:r>
              <w:rPr>
                <w:rFonts w:hint="eastAsia"/>
                <w:highlight w:val="none"/>
              </w:rPr>
              <w:t>制定风险事故应急预案的目的：事故的应急预案是根据工程风险源风险分析，制定的防止事故发生和减少事故发生的损失的计划，建立健全突发环境事件应急机制，提高本项目应对涉及公共危机的突发环境事件的能力，维护社会稳定，保障职工生命健康和财产安全，将污染突发事件对人员、财产和环境造成的损失降至</w:t>
            </w:r>
            <w:r>
              <w:rPr>
                <w:rFonts w:hint="eastAsia"/>
                <w:highlight w:val="none"/>
                <w:lang w:eastAsia="zh-CN"/>
              </w:rPr>
              <w:t>最低程度</w:t>
            </w:r>
            <w:r>
              <w:rPr>
                <w:rFonts w:hint="eastAsia"/>
                <w:highlight w:val="none"/>
              </w:rPr>
              <w:t>，促进本厂全面、协调、可持续发展。</w:t>
            </w:r>
          </w:p>
          <w:p>
            <w:pPr>
              <w:pStyle w:val="44"/>
              <w:bidi w:val="0"/>
              <w:rPr>
                <w:rFonts w:hint="eastAsia"/>
                <w:highlight w:val="none"/>
              </w:rPr>
            </w:pPr>
            <w:r>
              <w:rPr>
                <w:rFonts w:hint="eastAsia"/>
                <w:highlight w:val="none"/>
              </w:rPr>
              <w:t>应急预案的主要内容见表</w:t>
            </w:r>
            <w:r>
              <w:rPr>
                <w:rFonts w:hint="eastAsia"/>
                <w:highlight w:val="none"/>
                <w:lang w:val="en-US" w:eastAsia="zh-CN"/>
              </w:rPr>
              <w:t>4-20</w:t>
            </w:r>
            <w:r>
              <w:rPr>
                <w:rFonts w:hint="eastAsia"/>
                <w:highlight w:val="none"/>
              </w:rPr>
              <w:t>。</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表4-20  应急预案内容</w:t>
            </w:r>
          </w:p>
          <w:tbl>
            <w:tblPr>
              <w:tblStyle w:val="4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1591"/>
              <w:gridCol w:w="5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noWrap w:val="0"/>
                  <w:vAlign w:val="center"/>
                </w:tcPr>
                <w:p>
                  <w:pPr>
                    <w:pStyle w:val="30"/>
                    <w:bidi w:val="0"/>
                    <w:rPr>
                      <w:highlight w:val="none"/>
                      <w:lang w:val="en-US" w:eastAsia="en-US"/>
                    </w:rPr>
                  </w:pPr>
                  <w:r>
                    <w:rPr>
                      <w:highlight w:val="none"/>
                      <w:lang w:val="en-US" w:eastAsia="en-US"/>
                    </w:rPr>
                    <w:t>序号</w:t>
                  </w:r>
                </w:p>
              </w:tc>
              <w:tc>
                <w:tcPr>
                  <w:tcW w:w="1016" w:type="pct"/>
                  <w:noWrap w:val="0"/>
                  <w:vAlign w:val="center"/>
                </w:tcPr>
                <w:p>
                  <w:pPr>
                    <w:pStyle w:val="30"/>
                    <w:bidi w:val="0"/>
                    <w:rPr>
                      <w:highlight w:val="none"/>
                      <w:lang w:val="en-US" w:eastAsia="en-US"/>
                    </w:rPr>
                  </w:pPr>
                  <w:r>
                    <w:rPr>
                      <w:highlight w:val="none"/>
                      <w:lang w:val="en-US" w:eastAsia="en-US"/>
                    </w:rPr>
                    <w:t>项目</w:t>
                  </w:r>
                </w:p>
              </w:tc>
              <w:tc>
                <w:tcPr>
                  <w:tcW w:w="3602" w:type="pct"/>
                  <w:noWrap w:val="0"/>
                  <w:vAlign w:val="center"/>
                </w:tcPr>
                <w:p>
                  <w:pPr>
                    <w:pStyle w:val="30"/>
                    <w:bidi w:val="0"/>
                    <w:rPr>
                      <w:highlight w:val="none"/>
                      <w:lang w:val="en-US" w:eastAsia="en-US"/>
                    </w:rPr>
                  </w:pPr>
                  <w:r>
                    <w:rPr>
                      <w:highlight w:val="none"/>
                      <w:lang w:val="en-US" w:eastAsia="en-US"/>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1</w:t>
                  </w:r>
                </w:p>
              </w:tc>
              <w:tc>
                <w:tcPr>
                  <w:tcW w:w="1016" w:type="pct"/>
                  <w:noWrap w:val="0"/>
                  <w:vAlign w:val="center"/>
                </w:tcPr>
                <w:p>
                  <w:pPr>
                    <w:pStyle w:val="30"/>
                    <w:bidi w:val="0"/>
                    <w:rPr>
                      <w:highlight w:val="none"/>
                      <w:lang w:val="en-US" w:eastAsia="en-US"/>
                    </w:rPr>
                  </w:pPr>
                  <w:r>
                    <w:rPr>
                      <w:highlight w:val="none"/>
                      <w:lang w:val="en-US" w:eastAsia="en-US"/>
                    </w:rPr>
                    <w:t>应急计划区</w:t>
                  </w:r>
                </w:p>
              </w:tc>
              <w:tc>
                <w:tcPr>
                  <w:tcW w:w="3602" w:type="pct"/>
                  <w:noWrap w:val="0"/>
                  <w:vAlign w:val="center"/>
                </w:tcPr>
                <w:p>
                  <w:pPr>
                    <w:pStyle w:val="30"/>
                    <w:bidi w:val="0"/>
                    <w:rPr>
                      <w:highlight w:val="none"/>
                      <w:lang w:val="en-US" w:eastAsia="en-US"/>
                    </w:rPr>
                  </w:pPr>
                  <w:r>
                    <w:rPr>
                      <w:highlight w:val="none"/>
                      <w:lang w:val="en-US" w:eastAsia="en-US"/>
                    </w:rPr>
                    <w:t>危险目标：生产厂区</w:t>
                  </w:r>
                </w:p>
                <w:p>
                  <w:pPr>
                    <w:pStyle w:val="30"/>
                    <w:bidi w:val="0"/>
                    <w:rPr>
                      <w:rFonts w:hint="eastAsia" w:eastAsia="宋体"/>
                      <w:highlight w:val="none"/>
                      <w:lang w:val="en-US" w:eastAsia="zh-CN"/>
                    </w:rPr>
                  </w:pPr>
                  <w:r>
                    <w:rPr>
                      <w:highlight w:val="none"/>
                      <w:lang w:val="en-US" w:eastAsia="en-US"/>
                    </w:rPr>
                    <w:t>环境保护目标：</w:t>
                  </w:r>
                  <w:r>
                    <w:rPr>
                      <w:rFonts w:hint="eastAsia"/>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2</w:t>
                  </w:r>
                </w:p>
              </w:tc>
              <w:tc>
                <w:tcPr>
                  <w:tcW w:w="1016" w:type="pct"/>
                  <w:noWrap w:val="0"/>
                  <w:vAlign w:val="center"/>
                </w:tcPr>
                <w:p>
                  <w:pPr>
                    <w:pStyle w:val="30"/>
                    <w:bidi w:val="0"/>
                    <w:rPr>
                      <w:highlight w:val="none"/>
                      <w:lang w:val="en-US" w:eastAsia="en-US"/>
                    </w:rPr>
                  </w:pPr>
                  <w:r>
                    <w:rPr>
                      <w:highlight w:val="none"/>
                      <w:lang w:val="en-US" w:eastAsia="en-US"/>
                    </w:rPr>
                    <w:t>应急组织机构、人员</w:t>
                  </w:r>
                </w:p>
              </w:tc>
              <w:tc>
                <w:tcPr>
                  <w:tcW w:w="3602" w:type="pct"/>
                  <w:noWrap w:val="0"/>
                  <w:vAlign w:val="center"/>
                </w:tcPr>
                <w:p>
                  <w:pPr>
                    <w:pStyle w:val="30"/>
                    <w:bidi w:val="0"/>
                    <w:rPr>
                      <w:highlight w:val="none"/>
                      <w:lang w:val="en-US" w:eastAsia="en-US"/>
                    </w:rPr>
                  </w:pPr>
                  <w:r>
                    <w:rPr>
                      <w:highlight w:val="none"/>
                      <w:lang w:val="en-US" w:eastAsia="en-US"/>
                    </w:rPr>
                    <w:t>公司设置应急组织机构，厂长为总负责人，各部门和基层单位应急负责人为本单位为应急计划、协调第一责任人，应急人员必须为培训上岗熟练工；区域应急组织结构由当地政府、相关行业专家、卫生安全相关单位组成，并由当地政府进行统一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3</w:t>
                  </w:r>
                </w:p>
              </w:tc>
              <w:tc>
                <w:tcPr>
                  <w:tcW w:w="1016" w:type="pct"/>
                  <w:noWrap w:val="0"/>
                  <w:vAlign w:val="center"/>
                </w:tcPr>
                <w:p>
                  <w:pPr>
                    <w:pStyle w:val="30"/>
                    <w:bidi w:val="0"/>
                    <w:rPr>
                      <w:highlight w:val="none"/>
                      <w:lang w:val="en-US" w:eastAsia="en-US"/>
                    </w:rPr>
                  </w:pPr>
                  <w:r>
                    <w:rPr>
                      <w:highlight w:val="none"/>
                      <w:lang w:val="en-US" w:eastAsia="en-US"/>
                    </w:rPr>
                    <w:t>预案分级响应条件</w:t>
                  </w:r>
                </w:p>
              </w:tc>
              <w:tc>
                <w:tcPr>
                  <w:tcW w:w="3602" w:type="pct"/>
                  <w:noWrap w:val="0"/>
                  <w:vAlign w:val="center"/>
                </w:tcPr>
                <w:p>
                  <w:pPr>
                    <w:pStyle w:val="30"/>
                    <w:bidi w:val="0"/>
                    <w:rPr>
                      <w:highlight w:val="none"/>
                      <w:lang w:val="en-US" w:eastAsia="en-US"/>
                    </w:rPr>
                  </w:pPr>
                  <w:r>
                    <w:rPr>
                      <w:highlight w:val="none"/>
                      <w:lang w:val="en-US" w:eastAsia="en-US"/>
                    </w:rPr>
                    <w:t>根据事故险情的严重程度制定相应级别的应急预案及适合的处理措施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4</w:t>
                  </w:r>
                </w:p>
              </w:tc>
              <w:tc>
                <w:tcPr>
                  <w:tcW w:w="1016" w:type="pct"/>
                  <w:noWrap w:val="0"/>
                  <w:vAlign w:val="center"/>
                </w:tcPr>
                <w:p>
                  <w:pPr>
                    <w:pStyle w:val="30"/>
                    <w:bidi w:val="0"/>
                    <w:rPr>
                      <w:highlight w:val="none"/>
                      <w:lang w:val="en-US" w:eastAsia="en-US"/>
                    </w:rPr>
                  </w:pPr>
                  <w:r>
                    <w:rPr>
                      <w:highlight w:val="none"/>
                      <w:lang w:val="en-US" w:eastAsia="en-US"/>
                    </w:rPr>
                    <w:t>应急救援保障</w:t>
                  </w:r>
                </w:p>
              </w:tc>
              <w:tc>
                <w:tcPr>
                  <w:tcW w:w="3602" w:type="pct"/>
                  <w:noWrap w:val="0"/>
                  <w:vAlign w:val="center"/>
                </w:tcPr>
                <w:p>
                  <w:pPr>
                    <w:pStyle w:val="30"/>
                    <w:bidi w:val="0"/>
                    <w:rPr>
                      <w:highlight w:val="none"/>
                      <w:lang w:val="en-US" w:eastAsia="en-US"/>
                    </w:rPr>
                  </w:pPr>
                  <w:r>
                    <w:rPr>
                      <w:highlight w:val="none"/>
                      <w:lang w:val="en-US" w:eastAsia="en-US"/>
                    </w:rPr>
                    <w:t>各装置应配备相应数量的基本的灭火器等，凡是与有毒气体相关的装置配备了氧呼或空呼设备。应急设备设施的管理具体执行《生产车间应急装备物资管理规定》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5</w:t>
                  </w:r>
                </w:p>
              </w:tc>
              <w:tc>
                <w:tcPr>
                  <w:tcW w:w="1016" w:type="pct"/>
                  <w:noWrap w:val="0"/>
                  <w:vAlign w:val="center"/>
                </w:tcPr>
                <w:p>
                  <w:pPr>
                    <w:pStyle w:val="30"/>
                    <w:bidi w:val="0"/>
                    <w:rPr>
                      <w:highlight w:val="none"/>
                      <w:lang w:val="en-US" w:eastAsia="en-US"/>
                    </w:rPr>
                  </w:pPr>
                  <w:r>
                    <w:rPr>
                      <w:highlight w:val="none"/>
                      <w:lang w:val="en-US" w:eastAsia="en-US"/>
                    </w:rPr>
                    <w:t>报警、通讯联络方式</w:t>
                  </w:r>
                </w:p>
              </w:tc>
              <w:tc>
                <w:tcPr>
                  <w:tcW w:w="3602" w:type="pct"/>
                  <w:noWrap w:val="0"/>
                  <w:vAlign w:val="center"/>
                </w:tcPr>
                <w:p>
                  <w:pPr>
                    <w:pStyle w:val="30"/>
                    <w:bidi w:val="0"/>
                    <w:rPr>
                      <w:highlight w:val="none"/>
                      <w:lang w:val="en-US" w:eastAsia="en-US"/>
                    </w:rPr>
                  </w:pPr>
                  <w:r>
                    <w:rPr>
                      <w:highlight w:val="none"/>
                      <w:lang w:val="en-US" w:eastAsia="en-US"/>
                    </w:rPr>
                    <w:t>逐一细化应急状态下各主要负责部门的报警通讯方式、地点、电话号码以及相关配套的交通保障、管制、消防联络方法，及时通报事故处理情况，以获得区域性支援。同时充分重视并发挥</w:t>
                  </w:r>
                  <w:r>
                    <w:rPr>
                      <w:rFonts w:hint="eastAsia"/>
                      <w:highlight w:val="none"/>
                      <w:lang w:val="en-US" w:eastAsia="zh-CN"/>
                    </w:rPr>
                    <w:t>媒体</w:t>
                  </w:r>
                  <w:r>
                    <w:rPr>
                      <w:highlight w:val="none"/>
                      <w:lang w:val="en-US" w:eastAsia="en-US"/>
                    </w:rPr>
                    <w:t>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6</w:t>
                  </w:r>
                </w:p>
              </w:tc>
              <w:tc>
                <w:tcPr>
                  <w:tcW w:w="1016" w:type="pct"/>
                  <w:noWrap w:val="0"/>
                  <w:vAlign w:val="center"/>
                </w:tcPr>
                <w:p>
                  <w:pPr>
                    <w:pStyle w:val="30"/>
                    <w:bidi w:val="0"/>
                    <w:rPr>
                      <w:highlight w:val="none"/>
                      <w:lang w:val="en-US" w:eastAsia="en-US"/>
                    </w:rPr>
                  </w:pPr>
                  <w:r>
                    <w:rPr>
                      <w:highlight w:val="none"/>
                      <w:lang w:val="en-US" w:eastAsia="en-US"/>
                    </w:rPr>
                    <w:t>应急环境监测、抢险、救援及控制措施</w:t>
                  </w:r>
                </w:p>
              </w:tc>
              <w:tc>
                <w:tcPr>
                  <w:tcW w:w="3602" w:type="pct"/>
                  <w:noWrap w:val="0"/>
                  <w:vAlign w:val="center"/>
                </w:tcPr>
                <w:p>
                  <w:pPr>
                    <w:pStyle w:val="30"/>
                    <w:bidi w:val="0"/>
                    <w:rPr>
                      <w:highlight w:val="none"/>
                      <w:lang w:val="en-US" w:eastAsia="en-US"/>
                    </w:rPr>
                  </w:pPr>
                  <w:r>
                    <w:rPr>
                      <w:highlight w:val="none"/>
                      <w:lang w:val="en-US" w:eastAsia="en-US"/>
                    </w:rPr>
                    <w:t>组织专业队伍负责对事故现场进行侦察监测，对事故性质、参数与后果进行评估</w:t>
                  </w:r>
                  <w:r>
                    <w:rPr>
                      <w:rFonts w:hint="eastAsia"/>
                      <w:highlight w:val="none"/>
                      <w:lang w:val="en-US" w:eastAsia="zh-CN"/>
                    </w:rPr>
                    <w:t>，</w:t>
                  </w:r>
                  <w:r>
                    <w:rPr>
                      <w:highlight w:val="none"/>
                      <w:lang w:val="en-US" w:eastAsia="en-US"/>
                    </w:rPr>
                    <w:t>为指挥部门提供决策依据。严格规定事故多发区、事故现场、邻近区域、控制防火区域设置控制和清除污染措施及相应设备的数量、使用方法、使用人员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7</w:t>
                  </w:r>
                </w:p>
              </w:tc>
              <w:tc>
                <w:tcPr>
                  <w:tcW w:w="1016" w:type="pct"/>
                  <w:noWrap w:val="0"/>
                  <w:vAlign w:val="center"/>
                </w:tcPr>
                <w:p>
                  <w:pPr>
                    <w:pStyle w:val="30"/>
                    <w:bidi w:val="0"/>
                    <w:rPr>
                      <w:highlight w:val="none"/>
                      <w:lang w:val="en-US" w:eastAsia="en-US"/>
                    </w:rPr>
                  </w:pPr>
                  <w:r>
                    <w:rPr>
                      <w:highlight w:val="none"/>
                      <w:lang w:val="en-US" w:eastAsia="en-US"/>
                    </w:rPr>
                    <w:t>应急检测、防护措施、清除泄漏措施和器材</w:t>
                  </w:r>
                </w:p>
              </w:tc>
              <w:tc>
                <w:tcPr>
                  <w:tcW w:w="3602" w:type="pct"/>
                  <w:noWrap w:val="0"/>
                  <w:vAlign w:val="center"/>
                </w:tcPr>
                <w:p>
                  <w:pPr>
                    <w:pStyle w:val="30"/>
                    <w:bidi w:val="0"/>
                    <w:rPr>
                      <w:highlight w:val="none"/>
                      <w:lang w:val="en-US" w:eastAsia="en-US"/>
                    </w:rPr>
                  </w:pPr>
                  <w:r>
                    <w:rPr>
                      <w:highlight w:val="none"/>
                      <w:lang w:val="en-US" w:eastAsia="en-US"/>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8</w:t>
                  </w:r>
                </w:p>
              </w:tc>
              <w:tc>
                <w:tcPr>
                  <w:tcW w:w="1016" w:type="pct"/>
                  <w:noWrap w:val="0"/>
                  <w:vAlign w:val="center"/>
                </w:tcPr>
                <w:p>
                  <w:pPr>
                    <w:pStyle w:val="30"/>
                    <w:bidi w:val="0"/>
                    <w:rPr>
                      <w:highlight w:val="none"/>
                      <w:lang w:val="en-US" w:eastAsia="en-US"/>
                    </w:rPr>
                  </w:pPr>
                  <w:r>
                    <w:rPr>
                      <w:highlight w:val="none"/>
                      <w:lang w:val="en-US" w:eastAsia="en-US"/>
                    </w:rPr>
                    <w:t>人员紧急撤离、疏散，应急剂量控制、撤离组织计划</w:t>
                  </w:r>
                </w:p>
              </w:tc>
              <w:tc>
                <w:tcPr>
                  <w:tcW w:w="3602" w:type="pct"/>
                  <w:noWrap w:val="0"/>
                  <w:vAlign w:val="center"/>
                </w:tcPr>
                <w:p>
                  <w:pPr>
                    <w:pStyle w:val="30"/>
                    <w:bidi w:val="0"/>
                    <w:rPr>
                      <w:highlight w:val="none"/>
                      <w:lang w:val="en-US" w:eastAsia="en-US"/>
                    </w:rPr>
                  </w:pPr>
                  <w:r>
                    <w:rPr>
                      <w:highlight w:val="none"/>
                      <w:lang w:val="en-US" w:eastAsia="en-US"/>
                    </w:rPr>
                    <w:t>事故现场、工厂邻近区、受事故影响的区域人员及公众对有毒有害物质应急剂量控制规定，制定紧急撤离组织计划和救护，医疗救护与公众健康。根据厂内风向标，判断事故气体扩散的方向，制定逃生路线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9</w:t>
                  </w:r>
                </w:p>
              </w:tc>
              <w:tc>
                <w:tcPr>
                  <w:tcW w:w="1016" w:type="pct"/>
                  <w:noWrap w:val="0"/>
                  <w:vAlign w:val="center"/>
                </w:tcPr>
                <w:p>
                  <w:pPr>
                    <w:pStyle w:val="30"/>
                    <w:bidi w:val="0"/>
                    <w:rPr>
                      <w:highlight w:val="none"/>
                      <w:lang w:val="en-US" w:eastAsia="en-US"/>
                    </w:rPr>
                  </w:pPr>
                  <w:r>
                    <w:rPr>
                      <w:highlight w:val="none"/>
                      <w:lang w:val="en-US" w:eastAsia="en-US"/>
                    </w:rPr>
                    <w:t>事故应急救援关闭程序与恢复措施</w:t>
                  </w:r>
                </w:p>
              </w:tc>
              <w:tc>
                <w:tcPr>
                  <w:tcW w:w="3602" w:type="pct"/>
                  <w:noWrap w:val="0"/>
                  <w:vAlign w:val="center"/>
                </w:tcPr>
                <w:p>
                  <w:pPr>
                    <w:pStyle w:val="30"/>
                    <w:bidi w:val="0"/>
                    <w:rPr>
                      <w:highlight w:val="none"/>
                      <w:lang w:val="en-US" w:eastAsia="en-US"/>
                    </w:rPr>
                  </w:pPr>
                  <w:r>
                    <w:rPr>
                      <w:highlight w:val="none"/>
                      <w:lang w:val="en-US" w:eastAsia="en-US"/>
                    </w:rPr>
                    <w:t>制定相关应急状态终止程序，事故现场、受影响范围内的善后处理、恢复措施，邻近区域解除事故警戒及善后恢复措施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10</w:t>
                  </w:r>
                </w:p>
              </w:tc>
              <w:tc>
                <w:tcPr>
                  <w:tcW w:w="1016" w:type="pct"/>
                  <w:noWrap w:val="0"/>
                  <w:vAlign w:val="center"/>
                </w:tcPr>
                <w:p>
                  <w:pPr>
                    <w:pStyle w:val="30"/>
                    <w:bidi w:val="0"/>
                    <w:rPr>
                      <w:highlight w:val="none"/>
                      <w:lang w:val="en-US" w:eastAsia="en-US"/>
                    </w:rPr>
                  </w:pPr>
                  <w:r>
                    <w:rPr>
                      <w:highlight w:val="none"/>
                      <w:lang w:val="en-US" w:eastAsia="en-US"/>
                    </w:rPr>
                    <w:t>应急培训计划</w:t>
                  </w:r>
                </w:p>
              </w:tc>
              <w:tc>
                <w:tcPr>
                  <w:tcW w:w="3602" w:type="pct"/>
                  <w:noWrap w:val="0"/>
                  <w:vAlign w:val="center"/>
                </w:tcPr>
                <w:p>
                  <w:pPr>
                    <w:pStyle w:val="30"/>
                    <w:bidi w:val="0"/>
                    <w:rPr>
                      <w:highlight w:val="none"/>
                      <w:lang w:val="en-US" w:eastAsia="en-US"/>
                    </w:rPr>
                  </w:pPr>
                  <w:r>
                    <w:rPr>
                      <w:highlight w:val="none"/>
                      <w:lang w:val="en-US" w:eastAsia="en-US"/>
                    </w:rPr>
                    <w:t>定期安排有关人员进行培训与演练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11</w:t>
                  </w:r>
                </w:p>
              </w:tc>
              <w:tc>
                <w:tcPr>
                  <w:tcW w:w="1016" w:type="pct"/>
                  <w:noWrap w:val="0"/>
                  <w:vAlign w:val="center"/>
                </w:tcPr>
                <w:p>
                  <w:pPr>
                    <w:pStyle w:val="30"/>
                    <w:bidi w:val="0"/>
                    <w:rPr>
                      <w:highlight w:val="none"/>
                      <w:lang w:val="en-US" w:eastAsia="en-US"/>
                    </w:rPr>
                  </w:pPr>
                  <w:r>
                    <w:rPr>
                      <w:highlight w:val="none"/>
                      <w:lang w:val="en-US" w:eastAsia="en-US"/>
                    </w:rPr>
                    <w:t>公众教育和信息</w:t>
                  </w:r>
                </w:p>
              </w:tc>
              <w:tc>
                <w:tcPr>
                  <w:tcW w:w="3602" w:type="pct"/>
                  <w:noWrap w:val="0"/>
                  <w:vAlign w:val="center"/>
                </w:tcPr>
                <w:p>
                  <w:pPr>
                    <w:pStyle w:val="30"/>
                    <w:bidi w:val="0"/>
                    <w:rPr>
                      <w:highlight w:val="none"/>
                      <w:lang w:val="en-US" w:eastAsia="en-US"/>
                    </w:rPr>
                  </w:pPr>
                  <w:r>
                    <w:rPr>
                      <w:highlight w:val="none"/>
                      <w:lang w:val="en-US" w:eastAsia="en-US"/>
                    </w:rPr>
                    <w:t>对工厂邻近地区开展公众教育、培训和发布有关信息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noWrap w:val="0"/>
                  <w:vAlign w:val="center"/>
                </w:tcPr>
                <w:p>
                  <w:pPr>
                    <w:pStyle w:val="30"/>
                    <w:bidi w:val="0"/>
                    <w:rPr>
                      <w:highlight w:val="none"/>
                      <w:lang w:eastAsia="en-US"/>
                    </w:rPr>
                  </w:pPr>
                  <w:r>
                    <w:rPr>
                      <w:highlight w:val="none"/>
                      <w:lang w:eastAsia="en-US"/>
                    </w:rPr>
                    <w:t>12</w:t>
                  </w:r>
                </w:p>
              </w:tc>
              <w:tc>
                <w:tcPr>
                  <w:tcW w:w="1016" w:type="pct"/>
                  <w:noWrap w:val="0"/>
                  <w:vAlign w:val="center"/>
                </w:tcPr>
                <w:p>
                  <w:pPr>
                    <w:pStyle w:val="30"/>
                    <w:bidi w:val="0"/>
                    <w:rPr>
                      <w:highlight w:val="none"/>
                      <w:lang w:val="en-US" w:eastAsia="en-US"/>
                    </w:rPr>
                  </w:pPr>
                  <w:r>
                    <w:rPr>
                      <w:highlight w:val="none"/>
                      <w:lang w:val="en-US" w:eastAsia="en-US"/>
                    </w:rPr>
                    <w:t>事故恢复措施</w:t>
                  </w:r>
                </w:p>
              </w:tc>
              <w:tc>
                <w:tcPr>
                  <w:tcW w:w="3602" w:type="pct"/>
                  <w:noWrap w:val="0"/>
                  <w:vAlign w:val="center"/>
                </w:tcPr>
                <w:p>
                  <w:pPr>
                    <w:pStyle w:val="30"/>
                    <w:bidi w:val="0"/>
                    <w:rPr>
                      <w:highlight w:val="none"/>
                      <w:lang w:val="en-US" w:eastAsia="en-US"/>
                    </w:rPr>
                  </w:pPr>
                  <w:r>
                    <w:rPr>
                      <w:highlight w:val="none"/>
                      <w:lang w:val="en-US" w:eastAsia="en-US"/>
                    </w:rPr>
                    <w:t>组织专业人员对事故后的环境变化进行监测，对事故应急措施的环境可行性进行后影响评价。</w:t>
                  </w:r>
                </w:p>
              </w:tc>
            </w:tr>
          </w:tbl>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Cs/>
                <w:color w:val="auto"/>
                <w:sz w:val="24"/>
                <w:szCs w:val="24"/>
                <w:highlight w:val="none"/>
                <w:u w:val="none"/>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tc>
      </w:tr>
    </w:tbl>
    <w:p>
      <w:pPr>
        <w:adjustRightInd w:val="0"/>
        <w:snapToGrid w:val="0"/>
        <w:spacing w:line="360" w:lineRule="auto"/>
        <w:rPr>
          <w:rFonts w:hint="eastAsia" w:ascii="宋体" w:hAnsi="宋体" w:eastAsia="宋体" w:cs="宋体"/>
          <w:b/>
          <w:color w:val="auto"/>
          <w:kern w:val="0"/>
          <w:sz w:val="28"/>
          <w:szCs w:val="28"/>
          <w:highlight w:val="none"/>
        </w:rPr>
      </w:pPr>
    </w:p>
    <w:tbl>
      <w:tblPr>
        <w:tblStyle w:val="21"/>
        <w:tblW w:w="50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20" w:hRule="atLeast"/>
          <w:jc w:val="center"/>
        </w:trPr>
        <w:tc>
          <w:tcPr>
            <w:tcW w:w="268"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其他</w:t>
            </w:r>
          </w:p>
        </w:tc>
        <w:tc>
          <w:tcPr>
            <w:tcW w:w="4731" w:type="pct"/>
            <w:noWrap/>
            <w:vAlign w:val="top"/>
          </w:tcPr>
          <w:p>
            <w:pPr>
              <w:pStyle w:val="44"/>
              <w:bidi w:val="0"/>
              <w:rPr>
                <w:rFonts w:hint="eastAsia"/>
                <w:b/>
                <w:bCs/>
                <w:highlight w:val="none"/>
                <w:lang w:val="en-US" w:eastAsia="zh-CN"/>
              </w:rPr>
            </w:pPr>
            <w:r>
              <w:rPr>
                <w:rFonts w:hint="eastAsia"/>
                <w:b/>
                <w:bCs/>
                <w:highlight w:val="none"/>
                <w:lang w:val="en-US" w:eastAsia="zh-CN"/>
              </w:rPr>
              <w:t>1.环保投资估算</w:t>
            </w:r>
          </w:p>
          <w:p>
            <w:pPr>
              <w:pStyle w:val="44"/>
              <w:bidi w:val="0"/>
              <w:rPr>
                <w:rFonts w:hint="eastAsia"/>
                <w:highlight w:val="none"/>
              </w:rPr>
            </w:pPr>
            <w:r>
              <w:rPr>
                <w:rFonts w:hint="eastAsia"/>
                <w:highlight w:val="none"/>
              </w:rPr>
              <w:t>本项目总投资为</w:t>
            </w:r>
            <w:r>
              <w:rPr>
                <w:rFonts w:hint="eastAsia"/>
                <w:highlight w:val="none"/>
                <w:lang w:val="en-US" w:eastAsia="zh-CN"/>
              </w:rPr>
              <w:t>800</w:t>
            </w:r>
            <w:r>
              <w:rPr>
                <w:rFonts w:hint="eastAsia"/>
                <w:highlight w:val="none"/>
              </w:rPr>
              <w:t>万元，环保投资为</w:t>
            </w:r>
            <w:r>
              <w:rPr>
                <w:rFonts w:hint="eastAsia"/>
                <w:highlight w:val="none"/>
                <w:lang w:val="en-US" w:eastAsia="zh-CN"/>
              </w:rPr>
              <w:t>39.4</w:t>
            </w:r>
            <w:r>
              <w:rPr>
                <w:rFonts w:hint="eastAsia"/>
                <w:highlight w:val="none"/>
              </w:rPr>
              <w:t>万元，占总投资的</w:t>
            </w:r>
            <w:r>
              <w:rPr>
                <w:rFonts w:hint="eastAsia"/>
                <w:highlight w:val="none"/>
                <w:lang w:val="en-US" w:eastAsia="zh-CN"/>
              </w:rPr>
              <w:t>4.925</w:t>
            </w:r>
            <w:r>
              <w:rPr>
                <w:rFonts w:hint="eastAsia"/>
                <w:highlight w:val="none"/>
              </w:rPr>
              <w:t>%。环保</w:t>
            </w:r>
            <w:r>
              <w:rPr>
                <w:rFonts w:hint="eastAsia"/>
                <w:highlight w:val="none"/>
                <w:lang w:val="en-US" w:eastAsia="zh-CN"/>
              </w:rPr>
              <w:t>工程一览</w:t>
            </w:r>
            <w:r>
              <w:rPr>
                <w:rFonts w:hint="eastAsia"/>
                <w:highlight w:val="none"/>
              </w:rPr>
              <w:t>见表</w:t>
            </w:r>
            <w:r>
              <w:rPr>
                <w:rFonts w:hint="eastAsia"/>
                <w:highlight w:val="none"/>
                <w:lang w:val="en-US" w:eastAsia="zh-CN"/>
              </w:rPr>
              <w:t>4-21</w:t>
            </w:r>
            <w:r>
              <w:rPr>
                <w:rFonts w:hint="eastAsia"/>
                <w:highlight w:val="none"/>
              </w:rPr>
              <w:t>。</w:t>
            </w:r>
          </w:p>
          <w:p>
            <w:pPr>
              <w:pStyle w:val="28"/>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表4-21  环保工程一览表</w:t>
            </w:r>
          </w:p>
          <w:tbl>
            <w:tblPr>
              <w:tblStyle w:val="48"/>
              <w:tblW w:w="7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4"/>
              <w:gridCol w:w="824"/>
              <w:gridCol w:w="1254"/>
              <w:gridCol w:w="4137"/>
              <w:gridCol w:w="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内容</w:t>
                  </w:r>
                </w:p>
              </w:tc>
              <w:tc>
                <w:tcPr>
                  <w:tcW w:w="82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项目</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污染物名称</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治理措施</w:t>
                  </w:r>
                </w:p>
              </w:tc>
              <w:tc>
                <w:tcPr>
                  <w:tcW w:w="963" w:type="dxa"/>
                  <w:gridSpan w:val="2"/>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highlight w:val="none"/>
                      <w:lang w:val="en-US" w:eastAsia="zh-CN"/>
                    </w:rPr>
                    <w:t>环保投资额（万元）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施工期</w:t>
                  </w:r>
                </w:p>
              </w:tc>
              <w:tc>
                <w:tcPr>
                  <w:tcW w:w="82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废气治理</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扬尘、废气</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洒水降尘，及时清扫路面尘土；设置防尘围挡；使用商用混凝土；及时维护设备，提高燃料使用效率；合理规划，文明施工</w:t>
                  </w:r>
                </w:p>
              </w:tc>
              <w:tc>
                <w:tcPr>
                  <w:tcW w:w="963" w:type="dxa"/>
                  <w:gridSpan w:val="2"/>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废水治理</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施工废水</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临时修建施工废水</w:t>
                  </w:r>
                  <w:r>
                    <w:rPr>
                      <w:rFonts w:hint="eastAsia"/>
                      <w:highlight w:val="none"/>
                      <w:lang w:val="en-US" w:eastAsia="zh-CN"/>
                    </w:rPr>
                    <w:t>临时</w:t>
                  </w:r>
                  <w:r>
                    <w:rPr>
                      <w:highlight w:val="none"/>
                      <w:lang w:val="en-US" w:eastAsia="en-US"/>
                    </w:rPr>
                    <w:t>沉淀池，施工废水经</w:t>
                  </w:r>
                  <w:r>
                    <w:rPr>
                      <w:rFonts w:hint="eastAsia"/>
                      <w:highlight w:val="none"/>
                      <w:lang w:val="en-US" w:eastAsia="zh-CN"/>
                    </w:rPr>
                    <w:t>沉淀</w:t>
                  </w:r>
                  <w:r>
                    <w:rPr>
                      <w:highlight w:val="none"/>
                      <w:lang w:val="en-US" w:eastAsia="en-US"/>
                    </w:rPr>
                    <w:t>处理后上清液回用，不外排</w:t>
                  </w:r>
                </w:p>
              </w:tc>
              <w:tc>
                <w:tcPr>
                  <w:tcW w:w="963" w:type="dxa"/>
                  <w:gridSpan w:val="2"/>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eastAsia="en-US"/>
                    </w:rPr>
                  </w:pP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生活污水</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依托</w:t>
                  </w:r>
                  <w:r>
                    <w:rPr>
                      <w:rFonts w:hint="eastAsia"/>
                      <w:highlight w:val="none"/>
                      <w:lang w:val="en-US" w:eastAsia="zh-CN"/>
                    </w:rPr>
                    <w:t>博湖县本布图镇</w:t>
                  </w:r>
                  <w:r>
                    <w:rPr>
                      <w:highlight w:val="none"/>
                      <w:lang w:val="en-US" w:eastAsia="en-US"/>
                    </w:rPr>
                    <w:t>既有</w:t>
                  </w:r>
                  <w:r>
                    <w:rPr>
                      <w:rFonts w:hint="eastAsia"/>
                      <w:highlight w:val="none"/>
                      <w:lang w:val="en-US" w:eastAsia="zh-CN"/>
                    </w:rPr>
                    <w:t>生活</w:t>
                  </w:r>
                  <w:r>
                    <w:rPr>
                      <w:highlight w:val="none"/>
                      <w:lang w:val="en-US" w:eastAsia="en-US"/>
                    </w:rPr>
                    <w:t>设施</w:t>
                  </w:r>
                </w:p>
              </w:tc>
              <w:tc>
                <w:tcPr>
                  <w:tcW w:w="963" w:type="dxa"/>
                  <w:gridSpan w:val="2"/>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噪声治理</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施工噪声</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合理布置施工机械和安排施工时间，夜间禁止施工；合理规划运输路线，安装减振装置等</w:t>
                  </w:r>
                </w:p>
              </w:tc>
              <w:tc>
                <w:tcPr>
                  <w:tcW w:w="963" w:type="dxa"/>
                  <w:gridSpan w:val="2"/>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固体废物处置</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建筑弃渣</w:t>
                  </w:r>
                </w:p>
              </w:tc>
              <w:tc>
                <w:tcPr>
                  <w:tcW w:w="4137"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厂区建设产生的废弃材料尽量回收利用，不能利用的运至建渣消纳场</w:t>
                  </w:r>
                </w:p>
              </w:tc>
              <w:tc>
                <w:tcPr>
                  <w:tcW w:w="963" w:type="dxa"/>
                  <w:gridSpan w:val="2"/>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eastAsia="en-US"/>
                    </w:rPr>
                  </w:pP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土石方</w:t>
                  </w: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用于回填和绿化，弃土方外运至政府指定地点</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eastAsia="en-US"/>
                    </w:rPr>
                  </w:pP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生活垃圾</w:t>
                  </w: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生活垃圾袋装后由环卫部门统一清运。</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运营期</w:t>
                  </w:r>
                </w:p>
              </w:tc>
              <w:tc>
                <w:tcPr>
                  <w:tcW w:w="82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废气治理</w:t>
                  </w:r>
                </w:p>
              </w:tc>
              <w:tc>
                <w:tcPr>
                  <w:tcW w:w="1254" w:type="dxa"/>
                  <w:vMerge w:val="restart"/>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highlight w:val="none"/>
                      <w:lang w:val="en-US" w:eastAsia="zh-CN"/>
                    </w:rPr>
                    <w:t>有组织粉尘</w:t>
                  </w:r>
                </w:p>
              </w:tc>
              <w:tc>
                <w:tcPr>
                  <w:tcW w:w="4142" w:type="dxa"/>
                  <w:gridSpan w:val="2"/>
                  <w:noWrap w:val="0"/>
                  <w:tcMar>
                    <w:top w:w="0" w:type="dxa"/>
                    <w:left w:w="57" w:type="dxa"/>
                    <w:bottom w:w="0" w:type="dxa"/>
                    <w:right w:w="57" w:type="dxa"/>
                  </w:tcMar>
                  <w:vAlign w:val="center"/>
                </w:tcPr>
                <w:p>
                  <w:pPr>
                    <w:pStyle w:val="30"/>
                    <w:bidi w:val="0"/>
                    <w:rPr>
                      <w:rFonts w:hint="default" w:eastAsia="宋体"/>
                      <w:b/>
                      <w:bCs/>
                      <w:highlight w:val="none"/>
                      <w:lang w:val="en-US" w:eastAsia="zh-CN"/>
                    </w:rPr>
                  </w:pPr>
                  <w:r>
                    <w:rPr>
                      <w:rFonts w:hint="eastAsia" w:cs="Times New Roman"/>
                      <w:highlight w:val="none"/>
                      <w:lang w:val="en-US" w:eastAsia="zh-CN"/>
                    </w:rPr>
                    <w:t>通过各筒仓仓顶自带脉冲式除尘器除尘后外排（DA001、DA002）</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vMerge w:val="continue"/>
                  <w:noWrap w:val="0"/>
                  <w:tcMar>
                    <w:top w:w="0" w:type="dxa"/>
                    <w:left w:w="57" w:type="dxa"/>
                    <w:bottom w:w="0" w:type="dxa"/>
                    <w:right w:w="57" w:type="dxa"/>
                  </w:tcMar>
                  <w:vAlign w:val="center"/>
                </w:tcPr>
                <w:p>
                  <w:pPr>
                    <w:pStyle w:val="30"/>
                    <w:bidi w:val="0"/>
                    <w:rPr>
                      <w:rFonts w:hint="eastAsia"/>
                      <w:highlight w:val="none"/>
                      <w:lang w:val="en-US" w:eastAsia="zh-CN"/>
                    </w:rPr>
                  </w:pP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rFonts w:hint="default" w:ascii="Times New Roman" w:hAnsi="Times New Roman" w:cs="Times New Roman"/>
                      <w:highlight w:val="none"/>
                      <w:lang w:val="en-US" w:eastAsia="zh-CN"/>
                    </w:rPr>
                    <w:t>投料料斗设备上方设置软帘包裹，集气罩收集粉尘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布袋除尘器除尘处理，15m高排气筒排放（DA003）</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vMerge w:val="continue"/>
                  <w:noWrap w:val="0"/>
                  <w:tcMar>
                    <w:top w:w="0" w:type="dxa"/>
                    <w:left w:w="57" w:type="dxa"/>
                    <w:bottom w:w="0" w:type="dxa"/>
                    <w:right w:w="57" w:type="dxa"/>
                  </w:tcMar>
                  <w:vAlign w:val="center"/>
                </w:tcPr>
                <w:p>
                  <w:pPr>
                    <w:pStyle w:val="30"/>
                    <w:bidi w:val="0"/>
                    <w:rPr>
                      <w:rFonts w:hint="eastAsia"/>
                      <w:highlight w:val="none"/>
                      <w:lang w:val="en-US" w:eastAsia="zh-CN"/>
                    </w:rPr>
                  </w:pP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rFonts w:hint="default" w:ascii="Times New Roman" w:hAnsi="Times New Roman" w:cs="Times New Roman"/>
                      <w:highlight w:val="none"/>
                      <w:lang w:val="en-US" w:eastAsia="zh-CN"/>
                    </w:rPr>
                    <w:t>搅拌</w:t>
                  </w:r>
                  <w:r>
                    <w:rPr>
                      <w:rFonts w:hint="eastAsia" w:ascii="Times New Roman" w:hAnsi="Times New Roman" w:cs="Times New Roman"/>
                      <w:highlight w:val="none"/>
                      <w:lang w:val="en-US" w:eastAsia="zh-CN"/>
                    </w:rPr>
                    <w:t>工序</w:t>
                  </w:r>
                  <w:r>
                    <w:rPr>
                      <w:rFonts w:hint="default" w:ascii="Times New Roman" w:hAnsi="Times New Roman" w:cs="Times New Roman"/>
                      <w:highlight w:val="none"/>
                      <w:lang w:val="en-US" w:eastAsia="zh-CN"/>
                    </w:rPr>
                    <w:t>上方设置集气罩收集废气</w:t>
                  </w:r>
                  <w:r>
                    <w:rPr>
                      <w:spacing w:val="7"/>
                      <w:sz w:val="21"/>
                      <w:szCs w:val="21"/>
                    </w:rPr>
                    <w:t>，</w:t>
                  </w:r>
                  <w:r>
                    <w:rPr>
                      <w:rFonts w:hint="eastAsia"/>
                      <w:spacing w:val="7"/>
                      <w:sz w:val="21"/>
                      <w:szCs w:val="21"/>
                      <w:lang w:val="en-US" w:eastAsia="zh-CN"/>
                    </w:rPr>
                    <w:t>集气</w:t>
                  </w:r>
                  <w:r>
                    <w:rPr>
                      <w:spacing w:val="7"/>
                      <w:sz w:val="21"/>
                      <w:szCs w:val="21"/>
                    </w:rPr>
                    <w:t>收集后</w:t>
                  </w:r>
                  <w:r>
                    <w:rPr>
                      <w:rFonts w:hint="eastAsia"/>
                      <w:spacing w:val="7"/>
                      <w:sz w:val="21"/>
                      <w:szCs w:val="21"/>
                      <w:lang w:val="en-US" w:eastAsia="zh-CN"/>
                    </w:rPr>
                    <w:t>经一套</w:t>
                  </w:r>
                  <w:r>
                    <w:rPr>
                      <w:spacing w:val="7"/>
                      <w:sz w:val="21"/>
                      <w:szCs w:val="21"/>
                    </w:rPr>
                    <w:t>布袋除尘器</w:t>
                  </w:r>
                  <w:r>
                    <w:rPr>
                      <w:rFonts w:hint="eastAsia"/>
                      <w:sz w:val="21"/>
                      <w:szCs w:val="21"/>
                      <w:highlight w:val="none"/>
                      <w:lang w:val="en-US" w:eastAsia="zh-CN"/>
                    </w:rPr>
                    <w:t>除尘处理</w:t>
                  </w:r>
                  <w:r>
                    <w:rPr>
                      <w:spacing w:val="7"/>
                      <w:sz w:val="21"/>
                      <w:szCs w:val="21"/>
                    </w:rPr>
                    <w:t>，</w:t>
                  </w:r>
                  <w:r>
                    <w:rPr>
                      <w:rFonts w:hint="eastAsia"/>
                      <w:sz w:val="21"/>
                      <w:szCs w:val="21"/>
                      <w:highlight w:val="none"/>
                      <w:lang w:val="en-US" w:eastAsia="zh-CN"/>
                    </w:rPr>
                    <w:t>通过</w:t>
                  </w:r>
                  <w:r>
                    <w:rPr>
                      <w:sz w:val="21"/>
                      <w:szCs w:val="21"/>
                      <w:highlight w:val="none"/>
                      <w:lang w:val="en-US" w:eastAsia="en-US"/>
                    </w:rPr>
                    <w:t>排气筒</w:t>
                  </w:r>
                  <w:r>
                    <w:rPr>
                      <w:rFonts w:hint="eastAsia"/>
                      <w:sz w:val="21"/>
                      <w:szCs w:val="21"/>
                      <w:highlight w:val="none"/>
                      <w:lang w:val="en-US" w:eastAsia="zh-CN"/>
                    </w:rPr>
                    <w:t>（DA004）排放，排气筒</w:t>
                  </w:r>
                  <w:r>
                    <w:rPr>
                      <w:sz w:val="21"/>
                      <w:szCs w:val="21"/>
                      <w:highlight w:val="none"/>
                      <w:lang w:val="en-US" w:eastAsia="en-US"/>
                    </w:rPr>
                    <w:t>高</w:t>
                  </w:r>
                  <w:r>
                    <w:rPr>
                      <w:rFonts w:hint="eastAsia"/>
                      <w:sz w:val="21"/>
                      <w:szCs w:val="21"/>
                      <w:highlight w:val="none"/>
                      <w:lang w:val="en-US" w:eastAsia="zh-CN"/>
                    </w:rPr>
                    <w:t>度</w:t>
                  </w:r>
                  <w:r>
                    <w:rPr>
                      <w:sz w:val="21"/>
                      <w:szCs w:val="21"/>
                      <w:highlight w:val="none"/>
                      <w:lang w:val="en-US" w:eastAsia="en-US"/>
                    </w:rPr>
                    <w:t>15m</w:t>
                  </w:r>
                </w:p>
              </w:tc>
              <w:tc>
                <w:tcPr>
                  <w:tcW w:w="958" w:type="dxa"/>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shd w:val="clear" w:color="auto" w:fill="auto"/>
                  <w:noWrap w:val="0"/>
                  <w:tcMar>
                    <w:top w:w="0" w:type="dxa"/>
                    <w:left w:w="57" w:type="dxa"/>
                    <w:bottom w:w="0" w:type="dxa"/>
                    <w:right w:w="57" w:type="dxa"/>
                  </w:tcMar>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无组织粉尘</w:t>
                  </w:r>
                </w:p>
              </w:tc>
              <w:tc>
                <w:tcPr>
                  <w:tcW w:w="4142" w:type="dxa"/>
                  <w:gridSpan w:val="2"/>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en-US"/>
                    </w:rPr>
                    <w:t>石子堆场设</w:t>
                  </w:r>
                  <w:r>
                    <w:rPr>
                      <w:rFonts w:hint="eastAsia" w:ascii="Times New Roman" w:hAnsi="Times New Roman" w:eastAsia="宋体" w:cs="Times New Roman"/>
                      <w:sz w:val="21"/>
                      <w:szCs w:val="21"/>
                      <w:highlight w:val="none"/>
                      <w:lang w:val="en-US" w:eastAsia="zh-CN"/>
                    </w:rPr>
                    <w:t>苫盖密目防尘布并雾炮降尘</w:t>
                  </w:r>
                  <w:r>
                    <w:rPr>
                      <w:rFonts w:hint="eastAsia"/>
                      <w:highlight w:val="none"/>
                      <w:lang w:val="en-US" w:eastAsia="zh-CN"/>
                    </w:rPr>
                    <w:t>、原料库房密闭；降低</w:t>
                  </w:r>
                  <w:r>
                    <w:rPr>
                      <w:rFonts w:hint="eastAsia"/>
                      <w:highlight w:val="none"/>
                      <w:lang w:val="en-US" w:eastAsia="en-US"/>
                    </w:rPr>
                    <w:t>物料输送</w:t>
                  </w:r>
                  <w:r>
                    <w:rPr>
                      <w:rFonts w:hint="eastAsia"/>
                      <w:highlight w:val="none"/>
                      <w:lang w:val="en-US" w:eastAsia="zh-CN"/>
                    </w:rPr>
                    <w:t>高差；设置雾炮降尘装置，生产作业、装卸作业、道路洒水降尘</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shd w:val="clear" w:color="auto" w:fill="auto"/>
                  <w:noWrap w:val="0"/>
                  <w:tcMar>
                    <w:top w:w="0" w:type="dxa"/>
                    <w:left w:w="57" w:type="dxa"/>
                    <w:bottom w:w="0" w:type="dxa"/>
                    <w:right w:w="57" w:type="dxa"/>
                  </w:tcMar>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食堂油烟</w:t>
                  </w:r>
                </w:p>
              </w:tc>
              <w:tc>
                <w:tcPr>
                  <w:tcW w:w="4142" w:type="dxa"/>
                  <w:gridSpan w:val="2"/>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en-US" w:bidi="ar-SA"/>
                    </w:rPr>
                  </w:pPr>
                  <w:r>
                    <w:rPr>
                      <w:rFonts w:cs="Times New Roman"/>
                      <w:color w:val="auto"/>
                      <w:highlight w:val="none"/>
                    </w:rPr>
                    <w:t>油烟净化器</w:t>
                  </w:r>
                  <w:r>
                    <w:rPr>
                      <w:rFonts w:hint="eastAsia" w:cs="Times New Roman"/>
                      <w:color w:val="auto"/>
                      <w:highlight w:val="none"/>
                      <w:lang w:eastAsia="zh-CN"/>
                    </w:rPr>
                    <w:t>，</w:t>
                  </w:r>
                  <w:r>
                    <w:rPr>
                      <w:rFonts w:hint="eastAsia" w:cs="Times New Roman"/>
                      <w:color w:val="auto"/>
                      <w:highlight w:val="none"/>
                      <w:lang w:val="en-US" w:eastAsia="zh-CN"/>
                    </w:rPr>
                    <w:t>DA005</w:t>
                  </w:r>
                </w:p>
              </w:tc>
              <w:tc>
                <w:tcPr>
                  <w:tcW w:w="958" w:type="dxa"/>
                  <w:shd w:val="clear" w:color="auto" w:fill="auto"/>
                  <w:noWrap w:val="0"/>
                  <w:tcMar>
                    <w:top w:w="0" w:type="dxa"/>
                    <w:left w:w="57" w:type="dxa"/>
                    <w:bottom w:w="0" w:type="dxa"/>
                    <w:right w:w="57" w:type="dxa"/>
                  </w:tcMar>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废水治理</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生活污水</w:t>
                  </w:r>
                </w:p>
              </w:tc>
              <w:tc>
                <w:tcPr>
                  <w:tcW w:w="4142" w:type="dxa"/>
                  <w:gridSpan w:val="2"/>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sz w:val="21"/>
                      <w:szCs w:val="21"/>
                      <w:highlight w:val="none"/>
                      <w:lang w:val="en-US" w:eastAsia="zh-CN"/>
                    </w:rPr>
                    <w:t>设置1座</w:t>
                  </w:r>
                  <w:r>
                    <w:rPr>
                      <w:rFonts w:hint="eastAsia" w:cs="宋体"/>
                      <w:color w:val="000000"/>
                      <w:szCs w:val="21"/>
                      <w:highlight w:val="none"/>
                      <w:lang w:val="en-US" w:eastAsia="zh-CN" w:bidi="ar"/>
                    </w:rPr>
                    <w:t>3</w:t>
                  </w:r>
                  <w:r>
                    <w:rPr>
                      <w:rFonts w:cs="宋体"/>
                      <w:color w:val="000000"/>
                      <w:szCs w:val="21"/>
                      <w:highlight w:val="none"/>
                      <w:lang w:bidi="ar"/>
                    </w:rPr>
                    <w:t>0</w:t>
                  </w:r>
                  <w:r>
                    <w:rPr>
                      <w:rFonts w:hint="eastAsia" w:cs="宋体"/>
                      <w:color w:val="000000"/>
                      <w:szCs w:val="21"/>
                      <w:highlight w:val="none"/>
                      <w:lang w:bidi="ar"/>
                    </w:rPr>
                    <w:t>m³</w:t>
                  </w:r>
                  <w:r>
                    <w:rPr>
                      <w:rFonts w:hint="eastAsia"/>
                      <w:highlight w:val="none"/>
                      <w:lang w:val="en-US" w:eastAsia="zh-CN"/>
                    </w:rPr>
                    <w:t>防渗化粪池</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highlight w:val="none"/>
                      <w:lang w:val="en-US" w:eastAsia="zh-CN"/>
                    </w:rPr>
                    <w:t>生产废水</w:t>
                  </w:r>
                </w:p>
              </w:tc>
              <w:tc>
                <w:tcPr>
                  <w:tcW w:w="4142" w:type="dxa"/>
                  <w:gridSpan w:val="2"/>
                  <w:noWrap w:val="0"/>
                  <w:tcMar>
                    <w:top w:w="0" w:type="dxa"/>
                    <w:left w:w="57" w:type="dxa"/>
                    <w:bottom w:w="0" w:type="dxa"/>
                    <w:right w:w="57" w:type="dxa"/>
                  </w:tcMar>
                  <w:vAlign w:val="center"/>
                </w:tcPr>
                <w:p>
                  <w:pPr>
                    <w:pStyle w:val="30"/>
                    <w:bidi w:val="0"/>
                    <w:rPr>
                      <w:rFonts w:hint="eastAsia" w:cs="宋体"/>
                      <w:color w:val="000000"/>
                      <w:szCs w:val="21"/>
                      <w:highlight w:val="none"/>
                      <w:lang w:val="en-US" w:eastAsia="zh-CN" w:bidi="ar"/>
                    </w:rPr>
                  </w:pPr>
                  <w:r>
                    <w:rPr>
                      <w:rFonts w:hint="eastAsia"/>
                      <w:sz w:val="21"/>
                      <w:szCs w:val="21"/>
                      <w:highlight w:val="none"/>
                      <w:lang w:val="en-US" w:eastAsia="zh-CN"/>
                    </w:rPr>
                    <w:t>设置1座0.8m</w:t>
                  </w:r>
                  <w:r>
                    <w:rPr>
                      <w:rFonts w:hint="eastAsia"/>
                      <w:sz w:val="21"/>
                      <w:szCs w:val="21"/>
                      <w:highlight w:val="none"/>
                      <w:vertAlign w:val="superscript"/>
                      <w:lang w:val="en-US" w:eastAsia="zh-CN"/>
                    </w:rPr>
                    <w:t>3</w:t>
                  </w:r>
                  <w:r>
                    <w:rPr>
                      <w:rFonts w:hint="eastAsia"/>
                      <w:sz w:val="21"/>
                      <w:szCs w:val="21"/>
                      <w:highlight w:val="none"/>
                      <w:lang w:val="en-US" w:eastAsia="zh-CN"/>
                    </w:rPr>
                    <w:t>防渗沉淀池</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噪声治理</w:t>
                  </w: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设备噪声</w:t>
                  </w: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rFonts w:hint="eastAsia"/>
                      <w:highlight w:val="none"/>
                      <w:lang w:val="en-US" w:eastAsia="en-US"/>
                    </w:rPr>
                    <w:t>选用低噪声设备，设备基础减振，设备合理布置，采取厂房隔音等措施降噪</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固体废物处置</w:t>
                  </w:r>
                </w:p>
              </w:tc>
              <w:tc>
                <w:tcPr>
                  <w:tcW w:w="1254" w:type="dxa"/>
                  <w:noWrap w:val="0"/>
                  <w:tcMar>
                    <w:top w:w="0" w:type="dxa"/>
                    <w:left w:w="57" w:type="dxa"/>
                    <w:bottom w:w="0" w:type="dxa"/>
                    <w:right w:w="57" w:type="dxa"/>
                  </w:tcMar>
                  <w:vAlign w:val="top"/>
                </w:tcPr>
                <w:p>
                  <w:pPr>
                    <w:pStyle w:val="43"/>
                    <w:bidi w:val="0"/>
                    <w:rPr>
                      <w:highlight w:val="none"/>
                      <w:lang w:val="en-US" w:eastAsia="en-US"/>
                    </w:rPr>
                  </w:pPr>
                  <w:r>
                    <w:rPr>
                      <w:rFonts w:hint="eastAsia" w:ascii="Times New Roman" w:hAnsi="Times New Roman" w:eastAsia="宋体" w:cs="Times New Roman"/>
                      <w:sz w:val="21"/>
                      <w:szCs w:val="21"/>
                      <w:highlight w:val="none"/>
                      <w:lang w:val="en-US" w:eastAsia="zh-CN"/>
                    </w:rPr>
                    <w:t>布袋除尘灰</w:t>
                  </w: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rFonts w:hint="eastAsia" w:ascii="Times New Roman" w:hAnsi="Times New Roman" w:eastAsia="宋体" w:cs="Times New Roman"/>
                      <w:sz w:val="21"/>
                      <w:szCs w:val="21"/>
                      <w:highlight w:val="none"/>
                      <w:lang w:val="en-US" w:eastAsia="zh-CN"/>
                    </w:rPr>
                    <w:t>回用于生产线</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eastAsia="宋体"/>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noWrap w:val="0"/>
                  <w:tcMar>
                    <w:top w:w="0" w:type="dxa"/>
                    <w:left w:w="57" w:type="dxa"/>
                    <w:bottom w:w="0" w:type="dxa"/>
                    <w:right w:w="57" w:type="dxa"/>
                  </w:tcMar>
                  <w:vAlign w:val="top"/>
                </w:tcPr>
                <w:p>
                  <w:pPr>
                    <w:pStyle w:val="43"/>
                    <w:bidi w:val="0"/>
                    <w:rPr>
                      <w:highlight w:val="none"/>
                      <w:lang w:val="en-US" w:eastAsia="en-US"/>
                    </w:rPr>
                  </w:pPr>
                  <w:r>
                    <w:rPr>
                      <w:rFonts w:hint="eastAsia" w:ascii="Times New Roman" w:hAnsi="Times New Roman" w:eastAsia="宋体" w:cs="Times New Roman"/>
                      <w:sz w:val="21"/>
                      <w:szCs w:val="21"/>
                      <w:highlight w:val="none"/>
                      <w:lang w:val="en-US" w:eastAsia="zh-CN"/>
                    </w:rPr>
                    <w:t>废模具</w:t>
                  </w:r>
                </w:p>
              </w:tc>
              <w:tc>
                <w:tcPr>
                  <w:tcW w:w="4142" w:type="dxa"/>
                  <w:gridSpan w:val="2"/>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外售钢铁回收单位</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noWrap w:val="0"/>
                  <w:tcMar>
                    <w:top w:w="0" w:type="dxa"/>
                    <w:left w:w="57" w:type="dxa"/>
                    <w:bottom w:w="0" w:type="dxa"/>
                    <w:right w:w="57" w:type="dxa"/>
                  </w:tcMar>
                  <w:vAlign w:val="top"/>
                </w:tcPr>
                <w:p>
                  <w:pPr>
                    <w:pStyle w:val="43"/>
                    <w:bidi w:val="0"/>
                    <w:rPr>
                      <w:highlight w:val="none"/>
                      <w:lang w:val="en-US" w:eastAsia="en-US"/>
                    </w:rPr>
                  </w:pPr>
                  <w:r>
                    <w:rPr>
                      <w:rFonts w:hint="eastAsia" w:ascii="Times New Roman" w:hAnsi="Times New Roman" w:eastAsia="宋体" w:cs="Times New Roman"/>
                      <w:sz w:val="21"/>
                      <w:szCs w:val="21"/>
                      <w:highlight w:val="none"/>
                      <w:lang w:val="en-US" w:eastAsia="zh-CN"/>
                    </w:rPr>
                    <w:t>不合格产品</w:t>
                  </w:r>
                </w:p>
              </w:tc>
              <w:tc>
                <w:tcPr>
                  <w:tcW w:w="4142" w:type="dxa"/>
                  <w:gridSpan w:val="2"/>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路基填筑材料综合利用</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noWrap w:val="0"/>
                  <w:tcMar>
                    <w:top w:w="0" w:type="dxa"/>
                    <w:left w:w="57" w:type="dxa"/>
                    <w:bottom w:w="0" w:type="dxa"/>
                    <w:right w:w="57" w:type="dxa"/>
                  </w:tcMar>
                  <w:vAlign w:val="top"/>
                </w:tcPr>
                <w:p>
                  <w:pPr>
                    <w:pStyle w:val="43"/>
                    <w:bidi w:val="0"/>
                    <w:rPr>
                      <w:highlight w:val="none"/>
                      <w:lang w:val="en-US" w:eastAsia="en-US"/>
                    </w:rPr>
                  </w:pPr>
                  <w:r>
                    <w:rPr>
                      <w:rFonts w:hint="eastAsia" w:ascii="Times New Roman" w:hAnsi="Times New Roman" w:eastAsia="宋体" w:cs="Times New Roman"/>
                      <w:sz w:val="21"/>
                      <w:szCs w:val="21"/>
                      <w:highlight w:val="none"/>
                      <w:lang w:val="en-US" w:eastAsia="zh-CN"/>
                    </w:rPr>
                    <w:t>废包装桶</w:t>
                  </w:r>
                </w:p>
              </w:tc>
              <w:tc>
                <w:tcPr>
                  <w:tcW w:w="4142" w:type="dxa"/>
                  <w:gridSpan w:val="2"/>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外售资源回收单位综合利用</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val="en-US" w:eastAsia="en-US"/>
                    </w:rPr>
                  </w:pPr>
                </w:p>
              </w:tc>
              <w:tc>
                <w:tcPr>
                  <w:tcW w:w="1254" w:type="dxa"/>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生活垃圾</w:t>
                  </w:r>
                </w:p>
              </w:tc>
              <w:tc>
                <w:tcPr>
                  <w:tcW w:w="4142" w:type="dxa"/>
                  <w:gridSpan w:val="2"/>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集中收集</w:t>
                  </w:r>
                  <w:r>
                    <w:rPr>
                      <w:highlight w:val="none"/>
                      <w:lang w:val="en-US" w:eastAsia="en-US"/>
                    </w:rPr>
                    <w:t>后由环卫部门统一清运</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eastAsia="en-US"/>
                    </w:rPr>
                  </w:pPr>
                </w:p>
              </w:tc>
              <w:tc>
                <w:tcPr>
                  <w:tcW w:w="1254" w:type="dxa"/>
                  <w:noWrap w:val="0"/>
                  <w:tcMar>
                    <w:top w:w="0" w:type="dxa"/>
                    <w:left w:w="57" w:type="dxa"/>
                    <w:bottom w:w="0" w:type="dxa"/>
                    <w:right w:w="57" w:type="dxa"/>
                  </w:tcMar>
                  <w:vAlign w:val="center"/>
                </w:tcPr>
                <w:p>
                  <w:pPr>
                    <w:pStyle w:val="30"/>
                    <w:bidi w:val="0"/>
                    <w:rPr>
                      <w:rFonts w:hint="default" w:ascii="Times New Roman" w:hAnsi="Times New Roman" w:eastAsia="宋体" w:cs="Times New Roman"/>
                      <w:sz w:val="21"/>
                      <w:szCs w:val="21"/>
                      <w:highlight w:val="none"/>
                      <w:lang w:val="en-US" w:eastAsia="en-US" w:bidi="ar-SA"/>
                    </w:rPr>
                  </w:pPr>
                  <w:r>
                    <w:rPr>
                      <w:rFonts w:hint="eastAsia"/>
                      <w:highlight w:val="none"/>
                      <w:lang w:val="en-US" w:eastAsia="zh-CN"/>
                    </w:rPr>
                    <w:t>废液压油</w:t>
                  </w:r>
                </w:p>
              </w:tc>
              <w:tc>
                <w:tcPr>
                  <w:tcW w:w="4142" w:type="dxa"/>
                  <w:gridSpan w:val="2"/>
                  <w:noWrap w:val="0"/>
                  <w:tcMar>
                    <w:top w:w="0" w:type="dxa"/>
                    <w:left w:w="57" w:type="dxa"/>
                    <w:bottom w:w="0" w:type="dxa"/>
                    <w:right w:w="57" w:type="dxa"/>
                  </w:tcMar>
                  <w:vAlign w:val="center"/>
                </w:tcPr>
                <w:p>
                  <w:pPr>
                    <w:pStyle w:val="30"/>
                    <w:bidi w:val="0"/>
                    <w:rPr>
                      <w:rFonts w:ascii="Times New Roman" w:hAnsi="Times New Roman" w:eastAsia="宋体" w:cs="Times New Roman"/>
                      <w:sz w:val="21"/>
                      <w:szCs w:val="21"/>
                      <w:highlight w:val="none"/>
                      <w:lang w:val="en-US" w:eastAsia="en-US" w:bidi="ar-SA"/>
                    </w:rPr>
                  </w:pPr>
                  <w:r>
                    <w:rPr>
                      <w:highlight w:val="none"/>
                      <w:lang w:val="en-US" w:eastAsia="en-US"/>
                    </w:rPr>
                    <w:t>暂存于危废</w:t>
                  </w:r>
                  <w:r>
                    <w:rPr>
                      <w:rFonts w:hint="eastAsia"/>
                      <w:highlight w:val="none"/>
                      <w:lang w:val="en-US" w:eastAsia="zh-CN"/>
                    </w:rPr>
                    <w:t>贮存点</w:t>
                  </w:r>
                  <w:r>
                    <w:rPr>
                      <w:highlight w:val="none"/>
                      <w:lang w:val="en-US" w:eastAsia="en-US"/>
                    </w:rPr>
                    <w:t>，占地面积为</w:t>
                  </w:r>
                  <w:r>
                    <w:rPr>
                      <w:rFonts w:hint="eastAsia"/>
                      <w:highlight w:val="none"/>
                      <w:lang w:val="en-US" w:eastAsia="zh-CN"/>
                    </w:rPr>
                    <w:t>3</w:t>
                  </w:r>
                  <w:r>
                    <w:rPr>
                      <w:highlight w:val="none"/>
                      <w:lang w:val="en-US" w:eastAsia="en-US"/>
                    </w:rPr>
                    <w:t>0m</w:t>
                  </w:r>
                  <w:r>
                    <w:rPr>
                      <w:highlight w:val="none"/>
                      <w:vertAlign w:val="superscript"/>
                      <w:lang w:val="en-US" w:eastAsia="en-US"/>
                    </w:rPr>
                    <w:t>2</w:t>
                  </w:r>
                  <w:r>
                    <w:rPr>
                      <w:highlight w:val="none"/>
                      <w:lang w:val="en-US" w:eastAsia="en-US"/>
                    </w:rPr>
                    <w:t>，定期交由有资质单位进行处理</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824" w:type="dxa"/>
                  <w:vMerge w:val="continue"/>
                  <w:noWrap w:val="0"/>
                  <w:tcMar>
                    <w:top w:w="0" w:type="dxa"/>
                    <w:left w:w="57" w:type="dxa"/>
                    <w:bottom w:w="0" w:type="dxa"/>
                    <w:right w:w="57" w:type="dxa"/>
                  </w:tcMar>
                  <w:vAlign w:val="center"/>
                </w:tcPr>
                <w:p>
                  <w:pPr>
                    <w:pStyle w:val="30"/>
                    <w:bidi w:val="0"/>
                    <w:rPr>
                      <w:highlight w:val="none"/>
                      <w:lang w:eastAsia="en-US"/>
                    </w:rPr>
                  </w:pPr>
                </w:p>
              </w:tc>
              <w:tc>
                <w:tcPr>
                  <w:tcW w:w="1254" w:type="dxa"/>
                  <w:noWrap w:val="0"/>
                  <w:tcMar>
                    <w:top w:w="0" w:type="dxa"/>
                    <w:left w:w="57" w:type="dxa"/>
                    <w:bottom w:w="0" w:type="dxa"/>
                    <w:right w:w="57" w:type="dxa"/>
                  </w:tcMar>
                  <w:vAlign w:val="center"/>
                </w:tcPr>
                <w:p>
                  <w:pPr>
                    <w:pStyle w:val="30"/>
                    <w:bidi w:val="0"/>
                    <w:rPr>
                      <w:rFonts w:ascii="Times New Roman" w:hAnsi="Times New Roman" w:eastAsia="宋体" w:cs="Times New Roman"/>
                      <w:sz w:val="21"/>
                      <w:szCs w:val="21"/>
                      <w:highlight w:val="none"/>
                      <w:lang w:val="en-US" w:eastAsia="en-US" w:bidi="ar-SA"/>
                    </w:rPr>
                  </w:pPr>
                  <w:r>
                    <w:rPr>
                      <w:rFonts w:hint="eastAsia"/>
                      <w:highlight w:val="none"/>
                      <w:lang w:val="en-US" w:eastAsia="en-US"/>
                    </w:rPr>
                    <w:t>废手套、废抹布</w:t>
                  </w:r>
                </w:p>
              </w:tc>
              <w:tc>
                <w:tcPr>
                  <w:tcW w:w="4142" w:type="dxa"/>
                  <w:gridSpan w:val="2"/>
                  <w:noWrap w:val="0"/>
                  <w:tcMar>
                    <w:top w:w="0" w:type="dxa"/>
                    <w:left w:w="57" w:type="dxa"/>
                    <w:bottom w:w="0" w:type="dxa"/>
                    <w:right w:w="57" w:type="dxa"/>
                  </w:tcMar>
                  <w:vAlign w:val="center"/>
                </w:tcPr>
                <w:p>
                  <w:pPr>
                    <w:pStyle w:val="30"/>
                    <w:bidi w:val="0"/>
                    <w:rPr>
                      <w:rFonts w:ascii="Times New Roman" w:hAnsi="Times New Roman" w:eastAsia="宋体" w:cs="Times New Roman"/>
                      <w:sz w:val="21"/>
                      <w:szCs w:val="21"/>
                      <w:highlight w:val="none"/>
                      <w:lang w:val="en-US" w:eastAsia="en-US" w:bidi="ar-SA"/>
                    </w:rPr>
                  </w:pPr>
                  <w:r>
                    <w:rPr>
                      <w:rFonts w:hint="eastAsia"/>
                      <w:highlight w:val="none"/>
                      <w:lang w:val="en-US" w:eastAsia="en-US"/>
                    </w:rPr>
                    <w:t>废手套、废抹布属于危险废物</w:t>
                  </w:r>
                  <w:r>
                    <w:rPr>
                      <w:rFonts w:hint="eastAsia"/>
                      <w:highlight w:val="none"/>
                      <w:lang w:val="en-US" w:eastAsia="zh-CN"/>
                    </w:rPr>
                    <w:t>，分类集中收集后，暂存于厂内危废贮存点，交由有资质的单位处理</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2078" w:type="dxa"/>
                  <w:gridSpan w:val="2"/>
                  <w:vMerge w:val="restart"/>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风险防范</w:t>
                  </w:r>
                </w:p>
              </w:tc>
              <w:tc>
                <w:tcPr>
                  <w:tcW w:w="4142" w:type="dxa"/>
                  <w:gridSpan w:val="2"/>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危废贮存点按重点防渗区进行防渗</w:t>
                  </w:r>
                </w:p>
              </w:tc>
              <w:tc>
                <w:tcPr>
                  <w:tcW w:w="958" w:type="dxa"/>
                  <w:noWrap w:val="0"/>
                  <w:tcMar>
                    <w:top w:w="0" w:type="dxa"/>
                    <w:left w:w="57" w:type="dxa"/>
                    <w:bottom w:w="0" w:type="dxa"/>
                    <w:right w:w="57" w:type="dxa"/>
                  </w:tcMar>
                  <w:vAlign w:val="center"/>
                </w:tcPr>
                <w:p>
                  <w:pPr>
                    <w:pStyle w:val="30"/>
                    <w:bidi w:val="0"/>
                    <w:rPr>
                      <w:rFonts w:hint="eastAsia" w:eastAsia="宋体"/>
                      <w:highlight w:val="none"/>
                      <w:lang w:val="en-US" w:eastAsia="zh-CN"/>
                    </w:rPr>
                  </w:pPr>
                  <w:r>
                    <w:rPr>
                      <w:rFonts w:hint="eastAsia"/>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2078" w:type="dxa"/>
                  <w:gridSpan w:val="2"/>
                  <w:vMerge w:val="continue"/>
                  <w:noWrap w:val="0"/>
                  <w:tcMar>
                    <w:top w:w="0" w:type="dxa"/>
                    <w:left w:w="57" w:type="dxa"/>
                    <w:bottom w:w="0" w:type="dxa"/>
                    <w:right w:w="57" w:type="dxa"/>
                  </w:tcMar>
                  <w:vAlign w:val="center"/>
                </w:tcPr>
                <w:p>
                  <w:pPr>
                    <w:pStyle w:val="30"/>
                    <w:bidi w:val="0"/>
                    <w:rPr>
                      <w:highlight w:val="none"/>
                      <w:lang w:eastAsia="en-US"/>
                    </w:rPr>
                  </w:pP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rFonts w:hint="eastAsia"/>
                      <w:highlight w:val="none"/>
                      <w:lang w:val="en-US" w:eastAsia="zh-CN"/>
                    </w:rPr>
                    <w:t>沉淀池</w:t>
                  </w:r>
                  <w:r>
                    <w:rPr>
                      <w:rFonts w:hint="eastAsia"/>
                      <w:highlight w:val="none"/>
                    </w:rPr>
                    <w:t>、防渗化粪池</w:t>
                  </w:r>
                  <w:r>
                    <w:rPr>
                      <w:highlight w:val="none"/>
                    </w:rPr>
                    <w:t>为一般防渗区。主要进行一般地面硬化措施。</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4" w:type="dxa"/>
                  <w:vMerge w:val="continue"/>
                  <w:noWrap w:val="0"/>
                  <w:tcMar>
                    <w:top w:w="0" w:type="dxa"/>
                    <w:left w:w="57" w:type="dxa"/>
                    <w:bottom w:w="0" w:type="dxa"/>
                    <w:right w:w="57" w:type="dxa"/>
                  </w:tcMar>
                  <w:vAlign w:val="center"/>
                </w:tcPr>
                <w:p>
                  <w:pPr>
                    <w:pStyle w:val="30"/>
                    <w:bidi w:val="0"/>
                    <w:rPr>
                      <w:highlight w:val="none"/>
                      <w:lang w:eastAsia="en-US"/>
                    </w:rPr>
                  </w:pPr>
                </w:p>
              </w:tc>
              <w:tc>
                <w:tcPr>
                  <w:tcW w:w="2078" w:type="dxa"/>
                  <w:gridSpan w:val="2"/>
                  <w:vMerge w:val="continue"/>
                  <w:noWrap w:val="0"/>
                  <w:tcMar>
                    <w:top w:w="0" w:type="dxa"/>
                    <w:left w:w="57" w:type="dxa"/>
                    <w:bottom w:w="0" w:type="dxa"/>
                    <w:right w:w="57" w:type="dxa"/>
                  </w:tcMar>
                  <w:vAlign w:val="center"/>
                </w:tcPr>
                <w:p>
                  <w:pPr>
                    <w:pStyle w:val="30"/>
                    <w:bidi w:val="0"/>
                    <w:rPr>
                      <w:highlight w:val="none"/>
                      <w:lang w:eastAsia="en-US"/>
                    </w:rPr>
                  </w:pPr>
                </w:p>
              </w:tc>
              <w:tc>
                <w:tcPr>
                  <w:tcW w:w="4142" w:type="dxa"/>
                  <w:gridSpan w:val="2"/>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地上消火栓和干粉灭火器，报警设施，配备呼吸器、面罩、防护服等</w:t>
                  </w:r>
                </w:p>
              </w:tc>
              <w:tc>
                <w:tcPr>
                  <w:tcW w:w="958" w:type="dxa"/>
                  <w:noWrap w:val="0"/>
                  <w:tcMar>
                    <w:top w:w="0" w:type="dxa"/>
                    <w:left w:w="57" w:type="dxa"/>
                    <w:bottom w:w="0" w:type="dxa"/>
                    <w:right w:w="57" w:type="dxa"/>
                  </w:tcMar>
                  <w:vAlign w:val="center"/>
                </w:tcPr>
                <w:p>
                  <w:pPr>
                    <w:pStyle w:val="30"/>
                    <w:bidi w:val="0"/>
                    <w:rPr>
                      <w:rFonts w:hint="default" w:eastAsia="宋体"/>
                      <w:highlight w:val="none"/>
                      <w:lang w:val="en-US" w:eastAsia="zh-CN"/>
                    </w:rPr>
                  </w:pPr>
                  <w:r>
                    <w:rPr>
                      <w:rFonts w:hint="eastAsia"/>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732" w:type="dxa"/>
                  <w:gridSpan w:val="3"/>
                  <w:noWrap w:val="0"/>
                  <w:tcMar>
                    <w:top w:w="0" w:type="dxa"/>
                    <w:left w:w="57" w:type="dxa"/>
                    <w:bottom w:w="0" w:type="dxa"/>
                    <w:right w:w="57" w:type="dxa"/>
                  </w:tcMar>
                  <w:vAlign w:val="center"/>
                </w:tcPr>
                <w:p>
                  <w:pPr>
                    <w:pStyle w:val="30"/>
                    <w:bidi w:val="0"/>
                    <w:rPr>
                      <w:highlight w:val="none"/>
                      <w:lang w:val="en-US" w:eastAsia="en-US"/>
                    </w:rPr>
                  </w:pPr>
                  <w:r>
                    <w:rPr>
                      <w:highlight w:val="none"/>
                      <w:lang w:val="en-US" w:eastAsia="en-US"/>
                    </w:rPr>
                    <w:t>合计</w:t>
                  </w:r>
                </w:p>
              </w:tc>
              <w:tc>
                <w:tcPr>
                  <w:tcW w:w="4142" w:type="dxa"/>
                  <w:gridSpan w:val="2"/>
                  <w:noWrap w:val="0"/>
                  <w:tcMar>
                    <w:top w:w="0" w:type="dxa"/>
                    <w:left w:w="57" w:type="dxa"/>
                    <w:bottom w:w="0" w:type="dxa"/>
                    <w:right w:w="57" w:type="dxa"/>
                  </w:tcMar>
                  <w:vAlign w:val="center"/>
                </w:tcPr>
                <w:p>
                  <w:pPr>
                    <w:pStyle w:val="30"/>
                    <w:bidi w:val="0"/>
                    <w:rPr>
                      <w:highlight w:val="none"/>
                      <w:lang w:eastAsia="en-US"/>
                    </w:rPr>
                  </w:pPr>
                  <w:r>
                    <w:rPr>
                      <w:highlight w:val="none"/>
                      <w:lang w:eastAsia="en-US"/>
                    </w:rPr>
                    <w:t>/</w:t>
                  </w:r>
                </w:p>
              </w:tc>
              <w:tc>
                <w:tcPr>
                  <w:tcW w:w="958" w:type="dxa"/>
                  <w:noWrap w:val="0"/>
                  <w:tcMar>
                    <w:top w:w="0" w:type="dxa"/>
                    <w:left w:w="57" w:type="dxa"/>
                    <w:bottom w:w="0" w:type="dxa"/>
                    <w:right w:w="57" w:type="dxa"/>
                  </w:tcMar>
                  <w:vAlign w:val="center"/>
                </w:tcPr>
                <w:p>
                  <w:pPr>
                    <w:pStyle w:val="30"/>
                    <w:bidi w:val="0"/>
                    <w:rPr>
                      <w:rFonts w:hint="default"/>
                      <w:highlight w:val="none"/>
                      <w:lang w:val="en-US" w:eastAsia="en-US"/>
                    </w:rPr>
                  </w:pPr>
                  <w:r>
                    <w:rPr>
                      <w:rFonts w:hint="eastAsia"/>
                      <w:highlight w:val="none"/>
                      <w:lang w:val="en-US" w:eastAsia="zh-CN"/>
                    </w:rPr>
                    <w:t>39.4</w:t>
                  </w:r>
                </w:p>
              </w:tc>
            </w:tr>
          </w:tbl>
          <w:p>
            <w:pPr>
              <w:rPr>
                <w:rFonts w:hint="eastAsia"/>
                <w:highlight w:val="none"/>
              </w:rPr>
            </w:pPr>
          </w:p>
          <w:p>
            <w:pPr>
              <w:pStyle w:val="44"/>
              <w:bidi w:val="0"/>
              <w:rPr>
                <w:rFonts w:hint="eastAsia"/>
                <w:b/>
                <w:bCs/>
                <w:highlight w:val="none"/>
                <w:lang w:val="en-US" w:eastAsia="zh-CN"/>
              </w:rPr>
            </w:pPr>
            <w:r>
              <w:rPr>
                <w:rFonts w:hint="eastAsia"/>
                <w:b/>
                <w:bCs/>
                <w:highlight w:val="none"/>
                <w:lang w:val="en-US" w:eastAsia="zh-CN"/>
              </w:rPr>
              <w:t>2.竣工环保验收</w:t>
            </w:r>
          </w:p>
          <w:p>
            <w:pPr>
              <w:pStyle w:val="44"/>
              <w:bidi w:val="0"/>
              <w:rPr>
                <w:rFonts w:hint="eastAsia"/>
                <w:highlight w:val="none"/>
              </w:rPr>
            </w:pPr>
            <w:r>
              <w:rPr>
                <w:rFonts w:hint="eastAsia"/>
                <w:highlight w:val="none"/>
              </w:rPr>
              <w:t>《国务院关于修改</w:t>
            </w:r>
            <w:r>
              <w:rPr>
                <w:rFonts w:hint="eastAsia"/>
                <w:highlight w:val="none"/>
                <w:lang w:eastAsia="zh-CN"/>
              </w:rPr>
              <w:t>〈</w:t>
            </w:r>
            <w:r>
              <w:rPr>
                <w:rFonts w:hint="eastAsia"/>
                <w:highlight w:val="none"/>
              </w:rPr>
              <w:t>建设项目环境保护管理条例</w:t>
            </w:r>
            <w:r>
              <w:rPr>
                <w:rFonts w:hint="eastAsia"/>
                <w:highlight w:val="none"/>
                <w:lang w:eastAsia="zh-CN"/>
              </w:rPr>
              <w:t>〉</w:t>
            </w:r>
            <w:r>
              <w:rPr>
                <w:rFonts w:hint="eastAsia"/>
                <w:highlight w:val="none"/>
              </w:rPr>
              <w:t>的决定》（国务院第682号令）第十七条：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第十九条：编制环境影响报告书、环境影响报告表的建设项目，其配套建设的环境保护设施经验收合格，方可正式投入生产或者使用；未经验收合格或者验收不合格的，不得投入生产或者使用。</w:t>
            </w:r>
          </w:p>
          <w:p>
            <w:pPr>
              <w:pStyle w:val="44"/>
              <w:bidi w:val="0"/>
              <w:rPr>
                <w:rFonts w:hint="eastAsia"/>
                <w:highlight w:val="none"/>
              </w:rPr>
            </w:pPr>
            <w:r>
              <w:rPr>
                <w:rFonts w:hint="eastAsia"/>
                <w:highlight w:val="none"/>
              </w:rPr>
              <w:t>根据建设项目环境管理的要求，建设项目在投入生产或者使用前，依据环评文件及其审批意见，在主体工程工况稳定、环境保护设施运行正常的情况下，建设单位可以进行自主环保验收，可自行编制亦可委托第三方机构编制建设项目环境保护设施竣工验收报告，</w:t>
            </w:r>
            <w:r>
              <w:rPr>
                <w:rFonts w:hint="eastAsia"/>
                <w:highlight w:val="none"/>
                <w:lang w:val="en-US" w:eastAsia="zh-CN"/>
              </w:rPr>
              <w:t>及时</w:t>
            </w:r>
            <w:r>
              <w:rPr>
                <w:rFonts w:hint="eastAsia"/>
                <w:highlight w:val="none"/>
              </w:rPr>
              <w:t>向社会公开并向</w:t>
            </w:r>
            <w:r>
              <w:rPr>
                <w:rFonts w:hint="eastAsia"/>
                <w:highlight w:val="none"/>
                <w:lang w:val="en-US" w:eastAsia="zh-CN"/>
              </w:rPr>
              <w:t>生态环境管理</w:t>
            </w:r>
            <w:r>
              <w:rPr>
                <w:rFonts w:hint="eastAsia"/>
                <w:highlight w:val="none"/>
              </w:rPr>
              <w:t>部门备案。</w:t>
            </w:r>
          </w:p>
          <w:p>
            <w:pPr>
              <w:pStyle w:val="44"/>
              <w:bidi w:val="0"/>
              <w:rPr>
                <w:rFonts w:hint="eastAsia"/>
                <w:highlight w:val="none"/>
              </w:rPr>
            </w:pPr>
          </w:p>
          <w:p>
            <w:pPr>
              <w:pStyle w:val="44"/>
              <w:bidi w:val="0"/>
              <w:rPr>
                <w:rFonts w:hint="eastAsia"/>
                <w:highlight w:val="none"/>
              </w:rPr>
            </w:pPr>
          </w:p>
          <w:p>
            <w:pPr>
              <w:pStyle w:val="44"/>
              <w:bidi w:val="0"/>
              <w:rPr>
                <w:rFonts w:hint="eastAsia"/>
                <w:highlight w:val="none"/>
              </w:rPr>
            </w:pPr>
          </w:p>
          <w:p>
            <w:pPr>
              <w:pStyle w:val="44"/>
              <w:bidi w:val="0"/>
              <w:rPr>
                <w:rFonts w:hint="eastAsia"/>
                <w:highlight w:val="none"/>
              </w:rPr>
            </w:pPr>
          </w:p>
          <w:p>
            <w:pPr>
              <w:pStyle w:val="44"/>
              <w:bidi w:val="0"/>
              <w:rPr>
                <w:rFonts w:hint="eastAsia"/>
                <w:highlight w:val="none"/>
              </w:rPr>
            </w:pPr>
          </w:p>
          <w:p>
            <w:pPr>
              <w:pStyle w:val="44"/>
              <w:bidi w:val="0"/>
              <w:rPr>
                <w:rFonts w:hint="eastAsia"/>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17" w:hRule="atLeast"/>
          <w:jc w:val="center"/>
        </w:trPr>
        <w:tc>
          <w:tcPr>
            <w:tcW w:w="268" w:type="pct"/>
            <w:noWrap/>
            <w:tcMar>
              <w:left w:w="28" w:type="dxa"/>
              <w:right w:w="28" w:type="dxa"/>
            </w:tcMar>
            <w:vAlign w:val="center"/>
          </w:tcPr>
          <w:p>
            <w:pPr>
              <w:adjustRightInd w:val="0"/>
              <w:snapToGrid w:val="0"/>
              <w:jc w:val="center"/>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其他</w:t>
            </w:r>
          </w:p>
        </w:tc>
        <w:tc>
          <w:tcPr>
            <w:tcW w:w="4731" w:type="pct"/>
            <w:noWrap/>
            <w:vAlign w:val="top"/>
          </w:tcPr>
          <w:p>
            <w:pPr>
              <w:pStyle w:val="44"/>
              <w:bidi w:val="0"/>
              <w:rPr>
                <w:rFonts w:hint="eastAsia"/>
                <w:b/>
                <w:bCs/>
                <w:highlight w:val="none"/>
                <w:lang w:val="en-US" w:eastAsia="zh-CN"/>
              </w:rPr>
            </w:pPr>
            <w:r>
              <w:rPr>
                <w:rFonts w:hint="eastAsia"/>
                <w:b/>
                <w:bCs/>
                <w:highlight w:val="none"/>
                <w:lang w:val="en-US" w:eastAsia="zh-CN"/>
              </w:rPr>
              <w:t>3.排污许可管理</w:t>
            </w:r>
          </w:p>
          <w:p>
            <w:pPr>
              <w:pStyle w:val="44"/>
              <w:bidi w:val="0"/>
              <w:rPr>
                <w:rFonts w:hint="eastAsia"/>
                <w:highlight w:val="none"/>
              </w:rPr>
            </w:pPr>
            <w:r>
              <w:rPr>
                <w:rFonts w:hint="eastAsia"/>
                <w:highlight w:val="none"/>
              </w:rPr>
              <w:t>根据《关于做好环境影响评价制度与排污许可</w:t>
            </w:r>
            <w:r>
              <w:rPr>
                <w:rFonts w:hint="eastAsia"/>
                <w:highlight w:val="none"/>
                <w:lang w:eastAsia="zh-CN"/>
              </w:rPr>
              <w:t>制度</w:t>
            </w:r>
            <w:r>
              <w:rPr>
                <w:rFonts w:hint="eastAsia"/>
                <w:highlight w:val="none"/>
              </w:rPr>
              <w:t>衔接相关工作的通知》（环办环评</w:t>
            </w:r>
            <w:r>
              <w:rPr>
                <w:rFonts w:hint="eastAsia"/>
                <w:highlight w:val="none"/>
                <w:lang w:eastAsia="zh-CN"/>
              </w:rPr>
              <w:t>〔2017〕</w:t>
            </w:r>
            <w:r>
              <w:rPr>
                <w:rFonts w:hint="eastAsia"/>
                <w:highlight w:val="none"/>
              </w:rPr>
              <w:t>84号），建设单位应在项目建成投产前，在全国排污许可证管理信息平台申领排污许可证，登记基本信息、污染物排放去向、执行的污染物排放标准以及采取的污染防治措施等信息，不得无证排污或不按证排污。</w:t>
            </w:r>
          </w:p>
          <w:p>
            <w:pPr>
              <w:pStyle w:val="44"/>
              <w:bidi w:val="0"/>
              <w:rPr>
                <w:rFonts w:hint="eastAsia"/>
                <w:highlight w:val="none"/>
              </w:rPr>
            </w:pPr>
            <w:r>
              <w:rPr>
                <w:rFonts w:hint="eastAsia"/>
                <w:highlight w:val="none"/>
                <w:lang w:val="en-US" w:eastAsia="zh-CN"/>
              </w:rPr>
              <w:t>根据生态环境部令 2019年 第11号《固定污染源排污许可分类管理名录（2019年版）》，本项目属于水泥制品制造3021，为登记管理</w:t>
            </w:r>
            <w:r>
              <w:rPr>
                <w:rFonts w:hint="eastAsia"/>
                <w:highlight w:val="none"/>
                <w:lang w:eastAsia="zh-CN"/>
              </w:rPr>
              <w:t>。</w:t>
            </w:r>
            <w:r>
              <w:rPr>
                <w:rFonts w:hint="eastAsia"/>
                <w:highlight w:val="none"/>
                <w:lang w:val="en-US" w:eastAsia="zh-CN"/>
              </w:rPr>
              <w:t>根据《排污许可管理条例》（国务院令第 736 号），本项目应当填报排污登记表，不需要申请取得排污许可证。本项目应当在全国排污许可证管理信息平台上填报基本信息、污染物排放去向、执行的污染物排放标准以及采取的污染防治措施等信息；填报的信息发生变动的，应当自发生变动之日起20日内进行变更填报。</w:t>
            </w: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p>
            <w:pPr>
              <w:pStyle w:val="5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sz w:val="24"/>
                <w:szCs w:val="24"/>
                <w:highlight w:val="none"/>
                <w:u w:val="none"/>
                <w:lang w:val="en-US" w:eastAsia="zh-CN"/>
              </w:rPr>
            </w:pPr>
          </w:p>
        </w:tc>
      </w:tr>
    </w:tbl>
    <w:p>
      <w:pPr>
        <w:adjustRightInd w:val="0"/>
        <w:snapToGrid w:val="0"/>
        <w:spacing w:line="360" w:lineRule="auto"/>
        <w:rPr>
          <w:rFonts w:hint="eastAsia" w:ascii="宋体" w:hAnsi="宋体" w:eastAsia="宋体" w:cs="宋体"/>
          <w:b/>
          <w:color w:val="auto"/>
          <w:kern w:val="0"/>
          <w:sz w:val="28"/>
          <w:szCs w:val="28"/>
          <w:highlight w:val="none"/>
        </w:rPr>
      </w:pPr>
    </w:p>
    <w:p>
      <w:pPr>
        <w:adjustRightInd w:val="0"/>
        <w:snapToGrid w:val="0"/>
        <w:spacing w:line="360" w:lineRule="auto"/>
        <w:rPr>
          <w:rFonts w:hint="eastAsia" w:ascii="宋体" w:hAnsi="宋体" w:eastAsia="宋体" w:cs="宋体"/>
          <w:b/>
          <w:color w:val="auto"/>
          <w:kern w:val="0"/>
          <w:sz w:val="28"/>
          <w:szCs w:val="28"/>
          <w:highlight w:val="none"/>
        </w:rPr>
        <w:sectPr>
          <w:pgSz w:w="11907" w:h="16840"/>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五、</w:t>
      </w:r>
      <w:bookmarkStart w:id="6" w:name="_Hlk54167917"/>
      <w:r>
        <w:rPr>
          <w:rFonts w:hint="eastAsia" w:ascii="宋体" w:hAnsi="宋体" w:eastAsia="宋体" w:cs="宋体"/>
          <w:snapToGrid w:val="0"/>
          <w:color w:val="auto"/>
          <w:sz w:val="30"/>
          <w:szCs w:val="30"/>
          <w:highlight w:val="none"/>
        </w:rPr>
        <w:t>环境保护措施监督检查清单</w:t>
      </w:r>
      <w:bookmarkEnd w:id="6"/>
    </w:p>
    <w:tbl>
      <w:tblPr>
        <w:tblStyle w:val="48"/>
        <w:tblW w:w="50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3"/>
        <w:gridCol w:w="1401"/>
        <w:gridCol w:w="1536"/>
        <w:gridCol w:w="2472"/>
        <w:gridCol w:w="2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内容</w:t>
            </w:r>
          </w:p>
          <w:p>
            <w:pPr>
              <w:pStyle w:val="30"/>
              <w:bidi w:val="0"/>
              <w:rPr>
                <w:rFonts w:hint="eastAsia"/>
                <w:highlight w:val="none"/>
              </w:rPr>
            </w:pPr>
            <w:r>
              <w:rPr>
                <w:rFonts w:hint="eastAsia"/>
                <w:highlight w:val="none"/>
              </w:rPr>
              <w:t>要素</w:t>
            </w: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排放口（编号、名称）/污染源</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污染物项目</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环境保护措施</w:t>
            </w:r>
          </w:p>
        </w:tc>
        <w:tc>
          <w:tcPr>
            <w:tcW w:w="2205"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restart"/>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大气环境</w:t>
            </w: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废气排放口（</w:t>
            </w:r>
            <w:r>
              <w:rPr>
                <w:rFonts w:hint="eastAsia"/>
                <w:highlight w:val="none"/>
              </w:rPr>
              <w:t>D</w:t>
            </w:r>
            <w:r>
              <w:rPr>
                <w:rFonts w:hint="eastAsia"/>
                <w:highlight w:val="none"/>
                <w:lang w:val="en-US" w:eastAsia="zh-CN"/>
              </w:rPr>
              <w:t>A</w:t>
            </w:r>
            <w:r>
              <w:rPr>
                <w:rFonts w:hint="eastAsia"/>
                <w:highlight w:val="none"/>
              </w:rPr>
              <w:t>0</w:t>
            </w:r>
            <w:r>
              <w:rPr>
                <w:rFonts w:hint="eastAsia"/>
                <w:highlight w:val="none"/>
                <w:lang w:val="en-US" w:eastAsia="zh-CN"/>
              </w:rPr>
              <w:t>01、DA002）</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eastAsia="宋体"/>
                <w:highlight w:val="none"/>
                <w:lang w:eastAsia="zh-CN"/>
              </w:rPr>
            </w:pPr>
            <w:r>
              <w:rPr>
                <w:rFonts w:hint="eastAsia"/>
                <w:highlight w:val="none"/>
                <w:lang w:val="en-US" w:eastAsia="zh-CN"/>
              </w:rPr>
              <w:t>颗粒物</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default" w:ascii="Times New Roman" w:hAnsi="Times New Roman" w:cs="Times New Roman"/>
                <w:highlight w:val="none"/>
                <w:lang w:val="en-US" w:eastAsia="zh-CN"/>
              </w:rPr>
              <w:t>水泥采用</w:t>
            </w:r>
            <w:r>
              <w:rPr>
                <w:rFonts w:hint="eastAsia" w:cs="Times New Roman"/>
                <w:highlight w:val="none"/>
                <w:lang w:val="en-US" w:eastAsia="zh-CN"/>
              </w:rPr>
              <w:t>两座</w:t>
            </w:r>
            <w:r>
              <w:rPr>
                <w:rFonts w:hint="default" w:ascii="Times New Roman" w:hAnsi="Times New Roman" w:cs="Times New Roman"/>
                <w:highlight w:val="none"/>
                <w:lang w:val="en-US" w:eastAsia="zh-CN"/>
              </w:rPr>
              <w:t>筒仓存放</w:t>
            </w:r>
            <w:r>
              <w:rPr>
                <w:rFonts w:hint="eastAsia" w:cs="Times New Roman"/>
                <w:highlight w:val="none"/>
                <w:lang w:val="en-US" w:eastAsia="zh-CN"/>
              </w:rPr>
              <w:t>、输送粉尘废气通过各筒仓仓顶自带脉冲式除尘器除尘后外排</w:t>
            </w:r>
          </w:p>
        </w:tc>
        <w:tc>
          <w:tcPr>
            <w:tcW w:w="2205" w:type="dxa"/>
            <w:vMerge w:val="restart"/>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color w:val="auto"/>
                <w:sz w:val="21"/>
                <w:szCs w:val="21"/>
                <w:lang w:val="en-US" w:eastAsia="zh-CN"/>
              </w:rPr>
              <w:t>《水泥工业大气污染物排放标准》（GB4915-2013）表</w:t>
            </w:r>
            <w:r>
              <w:rPr>
                <w:rFonts w:hint="eastAsia" w:cs="Times New Roman"/>
                <w:color w:val="auto"/>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废气排放口（</w:t>
            </w:r>
            <w:r>
              <w:rPr>
                <w:rFonts w:hint="eastAsia"/>
                <w:highlight w:val="none"/>
              </w:rPr>
              <w:t>D</w:t>
            </w:r>
            <w:r>
              <w:rPr>
                <w:rFonts w:hint="eastAsia"/>
                <w:highlight w:val="none"/>
                <w:lang w:val="en-US" w:eastAsia="zh-CN"/>
              </w:rPr>
              <w:t>A</w:t>
            </w:r>
            <w:r>
              <w:rPr>
                <w:rFonts w:hint="eastAsia"/>
                <w:highlight w:val="none"/>
              </w:rPr>
              <w:t>0</w:t>
            </w:r>
            <w:r>
              <w:rPr>
                <w:rFonts w:hint="eastAsia"/>
                <w:highlight w:val="none"/>
                <w:lang w:val="en-US" w:eastAsia="zh-CN"/>
              </w:rPr>
              <w:t>03）</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颗粒物</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cs="Times New Roman"/>
                <w:highlight w:val="none"/>
                <w:lang w:val="en-US" w:eastAsia="zh-CN"/>
              </w:rPr>
              <w:t>砂子、石子物料</w:t>
            </w:r>
            <w:r>
              <w:rPr>
                <w:rFonts w:hint="default" w:ascii="Times New Roman" w:hAnsi="Times New Roman" w:cs="Times New Roman"/>
                <w:highlight w:val="none"/>
                <w:lang w:val="en-US" w:eastAsia="zh-CN"/>
              </w:rPr>
              <w:t>输送</w:t>
            </w:r>
            <w:r>
              <w:rPr>
                <w:rFonts w:hint="eastAsia" w:ascii="Times New Roman" w:hAnsi="Times New Roman" w:cs="Times New Roman"/>
                <w:highlight w:val="none"/>
                <w:lang w:val="en-US" w:eastAsia="zh-CN"/>
              </w:rPr>
              <w:t>工序在</w:t>
            </w:r>
            <w:r>
              <w:rPr>
                <w:rFonts w:hint="default" w:ascii="Times New Roman" w:hAnsi="Times New Roman" w:cs="Times New Roman"/>
                <w:highlight w:val="none"/>
                <w:lang w:val="en-US" w:eastAsia="zh-CN"/>
              </w:rPr>
              <w:t>投料料斗设备上方设置软帘包裹，集气罩收集粉尘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布袋除尘器除尘处理，15m高排气筒排放</w:t>
            </w:r>
          </w:p>
        </w:tc>
        <w:tc>
          <w:tcPr>
            <w:tcW w:w="2205" w:type="dxa"/>
            <w:vMerge w:val="continue"/>
            <w:tcBorders>
              <w:tl2br w:val="nil"/>
              <w:tr2bl w:val="nil"/>
            </w:tcBorders>
            <w:noWrap w:val="0"/>
            <w:tcMar>
              <w:top w:w="0" w:type="dxa"/>
              <w:left w:w="57" w:type="dxa"/>
              <w:bottom w:w="0" w:type="dxa"/>
              <w:right w:w="57" w:type="dxa"/>
            </w:tcMar>
            <w:vAlign w:val="center"/>
          </w:tcPr>
          <w:p>
            <w:pPr>
              <w:pStyle w:val="30"/>
              <w:bidi w:val="0"/>
              <w:rPr>
                <w:rFonts w:hint="eastAsia" w:ascii="Times New Roman" w:hAnsi="Times New Roman" w:eastAsia="宋体" w:cs="Times New Roman"/>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废气排放口（</w:t>
            </w:r>
            <w:r>
              <w:rPr>
                <w:rFonts w:hint="eastAsia"/>
                <w:highlight w:val="none"/>
              </w:rPr>
              <w:t>D</w:t>
            </w:r>
            <w:r>
              <w:rPr>
                <w:rFonts w:hint="eastAsia"/>
                <w:highlight w:val="none"/>
                <w:lang w:val="en-US" w:eastAsia="zh-CN"/>
              </w:rPr>
              <w:t>A</w:t>
            </w:r>
            <w:r>
              <w:rPr>
                <w:rFonts w:hint="eastAsia"/>
                <w:highlight w:val="none"/>
              </w:rPr>
              <w:t>0</w:t>
            </w:r>
            <w:r>
              <w:rPr>
                <w:rFonts w:hint="eastAsia"/>
                <w:highlight w:val="none"/>
                <w:lang w:val="en-US" w:eastAsia="zh-CN"/>
              </w:rPr>
              <w:t>04）</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颗粒物</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default" w:ascii="Times New Roman" w:hAnsi="Times New Roman" w:cs="Times New Roman"/>
                <w:highlight w:val="none"/>
                <w:lang w:val="en-US" w:eastAsia="zh-CN"/>
              </w:rPr>
              <w:t>搅拌</w:t>
            </w:r>
            <w:r>
              <w:rPr>
                <w:rFonts w:hint="eastAsia" w:ascii="Times New Roman" w:hAnsi="Times New Roman" w:cs="Times New Roman"/>
                <w:highlight w:val="none"/>
                <w:lang w:val="en-US" w:eastAsia="zh-CN"/>
              </w:rPr>
              <w:t>工序</w:t>
            </w:r>
            <w:r>
              <w:rPr>
                <w:rFonts w:hint="default" w:ascii="Times New Roman" w:hAnsi="Times New Roman" w:cs="Times New Roman"/>
                <w:highlight w:val="none"/>
                <w:lang w:val="en-US" w:eastAsia="zh-CN"/>
              </w:rPr>
              <w:t>上方设置集气罩收集废气</w:t>
            </w:r>
            <w:r>
              <w:rPr>
                <w:spacing w:val="7"/>
                <w:sz w:val="21"/>
                <w:szCs w:val="21"/>
              </w:rPr>
              <w:t>，</w:t>
            </w:r>
            <w:r>
              <w:rPr>
                <w:rFonts w:hint="eastAsia"/>
                <w:spacing w:val="7"/>
                <w:sz w:val="21"/>
                <w:szCs w:val="21"/>
                <w:lang w:val="en-US" w:eastAsia="zh-CN"/>
              </w:rPr>
              <w:t>集气</w:t>
            </w:r>
            <w:r>
              <w:rPr>
                <w:spacing w:val="7"/>
                <w:sz w:val="21"/>
                <w:szCs w:val="21"/>
              </w:rPr>
              <w:t>收集后</w:t>
            </w:r>
            <w:r>
              <w:rPr>
                <w:rFonts w:hint="eastAsia"/>
                <w:spacing w:val="7"/>
                <w:sz w:val="21"/>
                <w:szCs w:val="21"/>
                <w:lang w:val="en-US" w:eastAsia="zh-CN"/>
              </w:rPr>
              <w:t>经一套</w:t>
            </w:r>
            <w:r>
              <w:rPr>
                <w:spacing w:val="7"/>
                <w:sz w:val="21"/>
                <w:szCs w:val="21"/>
              </w:rPr>
              <w:t>布袋除尘器</w:t>
            </w:r>
            <w:r>
              <w:rPr>
                <w:rFonts w:hint="eastAsia"/>
                <w:sz w:val="21"/>
                <w:szCs w:val="21"/>
                <w:highlight w:val="none"/>
                <w:lang w:val="en-US" w:eastAsia="zh-CN"/>
              </w:rPr>
              <w:t>除尘处理</w:t>
            </w:r>
            <w:r>
              <w:rPr>
                <w:spacing w:val="7"/>
                <w:sz w:val="21"/>
                <w:szCs w:val="21"/>
              </w:rPr>
              <w:t>，</w:t>
            </w:r>
            <w:r>
              <w:rPr>
                <w:rFonts w:hint="default" w:ascii="Times New Roman" w:hAnsi="Times New Roman" w:cs="Times New Roman"/>
                <w:highlight w:val="none"/>
                <w:lang w:val="en-US" w:eastAsia="zh-CN"/>
              </w:rPr>
              <w:t>15m高排气筒排放</w:t>
            </w:r>
          </w:p>
        </w:tc>
        <w:tc>
          <w:tcPr>
            <w:tcW w:w="2205" w:type="dxa"/>
            <w:vMerge w:val="continue"/>
            <w:tcBorders>
              <w:tl2br w:val="nil"/>
              <w:tr2bl w:val="nil"/>
            </w:tcBorders>
            <w:noWrap w:val="0"/>
            <w:tcMar>
              <w:top w:w="0" w:type="dxa"/>
              <w:left w:w="57" w:type="dxa"/>
              <w:bottom w:w="0" w:type="dxa"/>
              <w:right w:w="57" w:type="dxa"/>
            </w:tcMar>
            <w:vAlign w:val="center"/>
          </w:tcPr>
          <w:p>
            <w:pPr>
              <w:pStyle w:val="30"/>
              <w:bidi w:val="0"/>
              <w:rPr>
                <w:rFonts w:hint="eastAsia" w:ascii="Times New Roman" w:hAnsi="Times New Roman" w:eastAsia="宋体" w:cs="Times New Roman"/>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401"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废气排放口（</w:t>
            </w:r>
            <w:r>
              <w:rPr>
                <w:rFonts w:hint="eastAsia"/>
                <w:highlight w:val="none"/>
              </w:rPr>
              <w:t>D</w:t>
            </w:r>
            <w:r>
              <w:rPr>
                <w:rFonts w:hint="eastAsia"/>
                <w:highlight w:val="none"/>
                <w:lang w:val="en-US" w:eastAsia="zh-CN"/>
              </w:rPr>
              <w:t>A</w:t>
            </w:r>
            <w:r>
              <w:rPr>
                <w:rFonts w:hint="eastAsia"/>
                <w:highlight w:val="none"/>
              </w:rPr>
              <w:t>0</w:t>
            </w:r>
            <w:r>
              <w:rPr>
                <w:rFonts w:hint="eastAsia"/>
                <w:highlight w:val="none"/>
                <w:lang w:val="en-US" w:eastAsia="zh-CN"/>
              </w:rPr>
              <w:t>05）</w:t>
            </w:r>
          </w:p>
        </w:tc>
        <w:tc>
          <w:tcPr>
            <w:tcW w:w="1536"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油烟</w:t>
            </w:r>
          </w:p>
        </w:tc>
        <w:tc>
          <w:tcPr>
            <w:tcW w:w="2472"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default" w:ascii="Times New Roman" w:hAnsi="Times New Roman" w:eastAsia="宋体" w:cs="Times New Roman"/>
                <w:sz w:val="21"/>
                <w:szCs w:val="21"/>
                <w:highlight w:val="none"/>
                <w:lang w:val="en-US" w:eastAsia="zh-CN" w:bidi="ar-SA"/>
              </w:rPr>
            </w:pPr>
            <w:r>
              <w:rPr>
                <w:rFonts w:cs="Times New Roman"/>
                <w:color w:val="auto"/>
                <w:highlight w:val="none"/>
              </w:rPr>
              <w:t>油烟净化器</w:t>
            </w:r>
          </w:p>
        </w:tc>
        <w:tc>
          <w:tcPr>
            <w:tcW w:w="2205"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cs="Times New Roman"/>
                <w:color w:val="auto"/>
                <w:highlight w:val="none"/>
              </w:rPr>
              <w:t>《饮食业油烟排放标准（试行）》（GB18483-2001）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401"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eastAsia="zh-CN"/>
              </w:rPr>
              <w:t>无组织排放</w:t>
            </w:r>
            <w:r>
              <w:rPr>
                <w:rFonts w:hint="eastAsia"/>
                <w:highlight w:val="none"/>
                <w:lang w:val="en-US" w:eastAsia="zh-CN"/>
              </w:rPr>
              <w:t>粉尘</w:t>
            </w:r>
          </w:p>
        </w:tc>
        <w:tc>
          <w:tcPr>
            <w:tcW w:w="1536"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颗粒物</w:t>
            </w:r>
          </w:p>
        </w:tc>
        <w:tc>
          <w:tcPr>
            <w:tcW w:w="2472"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车间密闭，物料密闭输送，投料口设遮盖</w:t>
            </w:r>
          </w:p>
        </w:tc>
        <w:tc>
          <w:tcPr>
            <w:tcW w:w="2205" w:type="dxa"/>
            <w:tcBorders>
              <w:tl2br w:val="nil"/>
              <w:tr2bl w:val="nil"/>
            </w:tcBorders>
            <w:shd w:val="clear" w:color="auto" w:fill="auto"/>
            <w:noWrap w:val="0"/>
            <w:tcMar>
              <w:top w:w="0" w:type="dxa"/>
              <w:left w:w="57" w:type="dxa"/>
              <w:bottom w:w="0" w:type="dxa"/>
              <w:right w:w="57" w:type="dxa"/>
            </w:tcMar>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color w:val="auto"/>
                <w:sz w:val="21"/>
                <w:szCs w:val="21"/>
                <w:lang w:val="en-US" w:eastAsia="zh-CN"/>
              </w:rPr>
              <w:t>《水泥工业大气污染物排放标准》（GB4915-2013）表3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地表水</w:t>
            </w:r>
          </w:p>
          <w:p>
            <w:pPr>
              <w:pStyle w:val="30"/>
              <w:bidi w:val="0"/>
              <w:rPr>
                <w:rFonts w:hint="eastAsia"/>
                <w:highlight w:val="none"/>
              </w:rPr>
            </w:pPr>
            <w:r>
              <w:rPr>
                <w:rFonts w:hint="eastAsia"/>
                <w:highlight w:val="none"/>
              </w:rPr>
              <w:t>环境</w:t>
            </w:r>
          </w:p>
        </w:tc>
        <w:tc>
          <w:tcPr>
            <w:tcW w:w="1401" w:type="dxa"/>
            <w:tcBorders>
              <w:tl2br w:val="nil"/>
              <w:tr2bl w:val="nil"/>
            </w:tcBorders>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总排口</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COD、BOD</w:t>
            </w:r>
            <w:r>
              <w:rPr>
                <w:rFonts w:hint="eastAsia"/>
                <w:highlight w:val="none"/>
                <w:vertAlign w:val="subscript"/>
                <w:lang w:val="en-US" w:eastAsia="zh-CN"/>
              </w:rPr>
              <w:t>5</w:t>
            </w:r>
            <w:r>
              <w:rPr>
                <w:rFonts w:hint="eastAsia"/>
                <w:highlight w:val="none"/>
                <w:lang w:val="en-US" w:eastAsia="zh-CN"/>
              </w:rPr>
              <w:t>、SS、氨氮、TN、TP</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生活污水由防渗化粪池收集处理</w:t>
            </w:r>
          </w:p>
        </w:tc>
        <w:tc>
          <w:tcPr>
            <w:tcW w:w="2205" w:type="dxa"/>
            <w:tcBorders>
              <w:tl2br w:val="nil"/>
              <w:tr2bl w:val="nil"/>
            </w:tcBorders>
            <w:noWrap w:val="0"/>
            <w:tcMar>
              <w:top w:w="0" w:type="dxa"/>
              <w:left w:w="57" w:type="dxa"/>
              <w:bottom w:w="0" w:type="dxa"/>
              <w:right w:w="57" w:type="dxa"/>
            </w:tcMar>
            <w:vAlign w:val="center"/>
          </w:tcPr>
          <w:p>
            <w:pPr>
              <w:pStyle w:val="30"/>
              <w:bidi w:val="0"/>
              <w:rPr>
                <w:rFonts w:hint="default"/>
                <w:highlight w:val="none"/>
                <w:lang w:val="en-US" w:eastAsia="zh-CN"/>
              </w:rPr>
            </w:pPr>
            <w:r>
              <w:rPr>
                <w:rFonts w:hint="default"/>
                <w:highlight w:val="none"/>
                <w:lang w:val="en-US" w:eastAsia="zh-CN"/>
              </w:rPr>
              <w:t xml:space="preserve">《污水综合排放标准》 </w:t>
            </w:r>
          </w:p>
          <w:p>
            <w:pPr>
              <w:pStyle w:val="30"/>
              <w:bidi w:val="0"/>
              <w:rPr>
                <w:rFonts w:hint="default"/>
                <w:highlight w:val="none"/>
                <w:lang w:val="en-US" w:eastAsia="zh-CN"/>
              </w:rPr>
            </w:pPr>
            <w:r>
              <w:rPr>
                <w:rFonts w:hint="default"/>
                <w:highlight w:val="none"/>
                <w:lang w:val="en-US" w:eastAsia="zh-CN"/>
              </w:rPr>
              <w:t xml:space="preserve">（GB8978-1996）中三 </w:t>
            </w:r>
          </w:p>
          <w:p>
            <w:pPr>
              <w:pStyle w:val="30"/>
              <w:bidi w:val="0"/>
              <w:rPr>
                <w:rFonts w:hint="default"/>
                <w:highlight w:val="none"/>
                <w:lang w:val="en-US" w:eastAsia="zh-CN"/>
              </w:rPr>
            </w:pPr>
            <w:r>
              <w:rPr>
                <w:rFonts w:hint="default"/>
                <w:highlight w:val="none"/>
                <w:lang w:val="en-US" w:eastAsia="zh-CN"/>
              </w:rPr>
              <w:t>级排放标准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声环境</w:t>
            </w: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设备噪声</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等效A声级</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选用低噪设备、合理布局，基础减振；风机排风口外安装消声器、距离衰减等</w:t>
            </w:r>
          </w:p>
        </w:tc>
        <w:tc>
          <w:tcPr>
            <w:tcW w:w="2205"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《工业企业厂界环境噪声排放标准》（GB12348-2008）3类标准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电磁辐射</w:t>
            </w:r>
          </w:p>
        </w:tc>
        <w:tc>
          <w:tcPr>
            <w:tcW w:w="7614" w:type="dxa"/>
            <w:gridSpan w:val="4"/>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restart"/>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固体废物</w:t>
            </w:r>
          </w:p>
        </w:tc>
        <w:tc>
          <w:tcPr>
            <w:tcW w:w="1401" w:type="dxa"/>
            <w:vMerge w:val="restart"/>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生产区</w:t>
            </w:r>
          </w:p>
        </w:tc>
        <w:tc>
          <w:tcPr>
            <w:tcW w:w="1536" w:type="dxa"/>
            <w:tcBorders>
              <w:tl2br w:val="nil"/>
              <w:tr2bl w:val="nil"/>
            </w:tcBorders>
            <w:noWrap w:val="0"/>
            <w:tcMar>
              <w:top w:w="0" w:type="dxa"/>
              <w:left w:w="57" w:type="dxa"/>
              <w:bottom w:w="0" w:type="dxa"/>
              <w:right w:w="57" w:type="dxa"/>
            </w:tcMar>
            <w:vAlign w:val="center"/>
          </w:tcPr>
          <w:p>
            <w:pPr>
              <w:pStyle w:val="30"/>
              <w:bidi w:val="0"/>
              <w:rPr>
                <w:rFonts w:hint="default"/>
                <w:highlight w:val="none"/>
                <w:lang w:val="en-US" w:eastAsia="zh-CN"/>
              </w:rPr>
            </w:pPr>
            <w:r>
              <w:rPr>
                <w:rFonts w:hint="eastAsia"/>
                <w:highlight w:val="none"/>
                <w:lang w:val="en-US" w:eastAsia="zh-CN"/>
              </w:rPr>
              <w:t>车间及除尘系统收集的粉尘</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回用于生产</w:t>
            </w:r>
          </w:p>
        </w:tc>
        <w:tc>
          <w:tcPr>
            <w:tcW w:w="2205" w:type="dxa"/>
            <w:vMerge w:val="restart"/>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均得到合理处置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eastAsia="zh-CN"/>
              </w:rPr>
            </w:pPr>
          </w:p>
        </w:tc>
        <w:tc>
          <w:tcPr>
            <w:tcW w:w="1401"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536" w:type="dxa"/>
            <w:tcBorders>
              <w:tl2br w:val="nil"/>
              <w:tr2bl w:val="nil"/>
            </w:tcBorders>
            <w:noWrap w:val="0"/>
            <w:tcMar>
              <w:top w:w="0" w:type="dxa"/>
              <w:left w:w="57" w:type="dxa"/>
              <w:bottom w:w="0" w:type="dxa"/>
              <w:right w:w="57" w:type="dxa"/>
            </w:tcMar>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废模具</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外售钢铁回收单位</w:t>
            </w:r>
          </w:p>
        </w:tc>
        <w:tc>
          <w:tcPr>
            <w:tcW w:w="2205"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eastAsia="zh-CN"/>
              </w:rPr>
            </w:pPr>
          </w:p>
        </w:tc>
        <w:tc>
          <w:tcPr>
            <w:tcW w:w="1401"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536" w:type="dxa"/>
            <w:tcBorders>
              <w:tl2br w:val="nil"/>
              <w:tr2bl w:val="nil"/>
            </w:tcBorders>
            <w:noWrap w:val="0"/>
            <w:tcMar>
              <w:top w:w="0" w:type="dxa"/>
              <w:left w:w="57" w:type="dxa"/>
              <w:bottom w:w="0" w:type="dxa"/>
              <w:right w:w="57" w:type="dxa"/>
            </w:tcMar>
            <w:vAlign w:val="top"/>
          </w:tcPr>
          <w:p>
            <w:pPr>
              <w:pStyle w:val="43"/>
              <w:bidi w:val="0"/>
              <w:rPr>
                <w:rFonts w:hint="default"/>
                <w:highlight w:val="none"/>
                <w:lang w:val="en-US" w:eastAsia="zh-CN"/>
              </w:rPr>
            </w:pPr>
            <w:r>
              <w:rPr>
                <w:rFonts w:hint="eastAsia" w:ascii="Times New Roman" w:hAnsi="Times New Roman" w:eastAsia="宋体" w:cs="Times New Roman"/>
                <w:sz w:val="21"/>
                <w:szCs w:val="21"/>
                <w:highlight w:val="none"/>
                <w:lang w:val="en-US" w:eastAsia="zh-CN"/>
              </w:rPr>
              <w:t>不合格产品</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路基填筑材料综合利用</w:t>
            </w:r>
          </w:p>
        </w:tc>
        <w:tc>
          <w:tcPr>
            <w:tcW w:w="2205"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eastAsia="zh-CN"/>
              </w:rPr>
            </w:pPr>
          </w:p>
        </w:tc>
        <w:tc>
          <w:tcPr>
            <w:tcW w:w="1401"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536" w:type="dxa"/>
            <w:tcBorders>
              <w:tl2br w:val="nil"/>
              <w:tr2bl w:val="nil"/>
            </w:tcBorders>
            <w:noWrap w:val="0"/>
            <w:tcMar>
              <w:top w:w="0" w:type="dxa"/>
              <w:left w:w="57" w:type="dxa"/>
              <w:bottom w:w="0" w:type="dxa"/>
              <w:right w:w="57" w:type="dxa"/>
            </w:tcMar>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废包装桶</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color w:val="auto"/>
                <w:highlight w:val="none"/>
                <w:lang w:val="en-US" w:eastAsia="zh-CN"/>
              </w:rPr>
            </w:pPr>
            <w:r>
              <w:rPr>
                <w:rFonts w:hint="eastAsia" w:ascii="Times New Roman" w:hAnsi="Times New Roman" w:eastAsia="宋体" w:cs="Times New Roman"/>
                <w:sz w:val="21"/>
                <w:szCs w:val="21"/>
                <w:highlight w:val="none"/>
                <w:lang w:val="en-US" w:eastAsia="zh-CN"/>
              </w:rPr>
              <w:t>外售资源回收单位综合利用</w:t>
            </w:r>
          </w:p>
        </w:tc>
        <w:tc>
          <w:tcPr>
            <w:tcW w:w="2205"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eastAsia="zh-CN"/>
              </w:rPr>
            </w:pPr>
          </w:p>
        </w:tc>
        <w:tc>
          <w:tcPr>
            <w:tcW w:w="1401"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p>
        </w:tc>
        <w:tc>
          <w:tcPr>
            <w:tcW w:w="1536"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废液压油、</w:t>
            </w:r>
            <w:r>
              <w:rPr>
                <w:rFonts w:hint="eastAsia" w:ascii="Times New Roman" w:hAnsi="Times New Roman" w:eastAsia="宋体" w:cs="Times New Roman"/>
                <w:sz w:val="21"/>
                <w:szCs w:val="21"/>
                <w:highlight w:val="none"/>
                <w:lang w:val="en-US" w:eastAsia="zh-CN"/>
              </w:rPr>
              <w:t>废含油抹布及手套</w:t>
            </w:r>
          </w:p>
        </w:tc>
        <w:tc>
          <w:tcPr>
            <w:tcW w:w="2472"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暂存于危废贮存点，定期交由有危废处置资质的单位安全处置</w:t>
            </w:r>
          </w:p>
        </w:tc>
        <w:tc>
          <w:tcPr>
            <w:tcW w:w="2205" w:type="dxa"/>
            <w:tcBorders>
              <w:tl2br w:val="nil"/>
              <w:tr2bl w:val="nil"/>
            </w:tcBorders>
            <w:noWrap w:val="0"/>
            <w:tcMar>
              <w:top w:w="0" w:type="dxa"/>
              <w:left w:w="57" w:type="dxa"/>
              <w:bottom w:w="0" w:type="dxa"/>
              <w:right w:w="57" w:type="dxa"/>
            </w:tcMar>
            <w:vAlign w:val="center"/>
          </w:tcPr>
          <w:p>
            <w:pPr>
              <w:pStyle w:val="30"/>
              <w:bidi w:val="0"/>
              <w:rPr>
                <w:rFonts w:hint="eastAsia"/>
                <w:highlight w:val="none"/>
                <w:lang w:val="en-US" w:eastAsia="zh-CN"/>
              </w:rPr>
            </w:pPr>
            <w:r>
              <w:rPr>
                <w:rFonts w:hint="eastAsia"/>
                <w:highlight w:val="none"/>
                <w:lang w:val="en-US" w:eastAsia="zh-CN"/>
              </w:rPr>
              <w:t>《危险废物贮存污染控制标准》（GB18597-2023）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vMerge w:val="continue"/>
            <w:tcBorders>
              <w:tl2br w:val="nil"/>
              <w:tr2bl w:val="nil"/>
            </w:tcBorders>
            <w:noWrap w:val="0"/>
            <w:tcMar>
              <w:top w:w="0" w:type="dxa"/>
              <w:left w:w="57" w:type="dxa"/>
              <w:bottom w:w="0" w:type="dxa"/>
              <w:right w:w="57" w:type="dxa"/>
            </w:tcMar>
            <w:vAlign w:val="center"/>
          </w:tcPr>
          <w:p>
            <w:pPr>
              <w:pStyle w:val="30"/>
              <w:bidi w:val="0"/>
              <w:rPr>
                <w:rFonts w:hint="eastAsia"/>
                <w:highlight w:val="none"/>
              </w:rPr>
            </w:pPr>
          </w:p>
        </w:tc>
        <w:tc>
          <w:tcPr>
            <w:tcW w:w="1401"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lang w:val="en-US" w:eastAsia="zh-CN"/>
              </w:rPr>
              <w:t>办公生活区</w:t>
            </w:r>
          </w:p>
        </w:tc>
        <w:tc>
          <w:tcPr>
            <w:tcW w:w="1536" w:type="dxa"/>
            <w:tcBorders>
              <w:tl2br w:val="nil"/>
              <w:tr2bl w:val="nil"/>
            </w:tcBorders>
            <w:noWrap w:val="0"/>
            <w:tcMar>
              <w:top w:w="0" w:type="dxa"/>
              <w:left w:w="57" w:type="dxa"/>
              <w:bottom w:w="0" w:type="dxa"/>
              <w:right w:w="57" w:type="dxa"/>
            </w:tcMar>
            <w:vAlign w:val="center"/>
          </w:tcPr>
          <w:p>
            <w:pPr>
              <w:pStyle w:val="30"/>
              <w:bidi w:val="0"/>
              <w:rPr>
                <w:highlight w:val="none"/>
              </w:rPr>
            </w:pPr>
            <w:r>
              <w:rPr>
                <w:rFonts w:hint="eastAsia"/>
                <w:highlight w:val="none"/>
                <w:lang w:val="en-US" w:eastAsia="zh-CN"/>
              </w:rPr>
              <w:t>生活垃圾</w:t>
            </w:r>
          </w:p>
        </w:tc>
        <w:tc>
          <w:tcPr>
            <w:tcW w:w="2472" w:type="dxa"/>
            <w:tcBorders>
              <w:tl2br w:val="nil"/>
              <w:tr2bl w:val="nil"/>
            </w:tcBorders>
            <w:noWrap w:val="0"/>
            <w:tcMar>
              <w:top w:w="0" w:type="dxa"/>
              <w:left w:w="57" w:type="dxa"/>
              <w:bottom w:w="0" w:type="dxa"/>
              <w:right w:w="57" w:type="dxa"/>
            </w:tcMar>
            <w:vAlign w:val="center"/>
          </w:tcPr>
          <w:p>
            <w:pPr>
              <w:pStyle w:val="30"/>
              <w:bidi w:val="0"/>
              <w:rPr>
                <w:highlight w:val="none"/>
              </w:rPr>
            </w:pPr>
            <w:r>
              <w:rPr>
                <w:rFonts w:hint="eastAsia"/>
                <w:highlight w:val="none"/>
                <w:lang w:val="en-US" w:eastAsia="zh-CN"/>
              </w:rPr>
              <w:t>厂内设有加盖生活垃圾垃圾收集箱，统一收集后交由当地市政环卫部门及时清运</w:t>
            </w:r>
          </w:p>
        </w:tc>
        <w:tc>
          <w:tcPr>
            <w:tcW w:w="2205" w:type="dxa"/>
            <w:tcBorders>
              <w:tl2br w:val="nil"/>
              <w:tr2bl w:val="nil"/>
            </w:tcBorders>
            <w:noWrap w:val="0"/>
            <w:tcMar>
              <w:top w:w="0" w:type="dxa"/>
              <w:left w:w="57" w:type="dxa"/>
              <w:bottom w:w="0" w:type="dxa"/>
              <w:right w:w="57" w:type="dxa"/>
            </w:tcMar>
            <w:vAlign w:val="center"/>
          </w:tcPr>
          <w:p>
            <w:pPr>
              <w:pStyle w:val="30"/>
              <w:bidi w:val="0"/>
              <w:rPr>
                <w:highlight w:val="none"/>
              </w:rPr>
            </w:pPr>
            <w:r>
              <w:rPr>
                <w:rFonts w:hint="eastAsia"/>
                <w:highlight w:val="none"/>
                <w:lang w:val="en-US" w:eastAsia="zh-CN"/>
              </w:rPr>
              <w:t>合理处置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土壤及地下水污染防治措施</w:t>
            </w:r>
          </w:p>
        </w:tc>
        <w:tc>
          <w:tcPr>
            <w:tcW w:w="7614" w:type="dxa"/>
            <w:gridSpan w:val="4"/>
            <w:tcBorders>
              <w:tl2br w:val="nil"/>
              <w:tr2bl w:val="nil"/>
            </w:tcBorders>
            <w:noWrap w:val="0"/>
            <w:tcMar>
              <w:top w:w="0" w:type="dxa"/>
              <w:left w:w="57" w:type="dxa"/>
              <w:bottom w:w="0" w:type="dxa"/>
              <w:right w:w="57" w:type="dxa"/>
            </w:tcMar>
            <w:vAlign w:val="center"/>
          </w:tcPr>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1.源头控制措施</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②</w:t>
            </w:r>
            <w:r>
              <w:rPr>
                <w:rFonts w:hint="eastAsia"/>
                <w:highlight w:val="none"/>
              </w:rPr>
              <w:t>对工艺、管道、设备采取控制措施，</w:t>
            </w:r>
            <w:r>
              <w:rPr>
                <w:rFonts w:hint="eastAsia"/>
                <w:highlight w:val="none"/>
                <w:lang w:val="en-US" w:eastAsia="zh-CN"/>
              </w:rPr>
              <w:t>选用耐腐蚀耐高温材料管材，</w:t>
            </w:r>
            <w:r>
              <w:rPr>
                <w:rFonts w:hint="eastAsia"/>
                <w:highlight w:val="none"/>
              </w:rPr>
              <w:t>防止污染物的跑、冒、滴、漏，将污染物泄漏的环境风险事故降到最低限度</w:t>
            </w:r>
            <w:r>
              <w:rPr>
                <w:rFonts w:hint="eastAsia"/>
                <w:highlight w:val="none"/>
                <w:lang w:val="en-US" w:eastAsia="zh-CN"/>
              </w:rPr>
              <w:t>。</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2.分区防渗措施</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rPr>
              <w:t>①重点防渗区</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rPr>
              <w:t>危废</w:t>
            </w:r>
            <w:r>
              <w:rPr>
                <w:rFonts w:hint="eastAsia"/>
                <w:highlight w:val="none"/>
                <w:lang w:eastAsia="zh-CN"/>
              </w:rPr>
              <w:t>贮存点</w:t>
            </w:r>
            <w:r>
              <w:rPr>
                <w:rFonts w:hint="eastAsia"/>
                <w:highlight w:val="none"/>
              </w:rPr>
              <w:t>。该区域防渗技术要求：等效黏土防渗层Mb≥6.0m，K≤1×10</w:t>
            </w:r>
            <w:r>
              <w:rPr>
                <w:rFonts w:hint="eastAsia"/>
                <w:highlight w:val="none"/>
                <w:vertAlign w:val="superscript"/>
                <w:lang w:val="en-US" w:eastAsia="zh-CN"/>
              </w:rPr>
              <w:t>-</w:t>
            </w:r>
            <w:r>
              <w:rPr>
                <w:rFonts w:hint="eastAsia"/>
                <w:highlight w:val="none"/>
                <w:vertAlign w:val="superscript"/>
              </w:rPr>
              <w:t>7</w:t>
            </w:r>
            <w:r>
              <w:rPr>
                <w:rFonts w:hint="eastAsia"/>
                <w:highlight w:val="none"/>
              </w:rPr>
              <w:t>cm/s；或参照GB18598执行。</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rPr>
              <w:t>②一般防渗区</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lang w:val="en-US" w:eastAsia="zh-CN"/>
              </w:rPr>
              <w:t>化粪池、沉淀池</w:t>
            </w:r>
            <w:r>
              <w:rPr>
                <w:rFonts w:hint="eastAsia"/>
                <w:highlight w:val="none"/>
              </w:rPr>
              <w:t>。该区域防渗技术要求：等效黏土防渗层Mb≥1.5m，K≤1×10</w:t>
            </w:r>
            <w:r>
              <w:rPr>
                <w:rFonts w:hint="eastAsia"/>
                <w:highlight w:val="none"/>
                <w:vertAlign w:val="superscript"/>
                <w:lang w:val="en-US" w:eastAsia="zh-CN"/>
              </w:rPr>
              <w:t>-</w:t>
            </w:r>
            <w:r>
              <w:rPr>
                <w:rFonts w:hint="eastAsia"/>
                <w:highlight w:val="none"/>
                <w:vertAlign w:val="superscript"/>
              </w:rPr>
              <w:t>7</w:t>
            </w:r>
            <w:r>
              <w:rPr>
                <w:rFonts w:hint="eastAsia"/>
                <w:highlight w:val="none"/>
              </w:rPr>
              <w:t>cm/s；或参照GB16889执行。</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rPr>
              <w:t>③简单防渗区</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rPr>
            </w:pPr>
            <w:r>
              <w:rPr>
                <w:rFonts w:hint="eastAsia"/>
                <w:highlight w:val="none"/>
                <w:lang w:val="en-US" w:eastAsia="zh-CN"/>
              </w:rPr>
              <w:t>门卫</w:t>
            </w:r>
            <w:r>
              <w:rPr>
                <w:rFonts w:hint="eastAsia"/>
                <w:highlight w:val="none"/>
              </w:rPr>
              <w:t>、厂区路面</w:t>
            </w:r>
            <w:r>
              <w:rPr>
                <w:rFonts w:hint="eastAsia"/>
                <w:highlight w:val="none"/>
                <w:lang w:eastAsia="zh-CN"/>
              </w:rPr>
              <w:t>、</w:t>
            </w:r>
            <w:r>
              <w:rPr>
                <w:rFonts w:hint="eastAsia"/>
                <w:highlight w:val="none"/>
                <w:lang w:val="en-US" w:eastAsia="zh-CN"/>
              </w:rPr>
              <w:t>生产车间、一般固废暂存区、成品堆场</w:t>
            </w:r>
            <w:r>
              <w:rPr>
                <w:rFonts w:hint="eastAsia"/>
                <w:highlight w:val="none"/>
              </w:rPr>
              <w:t>。该区域防渗技术要求：一般地面硬化。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生态保护措施</w:t>
            </w:r>
          </w:p>
        </w:tc>
        <w:tc>
          <w:tcPr>
            <w:tcW w:w="7614" w:type="dxa"/>
            <w:gridSpan w:val="4"/>
            <w:tcBorders>
              <w:tl2br w:val="nil"/>
              <w:tr2bl w:val="nil"/>
            </w:tcBorders>
            <w:noWrap w:val="0"/>
            <w:tcMar>
              <w:top w:w="0" w:type="dxa"/>
              <w:left w:w="57" w:type="dxa"/>
              <w:bottom w:w="0" w:type="dxa"/>
              <w:right w:w="57" w:type="dxa"/>
            </w:tcMar>
            <w:vAlign w:val="center"/>
          </w:tcPr>
          <w:p>
            <w:pPr>
              <w:pStyle w:val="30"/>
              <w:bidi w:val="0"/>
              <w:rPr>
                <w:rFonts w:hint="default"/>
                <w:highlight w:val="none"/>
                <w:lang w:val="en-US"/>
              </w:rPr>
            </w:pPr>
            <w:r>
              <w:rPr>
                <w:rFonts w:hint="eastAsia"/>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3" w:type="dxa"/>
            <w:tcBorders>
              <w:tl2br w:val="nil"/>
              <w:tr2bl w:val="nil"/>
            </w:tcBorders>
            <w:noWrap w:val="0"/>
            <w:tcMar>
              <w:top w:w="0" w:type="dxa"/>
              <w:left w:w="57" w:type="dxa"/>
              <w:bottom w:w="0" w:type="dxa"/>
              <w:right w:w="57" w:type="dxa"/>
            </w:tcMar>
            <w:vAlign w:val="center"/>
          </w:tcPr>
          <w:p>
            <w:pPr>
              <w:pStyle w:val="30"/>
              <w:bidi w:val="0"/>
              <w:rPr>
                <w:rFonts w:hint="eastAsia"/>
                <w:highlight w:val="none"/>
              </w:rPr>
            </w:pPr>
            <w:r>
              <w:rPr>
                <w:rFonts w:hint="eastAsia"/>
                <w:highlight w:val="none"/>
              </w:rPr>
              <w:t>环境风险防范措施</w:t>
            </w:r>
          </w:p>
        </w:tc>
        <w:tc>
          <w:tcPr>
            <w:tcW w:w="7614" w:type="dxa"/>
            <w:gridSpan w:val="4"/>
            <w:tcBorders>
              <w:tl2br w:val="nil"/>
              <w:tr2bl w:val="nil"/>
            </w:tcBorders>
            <w:noWrap w:val="0"/>
            <w:tcMar>
              <w:top w:w="0" w:type="dxa"/>
              <w:left w:w="57" w:type="dxa"/>
              <w:bottom w:w="0" w:type="dxa"/>
              <w:right w:w="57" w:type="dxa"/>
            </w:tcMar>
            <w:vAlign w:val="center"/>
          </w:tcPr>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①化粪池、沉淀池均为地下、半地下式池体，加强化粪池和沉淀池的预防监控，定期巡检、调节、保养、维修，及时发现有可能引起泄漏的异常运行苗头，消除隐患。</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②液体类原辅料、危险废物等存储容器应采取架空处理，且容器底部应设置托盘等收集装置。</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③危险废物必须严实包装，危废间应采用耐腐蚀的硬化地面且表面无裂隙；液体危废容器下应设置托盘，设计堵截泄漏的裙脚，地面与裙脚要用坚固、防渗的材料建造；必须有泄漏液体收集装置；其他设计应严格按照《危险废物贮存污染控制标准》（GB18597-2023）相关要求执行。</w:t>
            </w:r>
          </w:p>
          <w:p>
            <w:pPr>
              <w:pStyle w:val="3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highlight w:val="none"/>
                <w:lang w:val="en-US" w:eastAsia="zh-CN"/>
              </w:rPr>
            </w:pPr>
            <w:r>
              <w:rPr>
                <w:rFonts w:hint="eastAsia"/>
                <w:highlight w:val="none"/>
                <w:lang w:val="en-US" w:eastAsia="zh-CN"/>
              </w:rPr>
              <w:t>④制定完善的生产操作规程，最大限度预防事故发生；制定各种化学品使用、贮存过程的合理操作规程，防止在使用过程中由于操作不当引起大面积泄漏。</w:t>
            </w:r>
          </w:p>
          <w:p>
            <w:pPr>
              <w:pStyle w:val="3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highlight w:val="none"/>
                <w:lang w:val="en-US" w:eastAsia="zh-CN"/>
              </w:rPr>
            </w:pPr>
            <w:r>
              <w:rPr>
                <w:rFonts w:hint="eastAsia"/>
                <w:highlight w:val="none"/>
                <w:lang w:val="en-US" w:eastAsia="zh-CN"/>
              </w:rPr>
              <w:t>⑤严格执行企业的各项安全管理制度；组织专门人员每天多次进行周期性巡回检查，有跑冒滴漏或其他异常现象的应及时检修，必要时按照“生产服从安全”原则停车检修，严禁生产线带病生产。</w:t>
            </w:r>
          </w:p>
          <w:p>
            <w:pPr>
              <w:pStyle w:val="7"/>
              <w:spacing w:line="240" w:lineRule="auto"/>
              <w:ind w:right="0" w:rightChars="0" w:firstLine="420" w:firstLineChars="200"/>
              <w:rPr>
                <w:rFonts w:hint="eastAsia"/>
                <w:highlight w:val="none"/>
                <w:lang w:val="en-US" w:eastAsia="zh-CN"/>
              </w:rPr>
            </w:pPr>
            <w:r>
              <w:rPr>
                <w:rFonts w:hint="eastAsia" w:ascii="Times New Roman" w:hAnsi="Times New Roman" w:eastAsia="宋体" w:cs="Times New Roman"/>
                <w:kern w:val="0"/>
                <w:sz w:val="21"/>
                <w:szCs w:val="21"/>
                <w:highlight w:val="none"/>
                <w:lang w:val="en-US" w:eastAsia="zh-CN" w:bidi="ar-SA"/>
              </w:rPr>
              <w:t>⑥安排专人加强日常定期对气体收集系统和处理装置进行维护，认真填写巡检记录，认真记录设备运行情况，若发现异样，如设备参数等问题，应立即联系厂家进行处理，保证及时恢复正常运行；如出现断电等事故，应立即启动应急电源，将事故隐患消灭于萌芽之中。</w:t>
            </w:r>
          </w:p>
        </w:tc>
      </w:tr>
    </w:tbl>
    <w:p>
      <w:pPr>
        <w:pStyle w:val="18"/>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highlight w:val="none"/>
        </w:rPr>
        <w:br w:type="page"/>
      </w:r>
      <w:r>
        <w:rPr>
          <w:rFonts w:hint="eastAsia" w:ascii="宋体" w:hAnsi="宋体" w:eastAsia="宋体" w:cs="宋体"/>
          <w:snapToGrid w:val="0"/>
          <w:color w:val="auto"/>
          <w:sz w:val="30"/>
          <w:szCs w:val="30"/>
          <w:highlight w:val="none"/>
        </w:rPr>
        <w:t>六、结论</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ign w:val="top"/>
          </w:tcPr>
          <w:p>
            <w:pPr>
              <w:pStyle w:val="44"/>
              <w:bidi w:val="0"/>
              <w:rPr>
                <w:rFonts w:hint="eastAsia"/>
                <w:highlight w:val="none"/>
              </w:rPr>
            </w:pPr>
            <w:r>
              <w:rPr>
                <w:rFonts w:hint="eastAsia"/>
                <w:highlight w:val="none"/>
                <w:lang w:val="en-US" w:eastAsia="zh-CN"/>
              </w:rPr>
              <w:t>本项目的建设符合国家的产业政策，符合博湖县</w:t>
            </w:r>
            <w:r>
              <w:rPr>
                <w:rFonts w:hint="default" w:ascii="Times New Roman" w:hAnsi="Times New Roman" w:cs="Times New Roman"/>
                <w:highlight w:val="none"/>
                <w:lang w:val="en-US" w:eastAsia="zh-CN"/>
              </w:rPr>
              <w:t>国土空间总体规划</w:t>
            </w:r>
            <w:r>
              <w:rPr>
                <w:rFonts w:hint="eastAsia"/>
                <w:highlight w:val="none"/>
                <w:lang w:val="en-US" w:eastAsia="zh-CN"/>
              </w:rPr>
              <w:t>，项目选址合理，与外环境相容，项目总平面布置合理，项目废气、污水、噪声、固废拟采取的污染防治措施及各种生态环境保护措施技术可靠、经济可行。项目建成后，将具有良好的经济、社会和环境效益。建设单位只要项目认真落实本报告提出的各项污染防治对策措施，严格按照施工设计要求进行建设，保证环境保护措施的有效运行，可确保污染物达标排放。从环保角度而言，本项目建设可行。</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tc>
      </w:tr>
    </w:tbl>
    <w:p>
      <w:pPr>
        <w:rPr>
          <w:rFonts w:hint="eastAsia" w:ascii="宋体" w:hAnsi="宋体" w:eastAsia="宋体" w:cs="宋体"/>
          <w:color w:val="auto"/>
          <w:highlight w:val="none"/>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附表：</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建设项目污染物排放量汇总表</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lang w:val="en-US" w:eastAsia="zh-CN"/>
        </w:rPr>
        <w:t>附图1  项目在巴州环境管控单元中位置示意图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 xml:space="preserve">附图2  </w:t>
      </w:r>
      <w:r>
        <w:rPr>
          <w:rFonts w:hint="eastAsia"/>
          <w:highlight w:val="none"/>
          <w:lang w:val="en-US" w:eastAsia="zh-CN"/>
        </w:rPr>
        <w:t>建设项目地理位置示意图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 xml:space="preserve">附图3  </w:t>
      </w:r>
      <w:r>
        <w:rPr>
          <w:rFonts w:hint="eastAsia"/>
          <w:highlight w:val="none"/>
          <w:lang w:val="en-US" w:eastAsia="zh-CN"/>
        </w:rPr>
        <w:t>周边环境关系示意图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 xml:space="preserve">附图4  </w:t>
      </w:r>
      <w:r>
        <w:rPr>
          <w:rFonts w:hint="eastAsia"/>
          <w:highlight w:val="none"/>
          <w:lang w:val="en-US" w:eastAsia="zh-CN"/>
        </w:rPr>
        <w:t>厂区平面布置图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lang w:val="en-US" w:eastAsia="zh-CN"/>
        </w:rPr>
      </w:pPr>
      <w:r>
        <w:rPr>
          <w:rFonts w:hint="eastAsia"/>
          <w:highlight w:val="none"/>
          <w:lang w:val="en-US" w:eastAsia="zh-CN"/>
        </w:rPr>
        <w:t>附图5  项目有组织废气排放口示意图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lang w:val="en-US" w:eastAsia="zh-CN"/>
        </w:rPr>
      </w:pPr>
      <w:r>
        <w:rPr>
          <w:rFonts w:hint="eastAsia"/>
          <w:highlight w:val="none"/>
          <w:lang w:val="en-US" w:eastAsia="zh-CN"/>
        </w:rPr>
        <w:t>附图6  建设项目厂区防渗分区图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highlight w:val="none"/>
          <w:lang w:val="en-US" w:eastAsia="zh-CN"/>
        </w:rPr>
      </w:pPr>
      <w:r>
        <w:rPr>
          <w:rFonts w:hint="default"/>
          <w:highlight w:val="none"/>
          <w:lang w:val="en-US" w:eastAsia="zh-CN"/>
        </w:rPr>
        <w:t>附图7  引用监测点位示意图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附件1  环评委托书</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w:t>
      </w:r>
      <w:r>
        <w:rPr>
          <w:rFonts w:hint="eastAsia"/>
          <w:highlight w:val="none"/>
          <w:lang w:val="en-US" w:eastAsia="zh-CN"/>
        </w:rPr>
        <w:t>2</w:t>
      </w:r>
      <w:r>
        <w:rPr>
          <w:rFonts w:hint="eastAsia"/>
          <w:highlight w:val="none"/>
        </w:rPr>
        <w:t xml:space="preserve">  投资项目备案证</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w:t>
      </w:r>
      <w:r>
        <w:rPr>
          <w:rFonts w:hint="eastAsia"/>
          <w:highlight w:val="none"/>
          <w:lang w:val="en-US" w:eastAsia="zh-CN"/>
        </w:rPr>
        <w:t>3</w:t>
      </w:r>
      <w:r>
        <w:rPr>
          <w:rFonts w:hint="eastAsia"/>
          <w:highlight w:val="none"/>
        </w:rPr>
        <w:t xml:space="preserve">  建设用地规划许可证、定线勘界图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w:t>
      </w:r>
      <w:r>
        <w:rPr>
          <w:rFonts w:hint="eastAsia"/>
          <w:highlight w:val="none"/>
          <w:lang w:val="en-US" w:eastAsia="zh-CN"/>
        </w:rPr>
        <w:t>4</w:t>
      </w:r>
      <w:r>
        <w:rPr>
          <w:rFonts w:hint="eastAsia"/>
          <w:highlight w:val="none"/>
        </w:rPr>
        <w:t xml:space="preserve">  建设工程规划许可、红线图</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附件</w:t>
      </w:r>
      <w:r>
        <w:rPr>
          <w:rFonts w:hint="eastAsia"/>
          <w:highlight w:val="none"/>
          <w:lang w:val="en-US" w:eastAsia="zh-CN"/>
        </w:rPr>
        <w:t>5</w:t>
      </w:r>
      <w:r>
        <w:rPr>
          <w:rFonts w:hint="eastAsia"/>
          <w:highlight w:val="none"/>
        </w:rPr>
        <w:t xml:space="preserve">  </w:t>
      </w:r>
      <w:r>
        <w:rPr>
          <w:rFonts w:hint="eastAsia"/>
          <w:highlight w:val="none"/>
          <w:lang w:val="en-US" w:eastAsia="zh-CN"/>
        </w:rPr>
        <w:t>引用</w:t>
      </w:r>
      <w:r>
        <w:rPr>
          <w:rFonts w:hint="eastAsia"/>
          <w:highlight w:val="none"/>
        </w:rPr>
        <w:t>环境空气质量现状监测报告</w:t>
      </w:r>
    </w:p>
    <w:p>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highlight w:val="none"/>
          <w:lang w:eastAsia="zh-CN"/>
        </w:rPr>
      </w:pPr>
      <w:r>
        <w:rPr>
          <w:rFonts w:hint="eastAsia"/>
          <w:highlight w:val="none"/>
        </w:rPr>
        <w:t>附件</w:t>
      </w:r>
      <w:r>
        <w:rPr>
          <w:rFonts w:hint="eastAsia"/>
          <w:highlight w:val="none"/>
          <w:lang w:val="en-US" w:eastAsia="zh-CN"/>
        </w:rPr>
        <w:t>6</w:t>
      </w:r>
      <w:r>
        <w:rPr>
          <w:rFonts w:hint="eastAsia"/>
          <w:highlight w:val="none"/>
        </w:rPr>
        <w:t xml:space="preserve">  </w:t>
      </w:r>
      <w:r>
        <w:rPr>
          <w:rFonts w:hint="eastAsia"/>
          <w:highlight w:val="none"/>
          <w:lang w:val="en-US" w:eastAsia="zh-CN"/>
        </w:rPr>
        <w:t>博湖县鑫新建材有限公司营业执照</w:t>
      </w:r>
    </w:p>
    <w:p>
      <w:pPr>
        <w:pStyle w:val="44"/>
        <w:bidi w:val="0"/>
        <w:rPr>
          <w:rFonts w:hint="eastAsia" w:ascii="Times New Roman" w:hAnsi="Times New Roman" w:eastAsia="宋体" w:cs="Times New Roman"/>
          <w:highlight w:val="none"/>
          <w:lang w:val="en-US" w:eastAsia="zh-CN"/>
        </w:rPr>
      </w:pPr>
    </w:p>
    <w:p>
      <w:pPr>
        <w:pStyle w:val="44"/>
        <w:bidi w:val="0"/>
        <w:rPr>
          <w:rFonts w:hint="eastAsia" w:ascii="Times New Roman" w:hAnsi="Times New Roman" w:eastAsia="宋体" w:cs="Times New Roman"/>
          <w:highlight w:val="none"/>
          <w:lang w:val="en-US" w:eastAsia="zh-CN"/>
        </w:rPr>
        <w:sectPr>
          <w:footerReference r:id="rId8" w:type="default"/>
          <w:pgSz w:w="11906" w:h="16838"/>
          <w:pgMar w:top="1501" w:right="1531" w:bottom="1277" w:left="1531"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288" w:lineRule="auto"/>
        <w:jc w:val="center"/>
        <w:outlineLvl w:val="0"/>
        <w:rPr>
          <w:rFonts w:hint="eastAsia" w:ascii="宋体" w:hAnsi="宋体" w:eastAsia="宋体" w:cs="宋体"/>
          <w:snapToGrid w:val="0"/>
          <w:color w:val="auto"/>
          <w:sz w:val="30"/>
          <w:szCs w:val="30"/>
          <w:highlight w:val="none"/>
          <w:lang w:eastAsia="zh-CN"/>
        </w:rPr>
      </w:pPr>
      <w:r>
        <w:rPr>
          <w:rFonts w:hint="eastAsia" w:ascii="宋体" w:hAnsi="宋体" w:eastAsia="宋体" w:cs="宋体"/>
          <w:snapToGrid w:val="0"/>
          <w:color w:val="auto"/>
          <w:sz w:val="30"/>
          <w:szCs w:val="30"/>
          <w:highlight w:val="none"/>
        </w:rPr>
        <w:t>建设项目污染物排放量汇总表</w:t>
      </w:r>
    </w:p>
    <w:tbl>
      <w:tblPr>
        <w:tblStyle w:val="2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033"/>
        <w:gridCol w:w="1534"/>
        <w:gridCol w:w="1350"/>
        <w:gridCol w:w="1475"/>
        <w:gridCol w:w="1559"/>
        <w:gridCol w:w="1761"/>
        <w:gridCol w:w="1321"/>
        <w:gridCol w:w="14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tcBorders>
              <w:tl2br w:val="single" w:color="auto" w:sz="4" w:space="0"/>
            </w:tcBorders>
            <w:noWrap/>
            <w:tcMar>
              <w:left w:w="28" w:type="dxa"/>
              <w:right w:w="28" w:type="dxa"/>
            </w:tcMar>
            <w:vAlign w:val="center"/>
          </w:tcPr>
          <w:p>
            <w:pPr>
              <w:pStyle w:val="30"/>
              <w:bidi w:val="0"/>
              <w:jc w:val="right"/>
              <w:rPr>
                <w:rFonts w:hint="eastAsia"/>
                <w:highlight w:val="none"/>
              </w:rPr>
            </w:pPr>
            <w:r>
              <w:rPr>
                <w:rFonts w:hint="eastAsia"/>
                <w:highlight w:val="none"/>
              </w:rPr>
              <w:t>项目</w:t>
            </w:r>
          </w:p>
          <w:p>
            <w:pPr>
              <w:pStyle w:val="30"/>
              <w:bidi w:val="0"/>
              <w:rPr>
                <w:rFonts w:hint="eastAsia"/>
                <w:highlight w:val="none"/>
              </w:rPr>
            </w:pPr>
          </w:p>
          <w:p>
            <w:pPr>
              <w:pStyle w:val="30"/>
              <w:bidi w:val="0"/>
              <w:jc w:val="left"/>
              <w:rPr>
                <w:rFonts w:hint="eastAsia"/>
                <w:highlight w:val="none"/>
              </w:rPr>
            </w:pPr>
            <w:r>
              <w:rPr>
                <w:rFonts w:hint="eastAsia"/>
                <w:highlight w:val="none"/>
              </w:rPr>
              <w:t>分类</w:t>
            </w:r>
          </w:p>
        </w:tc>
        <w:tc>
          <w:tcPr>
            <w:tcW w:w="2033" w:type="dxa"/>
            <w:noWrap/>
            <w:tcMar>
              <w:left w:w="28" w:type="dxa"/>
              <w:right w:w="28" w:type="dxa"/>
            </w:tcMar>
            <w:vAlign w:val="center"/>
          </w:tcPr>
          <w:p>
            <w:pPr>
              <w:pStyle w:val="30"/>
              <w:bidi w:val="0"/>
              <w:rPr>
                <w:rFonts w:hint="eastAsia"/>
                <w:highlight w:val="none"/>
              </w:rPr>
            </w:pPr>
            <w:r>
              <w:rPr>
                <w:rFonts w:hint="eastAsia"/>
                <w:highlight w:val="none"/>
              </w:rPr>
              <w:t>污染物名称</w:t>
            </w:r>
          </w:p>
        </w:tc>
        <w:tc>
          <w:tcPr>
            <w:tcW w:w="1534" w:type="dxa"/>
            <w:noWrap/>
            <w:tcMar>
              <w:left w:w="28" w:type="dxa"/>
              <w:right w:w="28" w:type="dxa"/>
            </w:tcMar>
            <w:vAlign w:val="center"/>
          </w:tcPr>
          <w:p>
            <w:pPr>
              <w:pStyle w:val="30"/>
              <w:bidi w:val="0"/>
              <w:rPr>
                <w:rFonts w:hint="eastAsia"/>
                <w:highlight w:val="none"/>
              </w:rPr>
            </w:pPr>
            <w:r>
              <w:rPr>
                <w:rFonts w:hint="eastAsia"/>
                <w:highlight w:val="none"/>
              </w:rPr>
              <w:t>现有工程</w:t>
            </w:r>
          </w:p>
          <w:p>
            <w:pPr>
              <w:pStyle w:val="30"/>
              <w:bidi w:val="0"/>
              <w:rPr>
                <w:rFonts w:hint="eastAsia"/>
                <w:highlight w:val="none"/>
              </w:rPr>
            </w:pPr>
            <w:r>
              <w:rPr>
                <w:rFonts w:hint="eastAsia"/>
                <w:highlight w:val="none"/>
              </w:rPr>
              <w:t>排放量（固体废物产生量）</w:t>
            </w:r>
            <w:r>
              <w:rPr>
                <w:rFonts w:hint="eastAsia"/>
                <w:highlight w:val="none"/>
              </w:rPr>
              <w:fldChar w:fldCharType="begin"/>
            </w:r>
            <w:r>
              <w:rPr>
                <w:rFonts w:hint="eastAsia"/>
                <w:highlight w:val="none"/>
              </w:rPr>
              <w:instrText xml:space="preserve"> = 1 \* GB3 \* MERGEFORMAT </w:instrText>
            </w:r>
            <w:r>
              <w:rPr>
                <w:rFonts w:hint="eastAsia"/>
                <w:highlight w:val="none"/>
              </w:rPr>
              <w:fldChar w:fldCharType="separate"/>
            </w:r>
            <w:r>
              <w:rPr>
                <w:rFonts w:hint="eastAsia"/>
                <w:highlight w:val="none"/>
              </w:rPr>
              <w:t>①</w:t>
            </w:r>
            <w:r>
              <w:rPr>
                <w:rFonts w:hint="eastAsia"/>
                <w:highlight w:val="none"/>
              </w:rPr>
              <w:fldChar w:fldCharType="end"/>
            </w:r>
          </w:p>
        </w:tc>
        <w:tc>
          <w:tcPr>
            <w:tcW w:w="1350" w:type="dxa"/>
            <w:noWrap/>
            <w:tcMar>
              <w:left w:w="28" w:type="dxa"/>
              <w:right w:w="28" w:type="dxa"/>
            </w:tcMar>
            <w:vAlign w:val="center"/>
          </w:tcPr>
          <w:p>
            <w:pPr>
              <w:pStyle w:val="30"/>
              <w:bidi w:val="0"/>
              <w:rPr>
                <w:rFonts w:hint="eastAsia"/>
                <w:highlight w:val="none"/>
              </w:rPr>
            </w:pPr>
            <w:r>
              <w:rPr>
                <w:rFonts w:hint="eastAsia"/>
                <w:highlight w:val="none"/>
              </w:rPr>
              <w:t>现有工程</w:t>
            </w:r>
          </w:p>
          <w:p>
            <w:pPr>
              <w:pStyle w:val="30"/>
              <w:bidi w:val="0"/>
              <w:rPr>
                <w:rFonts w:hint="eastAsia"/>
                <w:highlight w:val="none"/>
              </w:rPr>
            </w:pPr>
            <w:r>
              <w:rPr>
                <w:rFonts w:hint="eastAsia"/>
                <w:highlight w:val="none"/>
              </w:rPr>
              <w:t>许可排放量</w:t>
            </w:r>
          </w:p>
          <w:p>
            <w:pPr>
              <w:pStyle w:val="30"/>
              <w:bidi w:val="0"/>
              <w:rPr>
                <w:rFonts w:hint="eastAsia"/>
                <w:highlight w:val="none"/>
              </w:rPr>
            </w:pPr>
            <w:r>
              <w:rPr>
                <w:rFonts w:hint="eastAsia"/>
                <w:highlight w:val="none"/>
              </w:rPr>
              <w:fldChar w:fldCharType="begin"/>
            </w:r>
            <w:r>
              <w:rPr>
                <w:rFonts w:hint="eastAsia"/>
                <w:highlight w:val="none"/>
              </w:rPr>
              <w:instrText xml:space="preserve"> = 2 \* GB3 \* MERGEFORMAT </w:instrText>
            </w:r>
            <w:r>
              <w:rPr>
                <w:rFonts w:hint="eastAsia"/>
                <w:highlight w:val="none"/>
              </w:rPr>
              <w:fldChar w:fldCharType="separate"/>
            </w:r>
            <w:r>
              <w:rPr>
                <w:rFonts w:hint="eastAsia"/>
                <w:highlight w:val="none"/>
              </w:rPr>
              <w:t>②</w:t>
            </w:r>
            <w:r>
              <w:rPr>
                <w:rFonts w:hint="eastAsia"/>
                <w:highlight w:val="none"/>
              </w:rPr>
              <w:fldChar w:fldCharType="end"/>
            </w:r>
          </w:p>
        </w:tc>
        <w:tc>
          <w:tcPr>
            <w:tcW w:w="1475" w:type="dxa"/>
            <w:noWrap/>
            <w:tcMar>
              <w:left w:w="28" w:type="dxa"/>
              <w:right w:w="28" w:type="dxa"/>
            </w:tcMar>
            <w:vAlign w:val="center"/>
          </w:tcPr>
          <w:p>
            <w:pPr>
              <w:pStyle w:val="30"/>
              <w:bidi w:val="0"/>
              <w:rPr>
                <w:rFonts w:hint="eastAsia"/>
                <w:highlight w:val="none"/>
              </w:rPr>
            </w:pPr>
            <w:r>
              <w:rPr>
                <w:rFonts w:hint="eastAsia"/>
                <w:highlight w:val="none"/>
              </w:rPr>
              <w:t>在建工程</w:t>
            </w:r>
          </w:p>
          <w:p>
            <w:pPr>
              <w:pStyle w:val="30"/>
              <w:bidi w:val="0"/>
              <w:rPr>
                <w:rFonts w:hint="eastAsia"/>
                <w:highlight w:val="none"/>
              </w:rPr>
            </w:pPr>
            <w:r>
              <w:rPr>
                <w:rFonts w:hint="eastAsia"/>
                <w:highlight w:val="none"/>
              </w:rPr>
              <w:t>排放量（固体废物产生量）</w:t>
            </w:r>
            <w:r>
              <w:rPr>
                <w:rFonts w:hint="eastAsia"/>
                <w:highlight w:val="none"/>
              </w:rPr>
              <w:fldChar w:fldCharType="begin"/>
            </w:r>
            <w:r>
              <w:rPr>
                <w:rFonts w:hint="eastAsia"/>
                <w:highlight w:val="none"/>
              </w:rPr>
              <w:instrText xml:space="preserve"> = 3 \* GB3 \* MERGEFORMAT </w:instrText>
            </w:r>
            <w:r>
              <w:rPr>
                <w:rFonts w:hint="eastAsia"/>
                <w:highlight w:val="none"/>
              </w:rPr>
              <w:fldChar w:fldCharType="separate"/>
            </w:r>
            <w:r>
              <w:rPr>
                <w:rFonts w:hint="eastAsia"/>
                <w:highlight w:val="none"/>
              </w:rPr>
              <w:t>③</w:t>
            </w:r>
            <w:r>
              <w:rPr>
                <w:rFonts w:hint="eastAsia"/>
                <w:highlight w:val="none"/>
              </w:rPr>
              <w:fldChar w:fldCharType="end"/>
            </w:r>
          </w:p>
        </w:tc>
        <w:tc>
          <w:tcPr>
            <w:tcW w:w="1559" w:type="dxa"/>
            <w:noWrap/>
            <w:tcMar>
              <w:left w:w="28" w:type="dxa"/>
              <w:right w:w="28" w:type="dxa"/>
            </w:tcMar>
            <w:vAlign w:val="center"/>
          </w:tcPr>
          <w:p>
            <w:pPr>
              <w:pStyle w:val="30"/>
              <w:bidi w:val="0"/>
              <w:rPr>
                <w:rFonts w:hint="eastAsia"/>
                <w:highlight w:val="none"/>
              </w:rPr>
            </w:pPr>
            <w:r>
              <w:rPr>
                <w:rFonts w:hint="eastAsia"/>
                <w:highlight w:val="none"/>
              </w:rPr>
              <w:t>本项目</w:t>
            </w:r>
          </w:p>
          <w:p>
            <w:pPr>
              <w:pStyle w:val="30"/>
              <w:bidi w:val="0"/>
              <w:rPr>
                <w:rFonts w:hint="eastAsia"/>
                <w:highlight w:val="none"/>
              </w:rPr>
            </w:pPr>
            <w:r>
              <w:rPr>
                <w:rFonts w:hint="eastAsia"/>
                <w:highlight w:val="none"/>
              </w:rPr>
              <w:t>排放量（固体废物产生量）</w:t>
            </w:r>
            <w:r>
              <w:rPr>
                <w:rFonts w:hint="eastAsia"/>
                <w:highlight w:val="none"/>
              </w:rPr>
              <w:fldChar w:fldCharType="begin"/>
            </w:r>
            <w:r>
              <w:rPr>
                <w:rFonts w:hint="eastAsia"/>
                <w:highlight w:val="none"/>
              </w:rPr>
              <w:instrText xml:space="preserve"> = 4 \* GB3 \* MERGEFORMAT </w:instrText>
            </w:r>
            <w:r>
              <w:rPr>
                <w:rFonts w:hint="eastAsia"/>
                <w:highlight w:val="none"/>
              </w:rPr>
              <w:fldChar w:fldCharType="separate"/>
            </w:r>
            <w:r>
              <w:rPr>
                <w:rFonts w:hint="eastAsia"/>
                <w:highlight w:val="none"/>
              </w:rPr>
              <w:t>④</w:t>
            </w:r>
            <w:r>
              <w:rPr>
                <w:rFonts w:hint="eastAsia"/>
                <w:highlight w:val="none"/>
              </w:rPr>
              <w:fldChar w:fldCharType="end"/>
            </w:r>
          </w:p>
        </w:tc>
        <w:tc>
          <w:tcPr>
            <w:tcW w:w="1761" w:type="dxa"/>
            <w:noWrap/>
            <w:tcMar>
              <w:left w:w="28" w:type="dxa"/>
              <w:right w:w="28" w:type="dxa"/>
            </w:tcMar>
            <w:vAlign w:val="center"/>
          </w:tcPr>
          <w:p>
            <w:pPr>
              <w:pStyle w:val="30"/>
              <w:bidi w:val="0"/>
              <w:rPr>
                <w:rFonts w:hint="eastAsia"/>
                <w:highlight w:val="none"/>
              </w:rPr>
            </w:pPr>
            <w:r>
              <w:rPr>
                <w:rFonts w:hint="eastAsia"/>
                <w:highlight w:val="none"/>
              </w:rPr>
              <w:t>以新带老削减量</w:t>
            </w:r>
          </w:p>
          <w:p>
            <w:pPr>
              <w:pStyle w:val="30"/>
              <w:bidi w:val="0"/>
              <w:rPr>
                <w:rFonts w:hint="eastAsia"/>
                <w:highlight w:val="none"/>
              </w:rPr>
            </w:pPr>
            <w:r>
              <w:rPr>
                <w:rFonts w:hint="eastAsia"/>
                <w:highlight w:val="none"/>
              </w:rPr>
              <w:t>（新建项目不填）</w:t>
            </w:r>
            <w:r>
              <w:rPr>
                <w:rFonts w:hint="eastAsia"/>
                <w:highlight w:val="none"/>
              </w:rPr>
              <w:fldChar w:fldCharType="begin"/>
            </w:r>
            <w:r>
              <w:rPr>
                <w:rFonts w:hint="eastAsia"/>
                <w:highlight w:val="none"/>
              </w:rPr>
              <w:instrText xml:space="preserve"> = 5 \* GB3 \* MERGEFORMAT </w:instrText>
            </w:r>
            <w:r>
              <w:rPr>
                <w:rFonts w:hint="eastAsia"/>
                <w:highlight w:val="none"/>
              </w:rPr>
              <w:fldChar w:fldCharType="separate"/>
            </w:r>
            <w:r>
              <w:rPr>
                <w:rFonts w:hint="eastAsia"/>
                <w:highlight w:val="none"/>
              </w:rPr>
              <w:t>⑤</w:t>
            </w:r>
            <w:r>
              <w:rPr>
                <w:rFonts w:hint="eastAsia"/>
                <w:highlight w:val="none"/>
              </w:rPr>
              <w:fldChar w:fldCharType="end"/>
            </w:r>
          </w:p>
        </w:tc>
        <w:tc>
          <w:tcPr>
            <w:tcW w:w="1321" w:type="dxa"/>
            <w:noWrap/>
            <w:tcMar>
              <w:left w:w="28" w:type="dxa"/>
              <w:right w:w="28" w:type="dxa"/>
            </w:tcMar>
            <w:vAlign w:val="center"/>
          </w:tcPr>
          <w:p>
            <w:pPr>
              <w:pStyle w:val="30"/>
              <w:bidi w:val="0"/>
              <w:rPr>
                <w:rFonts w:hint="eastAsia"/>
                <w:highlight w:val="none"/>
              </w:rPr>
            </w:pPr>
            <w:r>
              <w:rPr>
                <w:rFonts w:hint="eastAsia"/>
                <w:highlight w:val="none"/>
              </w:rPr>
              <w:t>本项目建成后</w:t>
            </w:r>
          </w:p>
          <w:p>
            <w:pPr>
              <w:pStyle w:val="30"/>
              <w:bidi w:val="0"/>
              <w:rPr>
                <w:rFonts w:hint="eastAsia"/>
                <w:highlight w:val="none"/>
              </w:rPr>
            </w:pPr>
            <w:r>
              <w:rPr>
                <w:rFonts w:hint="eastAsia"/>
                <w:highlight w:val="none"/>
              </w:rPr>
              <w:t>全厂排放量（固体废物产生量）</w:t>
            </w:r>
            <w:r>
              <w:rPr>
                <w:rFonts w:hint="eastAsia"/>
                <w:highlight w:val="none"/>
              </w:rPr>
              <w:fldChar w:fldCharType="begin"/>
            </w:r>
            <w:r>
              <w:rPr>
                <w:rFonts w:hint="eastAsia"/>
                <w:highlight w:val="none"/>
              </w:rPr>
              <w:instrText xml:space="preserve"> = 6 \* GB3 \* MERGEFORMAT </w:instrText>
            </w:r>
            <w:r>
              <w:rPr>
                <w:rFonts w:hint="eastAsia"/>
                <w:highlight w:val="none"/>
              </w:rPr>
              <w:fldChar w:fldCharType="separate"/>
            </w:r>
            <w:r>
              <w:rPr>
                <w:rFonts w:hint="eastAsia"/>
                <w:highlight w:val="none"/>
              </w:rPr>
              <w:t>⑥</w:t>
            </w:r>
            <w:r>
              <w:rPr>
                <w:rFonts w:hint="eastAsia"/>
                <w:highlight w:val="none"/>
              </w:rPr>
              <w:fldChar w:fldCharType="end"/>
            </w:r>
          </w:p>
        </w:tc>
        <w:tc>
          <w:tcPr>
            <w:tcW w:w="1464" w:type="dxa"/>
            <w:noWrap/>
            <w:tcMar>
              <w:left w:w="28" w:type="dxa"/>
              <w:right w:w="28" w:type="dxa"/>
            </w:tcMar>
            <w:vAlign w:val="center"/>
          </w:tcPr>
          <w:p>
            <w:pPr>
              <w:pStyle w:val="30"/>
              <w:bidi w:val="0"/>
              <w:rPr>
                <w:rFonts w:hint="eastAsia"/>
                <w:highlight w:val="none"/>
              </w:rPr>
            </w:pPr>
            <w:r>
              <w:rPr>
                <w:rFonts w:hint="eastAsia"/>
                <w:highlight w:val="none"/>
              </w:rPr>
              <w:t>变化量</w:t>
            </w:r>
          </w:p>
          <w:p>
            <w:pPr>
              <w:pStyle w:val="30"/>
              <w:bidi w:val="0"/>
              <w:rPr>
                <w:rFonts w:hint="eastAsia"/>
                <w:highlight w:val="none"/>
              </w:rPr>
            </w:pPr>
            <w:r>
              <w:rPr>
                <w:rFonts w:hint="eastAsia"/>
                <w:highlight w:val="none"/>
              </w:rPr>
              <w:fldChar w:fldCharType="begin"/>
            </w:r>
            <w:r>
              <w:rPr>
                <w:rFonts w:hint="eastAsia"/>
                <w:highlight w:val="none"/>
              </w:rPr>
              <w:instrText xml:space="preserve"> = 7 \* GB3 \* MERGEFORMAT </w:instrText>
            </w:r>
            <w:r>
              <w:rPr>
                <w:rFonts w:hint="eastAsia"/>
                <w:highlight w:val="none"/>
              </w:rPr>
              <w:fldChar w:fldCharType="separate"/>
            </w:r>
            <w:r>
              <w:rPr>
                <w:rFonts w:hint="eastAsia"/>
                <w:highlight w:val="none"/>
              </w:rPr>
              <w:t>⑦</w:t>
            </w:r>
            <w:r>
              <w:rPr>
                <w:rFonts w:hint="eastAsia"/>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restart"/>
            <w:noWrap/>
            <w:vAlign w:val="center"/>
          </w:tcPr>
          <w:p>
            <w:pPr>
              <w:pStyle w:val="30"/>
              <w:bidi w:val="0"/>
              <w:rPr>
                <w:rFonts w:hint="eastAsia"/>
                <w:highlight w:val="none"/>
              </w:rPr>
            </w:pPr>
            <w:r>
              <w:rPr>
                <w:rFonts w:hint="eastAsia"/>
                <w:highlight w:val="none"/>
              </w:rPr>
              <w:t>废气</w:t>
            </w:r>
          </w:p>
        </w:tc>
        <w:tc>
          <w:tcPr>
            <w:tcW w:w="2033" w:type="dxa"/>
            <w:noWrap/>
            <w:vAlign w:val="center"/>
          </w:tcPr>
          <w:p>
            <w:pPr>
              <w:pStyle w:val="30"/>
              <w:bidi w:val="0"/>
              <w:rPr>
                <w:rFonts w:hint="eastAsia" w:eastAsia="宋体"/>
                <w:highlight w:val="none"/>
                <w:lang w:val="en-US" w:eastAsia="zh-CN"/>
              </w:rPr>
            </w:pPr>
            <w:r>
              <w:rPr>
                <w:rFonts w:hint="eastAsia"/>
                <w:highlight w:val="none"/>
                <w:lang w:val="en-US" w:eastAsia="zh-CN"/>
              </w:rPr>
              <w:t>颗粒物</w:t>
            </w:r>
          </w:p>
        </w:tc>
        <w:tc>
          <w:tcPr>
            <w:tcW w:w="1534"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559" w:type="dxa"/>
            <w:noWrap/>
            <w:vAlign w:val="center"/>
          </w:tcPr>
          <w:p>
            <w:pPr>
              <w:pStyle w:val="30"/>
              <w:bidi w:val="0"/>
              <w:rPr>
                <w:rFonts w:hint="default"/>
                <w:highlight w:val="none"/>
                <w:lang w:val="en-US" w:eastAsia="zh-CN"/>
              </w:rPr>
            </w:pPr>
            <w:r>
              <w:rPr>
                <w:rFonts w:hint="eastAsia"/>
                <w:highlight w:val="none"/>
                <w:lang w:val="en-US" w:eastAsia="zh-CN"/>
              </w:rPr>
              <w:t>0.318699t/a</w:t>
            </w:r>
          </w:p>
        </w:tc>
        <w:tc>
          <w:tcPr>
            <w:tcW w:w="1761"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eastAsia"/>
                <w:highlight w:val="none"/>
                <w:lang w:val="en-US" w:eastAsia="zh-CN"/>
              </w:rPr>
              <w:t>0.318699t/a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+0.318699t/a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continue"/>
            <w:noWrap/>
            <w:vAlign w:val="center"/>
          </w:tcPr>
          <w:p>
            <w:pPr>
              <w:pStyle w:val="30"/>
              <w:bidi w:val="0"/>
              <w:rPr>
                <w:rFonts w:hint="eastAsia"/>
                <w:highlight w:val="none"/>
              </w:rPr>
            </w:pPr>
          </w:p>
        </w:tc>
        <w:tc>
          <w:tcPr>
            <w:tcW w:w="2033" w:type="dxa"/>
            <w:shd w:val="clear" w:color="auto" w:fill="auto"/>
            <w:noWrap/>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油烟</w:t>
            </w:r>
          </w:p>
        </w:tc>
        <w:tc>
          <w:tcPr>
            <w:tcW w:w="1534" w:type="dxa"/>
            <w:shd w:val="clear" w:color="auto" w:fill="auto"/>
            <w:noWrap/>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0</w:t>
            </w:r>
          </w:p>
        </w:tc>
        <w:tc>
          <w:tcPr>
            <w:tcW w:w="1350" w:type="dxa"/>
            <w:shd w:val="clear" w:color="auto" w:fill="auto"/>
            <w:noWrap/>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0</w:t>
            </w:r>
          </w:p>
        </w:tc>
        <w:tc>
          <w:tcPr>
            <w:tcW w:w="1475" w:type="dxa"/>
            <w:shd w:val="clear" w:color="auto" w:fill="auto"/>
            <w:noWrap/>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0</w:t>
            </w:r>
          </w:p>
        </w:tc>
        <w:tc>
          <w:tcPr>
            <w:tcW w:w="1559" w:type="dxa"/>
            <w:shd w:val="clear" w:color="auto" w:fill="auto"/>
            <w:noWrap/>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eastAsia" w:ascii="Times New Roman" w:hAnsi="Times New Roman" w:cs="Times New Roman"/>
                <w:highlight w:val="none"/>
                <w:lang w:val="en-US" w:eastAsia="zh-CN"/>
              </w:rPr>
              <w:t>1806</w:t>
            </w:r>
            <w:r>
              <w:rPr>
                <w:rFonts w:hint="eastAsia"/>
                <w:highlight w:val="none"/>
                <w:lang w:val="en-US" w:eastAsia="zh-CN"/>
              </w:rPr>
              <w:t>t/a</w:t>
            </w:r>
          </w:p>
        </w:tc>
        <w:tc>
          <w:tcPr>
            <w:tcW w:w="1761" w:type="dxa"/>
            <w:shd w:val="clear" w:color="auto" w:fill="auto"/>
            <w:noWrap/>
            <w:vAlign w:val="center"/>
          </w:tcPr>
          <w:p>
            <w:pPr>
              <w:pStyle w:val="30"/>
              <w:bidi w:val="0"/>
              <w:rPr>
                <w:rFonts w:hint="eastAsia" w:ascii="Times New Roman" w:hAnsi="Times New Roman" w:eastAsia="宋体" w:cs="Times New Roman"/>
                <w:sz w:val="21"/>
                <w:szCs w:val="21"/>
                <w:highlight w:val="none"/>
                <w:lang w:val="en-US" w:eastAsia="zh-CN" w:bidi="ar-SA"/>
              </w:rPr>
            </w:pPr>
            <w:r>
              <w:rPr>
                <w:rFonts w:hint="eastAsia"/>
                <w:highlight w:val="none"/>
                <w:lang w:val="en-US" w:eastAsia="zh-CN"/>
              </w:rPr>
              <w:t>0</w:t>
            </w:r>
          </w:p>
        </w:tc>
        <w:tc>
          <w:tcPr>
            <w:tcW w:w="1321" w:type="dxa"/>
            <w:shd w:val="clear" w:color="auto" w:fill="auto"/>
            <w:noWrap/>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eastAsia" w:ascii="Times New Roman" w:hAnsi="Times New Roman" w:cs="Times New Roman"/>
                <w:highlight w:val="none"/>
                <w:lang w:val="en-US" w:eastAsia="zh-CN"/>
              </w:rPr>
              <w:t>1806</w:t>
            </w:r>
            <w:r>
              <w:rPr>
                <w:rFonts w:hint="eastAsia"/>
                <w:highlight w:val="none"/>
                <w:lang w:val="en-US" w:eastAsia="zh-CN"/>
              </w:rPr>
              <w:t>t/a</w:t>
            </w:r>
          </w:p>
        </w:tc>
        <w:tc>
          <w:tcPr>
            <w:tcW w:w="1464" w:type="dxa"/>
            <w:shd w:val="clear" w:color="auto" w:fill="auto"/>
            <w:noWrap/>
            <w:vAlign w:val="center"/>
          </w:tcPr>
          <w:p>
            <w:pPr>
              <w:pStyle w:val="30"/>
              <w:bidi w:val="0"/>
              <w:rPr>
                <w:rFonts w:hint="default" w:ascii="Times New Roman" w:hAnsi="Times New Roman" w:eastAsia="宋体" w:cs="Times New Roman"/>
                <w:sz w:val="21"/>
                <w:szCs w:val="21"/>
                <w:highlight w:val="none"/>
                <w:lang w:val="en-US" w:eastAsia="zh-CN" w:bidi="ar-SA"/>
              </w:rPr>
            </w:pPr>
            <w:r>
              <w:rPr>
                <w:rFonts w:hint="eastAsia"/>
                <w:highlight w:val="none"/>
                <w:lang w:val="en-US" w:eastAsia="zh-CN"/>
              </w:rPr>
              <w:t>+</w:t>
            </w:r>
            <w:r>
              <w:rPr>
                <w:rFonts w:hint="default" w:ascii="Times New Roman" w:hAnsi="Times New Roman" w:cs="Times New Roman"/>
                <w:highlight w:val="none"/>
                <w:lang w:val="en-US" w:eastAsia="zh-CN"/>
              </w:rPr>
              <w:t>0.0</w:t>
            </w:r>
            <w:r>
              <w:rPr>
                <w:rFonts w:hint="eastAsia" w:cs="Times New Roman"/>
                <w:highlight w:val="none"/>
                <w:lang w:val="en-US" w:eastAsia="zh-CN"/>
              </w:rPr>
              <w:t>0</w:t>
            </w:r>
            <w:r>
              <w:rPr>
                <w:rFonts w:hint="eastAsia" w:ascii="Times New Roman" w:hAnsi="Times New Roman" w:cs="Times New Roman"/>
                <w:highlight w:val="none"/>
                <w:lang w:val="en-US" w:eastAsia="zh-CN"/>
              </w:rPr>
              <w:t>1806</w:t>
            </w:r>
            <w:r>
              <w:rPr>
                <w:rFonts w:hint="eastAsia"/>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restart"/>
            <w:noWrap/>
            <w:vAlign w:val="center"/>
          </w:tcPr>
          <w:p>
            <w:pPr>
              <w:pStyle w:val="30"/>
              <w:bidi w:val="0"/>
              <w:rPr>
                <w:rFonts w:hint="eastAsia"/>
                <w:highlight w:val="none"/>
              </w:rPr>
            </w:pPr>
            <w:r>
              <w:rPr>
                <w:rFonts w:hint="eastAsia"/>
                <w:highlight w:val="none"/>
              </w:rPr>
              <w:t>废水</w:t>
            </w:r>
          </w:p>
        </w:tc>
        <w:tc>
          <w:tcPr>
            <w:tcW w:w="2033" w:type="dxa"/>
            <w:noWrap/>
            <w:vAlign w:val="center"/>
          </w:tcPr>
          <w:p>
            <w:pPr>
              <w:pStyle w:val="30"/>
              <w:bidi w:val="0"/>
              <w:rPr>
                <w:rFonts w:hint="eastAsia"/>
                <w:highlight w:val="none"/>
              </w:rPr>
            </w:pPr>
            <w:r>
              <w:rPr>
                <w:rFonts w:hint="default"/>
                <w:highlight w:val="none"/>
                <w:lang w:val="en-US" w:eastAsia="zh-CN"/>
              </w:rPr>
              <w:t>废水量</w:t>
            </w:r>
          </w:p>
        </w:tc>
        <w:tc>
          <w:tcPr>
            <w:tcW w:w="1534"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50"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559" w:type="dxa"/>
            <w:noWrap/>
            <w:vAlign w:val="center"/>
          </w:tcPr>
          <w:p>
            <w:pPr>
              <w:pStyle w:val="30"/>
              <w:bidi w:val="0"/>
              <w:rPr>
                <w:rFonts w:hint="default"/>
                <w:highlight w:val="none"/>
                <w:lang w:val="en-US" w:eastAsia="zh-CN"/>
              </w:rPr>
            </w:pPr>
            <w:r>
              <w:rPr>
                <w:rFonts w:hint="eastAsia"/>
                <w:highlight w:val="none"/>
                <w:lang w:val="en-US" w:eastAsia="zh-CN"/>
              </w:rPr>
              <w:t>126t/a</w:t>
            </w:r>
          </w:p>
        </w:tc>
        <w:tc>
          <w:tcPr>
            <w:tcW w:w="1761"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21" w:type="dxa"/>
            <w:noWrap/>
            <w:vAlign w:val="center"/>
          </w:tcPr>
          <w:p>
            <w:pPr>
              <w:pStyle w:val="30"/>
              <w:bidi w:val="0"/>
              <w:rPr>
                <w:rFonts w:hint="default"/>
                <w:highlight w:val="none"/>
                <w:lang w:val="en-US" w:eastAsia="zh-CN"/>
              </w:rPr>
            </w:pPr>
            <w:r>
              <w:rPr>
                <w:rFonts w:hint="eastAsia"/>
                <w:highlight w:val="none"/>
                <w:lang w:val="en-US" w:eastAsia="zh-CN"/>
              </w:rPr>
              <w:t>126t/a</w:t>
            </w:r>
          </w:p>
        </w:tc>
        <w:tc>
          <w:tcPr>
            <w:tcW w:w="1464" w:type="dxa"/>
            <w:noWrap/>
            <w:vAlign w:val="center"/>
          </w:tcPr>
          <w:p>
            <w:pPr>
              <w:pStyle w:val="30"/>
              <w:bidi w:val="0"/>
              <w:rPr>
                <w:rFonts w:hint="default"/>
                <w:highlight w:val="none"/>
                <w:lang w:val="en-US" w:eastAsia="zh-CN"/>
              </w:rPr>
            </w:pPr>
            <w:r>
              <w:rPr>
                <w:rFonts w:hint="eastAsia"/>
                <w:highlight w:val="none"/>
                <w:lang w:val="en-US" w:eastAsia="zh-CN"/>
              </w:rPr>
              <w:t>+126t/a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continue"/>
            <w:noWrap/>
            <w:vAlign w:val="center"/>
          </w:tcPr>
          <w:p>
            <w:pPr>
              <w:pStyle w:val="30"/>
              <w:bidi w:val="0"/>
              <w:rPr>
                <w:rFonts w:hint="eastAsia"/>
                <w:highlight w:val="none"/>
              </w:rPr>
            </w:pPr>
          </w:p>
        </w:tc>
        <w:tc>
          <w:tcPr>
            <w:tcW w:w="2033" w:type="dxa"/>
            <w:noWrap/>
            <w:vAlign w:val="center"/>
          </w:tcPr>
          <w:p>
            <w:pPr>
              <w:pStyle w:val="30"/>
              <w:bidi w:val="0"/>
              <w:rPr>
                <w:rFonts w:hint="eastAsia"/>
                <w:highlight w:val="none"/>
              </w:rPr>
            </w:pPr>
            <w:r>
              <w:rPr>
                <w:rFonts w:hint="default"/>
                <w:highlight w:val="none"/>
                <w:lang w:val="en-US" w:eastAsia="zh-CN"/>
              </w:rPr>
              <w:t>COD</w:t>
            </w:r>
          </w:p>
        </w:tc>
        <w:tc>
          <w:tcPr>
            <w:tcW w:w="1534"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559" w:type="dxa"/>
            <w:noWrap/>
            <w:vAlign w:val="center"/>
          </w:tcPr>
          <w:p>
            <w:pPr>
              <w:pStyle w:val="30"/>
              <w:bidi w:val="0"/>
              <w:rPr>
                <w:rFonts w:hint="default"/>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0.035784</w:t>
            </w:r>
            <w:r>
              <w:rPr>
                <w:rFonts w:hint="eastAsia"/>
                <w:highlight w:val="none"/>
                <w:lang w:val="en-US" w:eastAsia="zh-CN"/>
              </w:rPr>
              <w:t>t/a</w:t>
            </w:r>
          </w:p>
        </w:tc>
        <w:tc>
          <w:tcPr>
            <w:tcW w:w="1761"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0.035784</w:t>
            </w:r>
            <w:r>
              <w:rPr>
                <w:rFonts w:hint="eastAsia"/>
                <w:highlight w:val="none"/>
                <w:lang w:val="en-US" w:eastAsia="zh-CN"/>
              </w:rPr>
              <w:t>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0.035784</w:t>
            </w:r>
            <w:r>
              <w:rPr>
                <w:rFonts w:hint="eastAsia"/>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continue"/>
            <w:noWrap/>
            <w:vAlign w:val="center"/>
          </w:tcPr>
          <w:p>
            <w:pPr>
              <w:pStyle w:val="30"/>
              <w:bidi w:val="0"/>
              <w:rPr>
                <w:rFonts w:hint="eastAsia"/>
                <w:highlight w:val="none"/>
              </w:rPr>
            </w:pPr>
          </w:p>
        </w:tc>
        <w:tc>
          <w:tcPr>
            <w:tcW w:w="2033" w:type="dxa"/>
            <w:noWrap/>
            <w:vAlign w:val="center"/>
          </w:tcPr>
          <w:p>
            <w:pPr>
              <w:pStyle w:val="30"/>
              <w:bidi w:val="0"/>
              <w:rPr>
                <w:rFonts w:hint="eastAsia"/>
                <w:highlight w:val="none"/>
              </w:rPr>
            </w:pPr>
            <w:r>
              <w:rPr>
                <w:rFonts w:hint="default"/>
                <w:highlight w:val="none"/>
                <w:lang w:val="en-US" w:eastAsia="zh-CN"/>
              </w:rPr>
              <w:t>NH</w:t>
            </w:r>
            <w:r>
              <w:rPr>
                <w:rFonts w:hint="default"/>
                <w:highlight w:val="none"/>
                <w:vertAlign w:val="subscript"/>
                <w:lang w:val="en-US" w:eastAsia="zh-CN"/>
              </w:rPr>
              <w:t>3</w:t>
            </w:r>
            <w:r>
              <w:rPr>
                <w:rFonts w:hint="default"/>
                <w:highlight w:val="none"/>
                <w:lang w:val="en-US" w:eastAsia="zh-CN"/>
              </w:rPr>
              <w:t>-N</w:t>
            </w:r>
          </w:p>
        </w:tc>
        <w:tc>
          <w:tcPr>
            <w:tcW w:w="1534"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559" w:type="dxa"/>
            <w:noWrap/>
            <w:vAlign w:val="center"/>
          </w:tcPr>
          <w:p>
            <w:pPr>
              <w:pStyle w:val="30"/>
              <w:bidi w:val="0"/>
              <w:rPr>
                <w:rFonts w:hint="eastAsia"/>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0.003024</w:t>
            </w:r>
            <w:r>
              <w:rPr>
                <w:rFonts w:hint="eastAsia"/>
                <w:highlight w:val="none"/>
                <w:lang w:val="en-US" w:eastAsia="zh-CN"/>
              </w:rPr>
              <w:t>t/a</w:t>
            </w:r>
          </w:p>
        </w:tc>
        <w:tc>
          <w:tcPr>
            <w:tcW w:w="1761"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0.003024</w:t>
            </w:r>
            <w:r>
              <w:rPr>
                <w:rFonts w:hint="eastAsia"/>
                <w:highlight w:val="none"/>
                <w:lang w:val="en-US" w:eastAsia="zh-CN"/>
              </w:rPr>
              <w:t>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0.003024</w:t>
            </w:r>
            <w:r>
              <w:rPr>
                <w:rFonts w:hint="eastAsia"/>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restart"/>
            <w:noWrap/>
            <w:vAlign w:val="center"/>
          </w:tcPr>
          <w:p>
            <w:pPr>
              <w:pStyle w:val="30"/>
              <w:bidi w:val="0"/>
              <w:rPr>
                <w:rFonts w:hint="eastAsia"/>
                <w:highlight w:val="none"/>
              </w:rPr>
            </w:pPr>
            <w:r>
              <w:rPr>
                <w:rFonts w:hint="eastAsia"/>
                <w:highlight w:val="none"/>
              </w:rPr>
              <w:t>一般工业固体废物</w:t>
            </w:r>
          </w:p>
        </w:tc>
        <w:tc>
          <w:tcPr>
            <w:tcW w:w="2033" w:type="dxa"/>
            <w:noWrap/>
            <w:vAlign w:val="center"/>
          </w:tcPr>
          <w:p>
            <w:pPr>
              <w:pStyle w:val="30"/>
              <w:bidi w:val="0"/>
              <w:rPr>
                <w:rFonts w:hint="eastAsia"/>
                <w:highlight w:val="none"/>
                <w:lang w:val="en-US" w:eastAsia="zh-CN"/>
              </w:rPr>
            </w:pPr>
            <w:r>
              <w:rPr>
                <w:rFonts w:hint="eastAsia"/>
                <w:highlight w:val="none"/>
                <w:lang w:val="en-US" w:eastAsia="zh-CN"/>
              </w:rPr>
              <w:t>车间及除尘系统收集的粉尘</w:t>
            </w:r>
          </w:p>
        </w:tc>
        <w:tc>
          <w:tcPr>
            <w:tcW w:w="1534" w:type="dxa"/>
            <w:noWrap/>
            <w:vAlign w:val="center"/>
          </w:tcPr>
          <w:p>
            <w:pPr>
              <w:pStyle w:val="30"/>
              <w:bidi w:val="0"/>
              <w:rPr>
                <w:rFonts w:hint="eastAsia"/>
                <w:highlight w:val="none"/>
              </w:rPr>
            </w:pPr>
            <w:r>
              <w:rPr>
                <w:rFonts w:hint="default"/>
                <w:highlight w:val="none"/>
                <w:lang w:val="en-US" w:eastAsia="zh-CN"/>
              </w:rPr>
              <w:t>0</w:t>
            </w:r>
          </w:p>
        </w:tc>
        <w:tc>
          <w:tcPr>
            <w:tcW w:w="1350" w:type="dxa"/>
            <w:noWrap/>
            <w:vAlign w:val="center"/>
          </w:tcPr>
          <w:p>
            <w:pPr>
              <w:pStyle w:val="30"/>
              <w:bidi w:val="0"/>
              <w:rPr>
                <w:rFonts w:hint="eastAsia"/>
                <w:highlight w:val="none"/>
                <w:lang w:eastAsia="zh-CN"/>
              </w:rPr>
            </w:pPr>
            <w:r>
              <w:rPr>
                <w:rFonts w:hint="eastAsia"/>
                <w:highlight w:val="none"/>
                <w:lang w:val="en-US" w:eastAsia="zh-CN"/>
              </w:rPr>
              <w:t>0</w:t>
            </w:r>
          </w:p>
        </w:tc>
        <w:tc>
          <w:tcPr>
            <w:tcW w:w="1475" w:type="dxa"/>
            <w:noWrap/>
            <w:vAlign w:val="center"/>
          </w:tcPr>
          <w:p>
            <w:pPr>
              <w:pStyle w:val="30"/>
              <w:bidi w:val="0"/>
              <w:rPr>
                <w:rFonts w:hint="eastAsia"/>
                <w:highlight w:val="none"/>
              </w:rPr>
            </w:pPr>
            <w:r>
              <w:rPr>
                <w:rFonts w:hint="eastAsia"/>
                <w:highlight w:val="none"/>
                <w:lang w:val="en-US" w:eastAsia="zh-CN"/>
              </w:rPr>
              <w:t>0</w:t>
            </w:r>
          </w:p>
        </w:tc>
        <w:tc>
          <w:tcPr>
            <w:tcW w:w="1559" w:type="dxa"/>
            <w:noWrap/>
            <w:vAlign w:val="center"/>
          </w:tcPr>
          <w:p>
            <w:pPr>
              <w:pStyle w:val="30"/>
              <w:bidi w:val="0"/>
              <w:rPr>
                <w:rFonts w:hint="eastAsia"/>
                <w:highlight w:val="none"/>
              </w:rPr>
            </w:pPr>
            <w:r>
              <w:rPr>
                <w:rFonts w:hint="eastAsia"/>
                <w:highlight w:val="none"/>
                <w:lang w:val="en-US" w:eastAsia="zh-CN"/>
              </w:rPr>
              <w:t>1.9991t/a</w:t>
            </w:r>
          </w:p>
        </w:tc>
        <w:tc>
          <w:tcPr>
            <w:tcW w:w="1761" w:type="dxa"/>
            <w:noWrap/>
            <w:vAlign w:val="center"/>
          </w:tcPr>
          <w:p>
            <w:pPr>
              <w:pStyle w:val="30"/>
              <w:bidi w:val="0"/>
              <w:rPr>
                <w:rFonts w:hint="eastAsia"/>
                <w:highlight w:val="none"/>
              </w:rPr>
            </w:pPr>
            <w:r>
              <w:rPr>
                <w:rFonts w:hint="default"/>
                <w:highlight w:val="none"/>
                <w:lang w:val="en-US" w:eastAsia="zh-CN"/>
              </w:rPr>
              <w:t>0</w:t>
            </w:r>
          </w:p>
        </w:tc>
        <w:tc>
          <w:tcPr>
            <w:tcW w:w="1321" w:type="dxa"/>
            <w:noWrap/>
            <w:vAlign w:val="center"/>
          </w:tcPr>
          <w:p>
            <w:pPr>
              <w:pStyle w:val="30"/>
              <w:bidi w:val="0"/>
              <w:rPr>
                <w:rFonts w:hint="eastAsia"/>
                <w:highlight w:val="none"/>
              </w:rPr>
            </w:pPr>
            <w:r>
              <w:rPr>
                <w:rFonts w:hint="eastAsia"/>
                <w:highlight w:val="none"/>
                <w:lang w:val="en-US" w:eastAsia="zh-CN"/>
              </w:rPr>
              <w:t>1.9991t/a</w:t>
            </w:r>
          </w:p>
        </w:tc>
        <w:tc>
          <w:tcPr>
            <w:tcW w:w="1464" w:type="dxa"/>
            <w:noWrap/>
            <w:vAlign w:val="center"/>
          </w:tcPr>
          <w:p>
            <w:pPr>
              <w:pStyle w:val="30"/>
              <w:bidi w:val="0"/>
              <w:rPr>
                <w:rFonts w:hint="eastAsia"/>
                <w:highlight w:val="none"/>
                <w:lang w:eastAsia="zh-CN"/>
              </w:rPr>
            </w:pPr>
            <w:r>
              <w:rPr>
                <w:rFonts w:hint="eastAsia"/>
                <w:highlight w:val="none"/>
                <w:lang w:val="en-US" w:eastAsia="zh-CN"/>
              </w:rPr>
              <w:t>+1.9991t/a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1" w:type="dxa"/>
            <w:vMerge w:val="continue"/>
            <w:noWrap/>
            <w:vAlign w:val="center"/>
          </w:tcPr>
          <w:p>
            <w:pPr>
              <w:pStyle w:val="30"/>
              <w:bidi w:val="0"/>
              <w:rPr>
                <w:rFonts w:hint="eastAsia"/>
                <w:highlight w:val="none"/>
              </w:rPr>
            </w:pPr>
          </w:p>
        </w:tc>
        <w:tc>
          <w:tcPr>
            <w:tcW w:w="2033" w:type="dxa"/>
            <w:noWrap/>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废模具</w:t>
            </w:r>
          </w:p>
        </w:tc>
        <w:tc>
          <w:tcPr>
            <w:tcW w:w="1534" w:type="dxa"/>
            <w:noWrap/>
            <w:vAlign w:val="center"/>
          </w:tcPr>
          <w:p>
            <w:pPr>
              <w:pStyle w:val="30"/>
              <w:bidi w:val="0"/>
              <w:rPr>
                <w:rFonts w:hint="eastAsia"/>
                <w:highlight w:val="none"/>
                <w:lang w:val="en-US" w:eastAsia="zh-CN"/>
              </w:rPr>
            </w:pPr>
            <w:r>
              <w:rPr>
                <w:rFonts w:hint="default"/>
                <w:highlight w:val="none"/>
                <w:lang w:val="en-US" w:eastAsia="zh-CN"/>
              </w:rPr>
              <w:t>0</w:t>
            </w:r>
          </w:p>
        </w:tc>
        <w:tc>
          <w:tcPr>
            <w:tcW w:w="1350"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rPr>
            </w:pPr>
            <w:r>
              <w:rPr>
                <w:rFonts w:hint="eastAsia"/>
                <w:highlight w:val="none"/>
                <w:lang w:val="en-US" w:eastAsia="zh-CN"/>
              </w:rPr>
              <w:t>0</w:t>
            </w:r>
          </w:p>
        </w:tc>
        <w:tc>
          <w:tcPr>
            <w:tcW w:w="1559" w:type="dxa"/>
            <w:noWrap/>
            <w:vAlign w:val="center"/>
          </w:tcPr>
          <w:p>
            <w:pPr>
              <w:pStyle w:val="30"/>
              <w:bidi w:val="0"/>
              <w:rPr>
                <w:rFonts w:hint="eastAsia"/>
                <w:highlight w:val="none"/>
                <w:lang w:val="en-US" w:eastAsia="zh-CN"/>
              </w:rPr>
            </w:pPr>
            <w:r>
              <w:rPr>
                <w:rFonts w:hint="eastAsia"/>
                <w:highlight w:val="none"/>
                <w:lang w:val="en-US" w:eastAsia="zh-CN"/>
              </w:rPr>
              <w:t>0.04t/a</w:t>
            </w:r>
          </w:p>
        </w:tc>
        <w:tc>
          <w:tcPr>
            <w:tcW w:w="1761" w:type="dxa"/>
            <w:noWrap/>
            <w:vAlign w:val="center"/>
          </w:tcPr>
          <w:p>
            <w:pPr>
              <w:pStyle w:val="30"/>
              <w:bidi w:val="0"/>
              <w:rPr>
                <w:rFonts w:hint="eastAsia"/>
                <w:highlight w:val="none"/>
              </w:rPr>
            </w:pPr>
            <w:r>
              <w:rPr>
                <w:rFonts w:hint="default"/>
                <w:highlight w:val="none"/>
                <w:lang w:val="en-US" w:eastAsia="zh-CN"/>
              </w:rPr>
              <w:t>0</w:t>
            </w:r>
          </w:p>
        </w:tc>
        <w:tc>
          <w:tcPr>
            <w:tcW w:w="1321" w:type="dxa"/>
            <w:noWrap/>
            <w:vAlign w:val="center"/>
          </w:tcPr>
          <w:p>
            <w:pPr>
              <w:pStyle w:val="30"/>
              <w:bidi w:val="0"/>
              <w:rPr>
                <w:rFonts w:hint="eastAsia"/>
                <w:highlight w:val="none"/>
                <w:lang w:val="en-US" w:eastAsia="zh-CN"/>
              </w:rPr>
            </w:pPr>
            <w:r>
              <w:rPr>
                <w:rFonts w:hint="eastAsia"/>
                <w:highlight w:val="none"/>
                <w:lang w:val="en-US" w:eastAsia="zh-CN"/>
              </w:rPr>
              <w:t>0.04t/a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1" w:type="dxa"/>
            <w:vMerge w:val="continue"/>
            <w:noWrap/>
            <w:vAlign w:val="center"/>
          </w:tcPr>
          <w:p>
            <w:pPr>
              <w:pStyle w:val="30"/>
              <w:bidi w:val="0"/>
              <w:rPr>
                <w:rFonts w:hint="eastAsia"/>
                <w:highlight w:val="none"/>
              </w:rPr>
            </w:pPr>
          </w:p>
        </w:tc>
        <w:tc>
          <w:tcPr>
            <w:tcW w:w="2033" w:type="dxa"/>
            <w:noWrap/>
            <w:vAlign w:val="top"/>
          </w:tcPr>
          <w:p>
            <w:pPr>
              <w:pStyle w:val="43"/>
              <w:bidi w:val="0"/>
              <w:rPr>
                <w:rFonts w:hint="eastAsia"/>
                <w:highlight w:val="none"/>
                <w:lang w:val="en-US" w:eastAsia="zh-CN"/>
              </w:rPr>
            </w:pPr>
            <w:r>
              <w:rPr>
                <w:rFonts w:hint="eastAsia" w:ascii="Times New Roman" w:hAnsi="Times New Roman" w:eastAsia="宋体" w:cs="Times New Roman"/>
                <w:sz w:val="21"/>
                <w:szCs w:val="21"/>
                <w:highlight w:val="none"/>
                <w:lang w:val="en-US" w:eastAsia="zh-CN"/>
              </w:rPr>
              <w:t>不合格产品</w:t>
            </w:r>
          </w:p>
        </w:tc>
        <w:tc>
          <w:tcPr>
            <w:tcW w:w="1534" w:type="dxa"/>
            <w:noWrap/>
            <w:vAlign w:val="center"/>
          </w:tcPr>
          <w:p>
            <w:pPr>
              <w:pStyle w:val="30"/>
              <w:bidi w:val="0"/>
              <w:rPr>
                <w:rFonts w:hint="eastAsia"/>
                <w:highlight w:val="none"/>
                <w:lang w:val="en-US" w:eastAsia="zh-CN"/>
              </w:rPr>
            </w:pPr>
            <w:r>
              <w:rPr>
                <w:rFonts w:hint="default"/>
                <w:highlight w:val="none"/>
                <w:lang w:val="en-US" w:eastAsia="zh-CN"/>
              </w:rPr>
              <w:t>0</w:t>
            </w:r>
          </w:p>
        </w:tc>
        <w:tc>
          <w:tcPr>
            <w:tcW w:w="1350" w:type="dxa"/>
            <w:noWrap/>
            <w:vAlign w:val="center"/>
          </w:tcPr>
          <w:p>
            <w:pPr>
              <w:pStyle w:val="30"/>
              <w:bidi w:val="0"/>
              <w:rPr>
                <w:rFonts w:hint="eastAsia"/>
                <w:highlight w:val="none"/>
              </w:rPr>
            </w:pPr>
            <w:r>
              <w:rPr>
                <w:rFonts w:hint="eastAsia"/>
                <w:highlight w:val="none"/>
                <w:lang w:val="en-US" w:eastAsia="zh-CN"/>
              </w:rPr>
              <w:t>0</w:t>
            </w:r>
          </w:p>
        </w:tc>
        <w:tc>
          <w:tcPr>
            <w:tcW w:w="1475" w:type="dxa"/>
            <w:noWrap/>
            <w:vAlign w:val="center"/>
          </w:tcPr>
          <w:p>
            <w:pPr>
              <w:pStyle w:val="30"/>
              <w:bidi w:val="0"/>
              <w:rPr>
                <w:rFonts w:hint="eastAsia"/>
                <w:highlight w:val="none"/>
              </w:rPr>
            </w:pPr>
            <w:r>
              <w:rPr>
                <w:rFonts w:hint="eastAsia"/>
                <w:highlight w:val="none"/>
                <w:lang w:val="en-US" w:eastAsia="zh-CN"/>
              </w:rPr>
              <w:t>0</w:t>
            </w:r>
          </w:p>
        </w:tc>
        <w:tc>
          <w:tcPr>
            <w:tcW w:w="1559" w:type="dxa"/>
            <w:noWrap/>
            <w:vAlign w:val="center"/>
          </w:tcPr>
          <w:p>
            <w:pPr>
              <w:pStyle w:val="30"/>
              <w:bidi w:val="0"/>
              <w:rPr>
                <w:rFonts w:hint="eastAsia"/>
                <w:highlight w:val="none"/>
                <w:lang w:val="en-US" w:eastAsia="zh-CN"/>
              </w:rPr>
            </w:pPr>
            <w:r>
              <w:rPr>
                <w:rFonts w:hint="eastAsia"/>
                <w:highlight w:val="none"/>
                <w:lang w:val="en-US" w:eastAsia="zh-CN"/>
              </w:rPr>
              <w:t>1.2t/a</w:t>
            </w:r>
          </w:p>
        </w:tc>
        <w:tc>
          <w:tcPr>
            <w:tcW w:w="1761" w:type="dxa"/>
            <w:noWrap/>
            <w:vAlign w:val="center"/>
          </w:tcPr>
          <w:p>
            <w:pPr>
              <w:pStyle w:val="30"/>
              <w:bidi w:val="0"/>
              <w:rPr>
                <w:rFonts w:hint="eastAsia"/>
                <w:highlight w:val="none"/>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eastAsia"/>
                <w:highlight w:val="none"/>
                <w:lang w:val="en-US" w:eastAsia="zh-CN"/>
              </w:rPr>
              <w:t>1.2t/a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1" w:type="dxa"/>
            <w:vMerge w:val="continue"/>
            <w:noWrap/>
            <w:vAlign w:val="center"/>
          </w:tcPr>
          <w:p>
            <w:pPr>
              <w:pStyle w:val="30"/>
              <w:bidi w:val="0"/>
              <w:rPr>
                <w:rFonts w:hint="eastAsia"/>
                <w:highlight w:val="none"/>
              </w:rPr>
            </w:pPr>
          </w:p>
        </w:tc>
        <w:tc>
          <w:tcPr>
            <w:tcW w:w="2033" w:type="dxa"/>
            <w:noWrap/>
            <w:vAlign w:val="center"/>
          </w:tcPr>
          <w:p>
            <w:pPr>
              <w:pStyle w:val="30"/>
              <w:bidi w:val="0"/>
              <w:rPr>
                <w:rFonts w:hint="eastAsia"/>
                <w:highlight w:val="none"/>
                <w:lang w:val="en-US" w:eastAsia="zh-CN"/>
              </w:rPr>
            </w:pPr>
            <w:r>
              <w:rPr>
                <w:rFonts w:hint="eastAsia"/>
                <w:highlight w:val="none"/>
                <w:lang w:val="en-US" w:eastAsia="zh-CN"/>
              </w:rPr>
              <w:t>废包装桶</w:t>
            </w:r>
          </w:p>
        </w:tc>
        <w:tc>
          <w:tcPr>
            <w:tcW w:w="1534"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559" w:type="dxa"/>
            <w:noWrap/>
            <w:vAlign w:val="center"/>
          </w:tcPr>
          <w:p>
            <w:pPr>
              <w:pStyle w:val="30"/>
              <w:bidi w:val="0"/>
              <w:rPr>
                <w:rFonts w:hint="eastAsia"/>
                <w:highlight w:val="none"/>
                <w:lang w:val="en-US" w:eastAsia="zh-CN"/>
              </w:rPr>
            </w:pPr>
            <w:r>
              <w:rPr>
                <w:rFonts w:hint="default"/>
                <w:highlight w:val="none"/>
                <w:lang w:val="en-US" w:eastAsia="zh-CN"/>
              </w:rPr>
              <w:t>800个/a</w:t>
            </w:r>
          </w:p>
        </w:tc>
        <w:tc>
          <w:tcPr>
            <w:tcW w:w="1761"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default"/>
                <w:highlight w:val="none"/>
                <w:lang w:val="en-US" w:eastAsia="zh-CN"/>
              </w:rPr>
              <w:t>800个/a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w:t>
            </w:r>
            <w:r>
              <w:rPr>
                <w:rFonts w:hint="default"/>
                <w:highlight w:val="none"/>
                <w:lang w:val="en-US" w:eastAsia="zh-CN"/>
              </w:rPr>
              <w:t>800个/a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91" w:type="dxa"/>
            <w:vMerge w:val="continue"/>
            <w:noWrap/>
            <w:vAlign w:val="center"/>
          </w:tcPr>
          <w:p>
            <w:pPr>
              <w:pStyle w:val="30"/>
              <w:bidi w:val="0"/>
              <w:rPr>
                <w:rFonts w:hint="eastAsia"/>
                <w:highlight w:val="none"/>
                <w:lang w:val="en-US" w:eastAsia="zh-CN"/>
              </w:rPr>
            </w:pPr>
          </w:p>
        </w:tc>
        <w:tc>
          <w:tcPr>
            <w:tcW w:w="2033" w:type="dxa"/>
            <w:noWrap/>
            <w:vAlign w:val="center"/>
          </w:tcPr>
          <w:p>
            <w:pPr>
              <w:pStyle w:val="30"/>
              <w:bidi w:val="0"/>
              <w:rPr>
                <w:rFonts w:hint="eastAsia"/>
                <w:highlight w:val="none"/>
                <w:lang w:val="en-US" w:eastAsia="zh-CN"/>
              </w:rPr>
            </w:pPr>
            <w:r>
              <w:rPr>
                <w:rFonts w:hint="eastAsia"/>
                <w:highlight w:val="none"/>
                <w:lang w:val="en-US" w:eastAsia="zh-CN"/>
              </w:rPr>
              <w:t>生活垃圾</w:t>
            </w:r>
          </w:p>
        </w:tc>
        <w:tc>
          <w:tcPr>
            <w:tcW w:w="1534"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50"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475"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559" w:type="dxa"/>
            <w:noWrap/>
            <w:vAlign w:val="center"/>
          </w:tcPr>
          <w:p>
            <w:pPr>
              <w:pStyle w:val="30"/>
              <w:bidi w:val="0"/>
              <w:rPr>
                <w:rFonts w:hint="eastAsia"/>
                <w:highlight w:val="none"/>
                <w:lang w:val="en-US" w:eastAsia="zh-CN"/>
              </w:rPr>
            </w:pPr>
            <w:r>
              <w:rPr>
                <w:rFonts w:hint="eastAsia"/>
                <w:highlight w:val="none"/>
                <w:lang w:val="en-US" w:eastAsia="zh-CN"/>
              </w:rPr>
              <w:t>3.15t/a</w:t>
            </w:r>
          </w:p>
        </w:tc>
        <w:tc>
          <w:tcPr>
            <w:tcW w:w="1761" w:type="dxa"/>
            <w:noWrap/>
            <w:vAlign w:val="center"/>
          </w:tcPr>
          <w:p>
            <w:pPr>
              <w:pStyle w:val="30"/>
              <w:bidi w:val="0"/>
              <w:rPr>
                <w:rFonts w:hint="eastAsia"/>
                <w:highlight w:val="none"/>
                <w:lang w:val="en-US" w:eastAsia="zh-CN"/>
              </w:rPr>
            </w:pPr>
            <w:r>
              <w:rPr>
                <w:rFonts w:hint="eastAsia"/>
                <w:highlight w:val="none"/>
                <w:lang w:val="en-US" w:eastAsia="zh-CN"/>
              </w:rPr>
              <w:t>0</w:t>
            </w:r>
          </w:p>
        </w:tc>
        <w:tc>
          <w:tcPr>
            <w:tcW w:w="1321" w:type="dxa"/>
            <w:noWrap/>
            <w:vAlign w:val="center"/>
          </w:tcPr>
          <w:p>
            <w:pPr>
              <w:pStyle w:val="30"/>
              <w:bidi w:val="0"/>
              <w:rPr>
                <w:rFonts w:hint="eastAsia"/>
                <w:highlight w:val="none"/>
                <w:lang w:val="en-US" w:eastAsia="zh-CN"/>
              </w:rPr>
            </w:pPr>
            <w:r>
              <w:rPr>
                <w:rFonts w:hint="eastAsia"/>
                <w:highlight w:val="none"/>
                <w:lang w:val="en-US" w:eastAsia="zh-CN"/>
              </w:rPr>
              <w:t>3.15t/a</w:t>
            </w:r>
          </w:p>
        </w:tc>
        <w:tc>
          <w:tcPr>
            <w:tcW w:w="1464" w:type="dxa"/>
            <w:noWrap/>
            <w:vAlign w:val="center"/>
          </w:tcPr>
          <w:p>
            <w:pPr>
              <w:pStyle w:val="30"/>
              <w:bidi w:val="0"/>
              <w:rPr>
                <w:rFonts w:hint="eastAsia"/>
                <w:highlight w:val="none"/>
                <w:lang w:val="en-US" w:eastAsia="zh-CN"/>
              </w:rPr>
            </w:pPr>
            <w:r>
              <w:rPr>
                <w:rFonts w:hint="eastAsia"/>
                <w:highlight w:val="none"/>
                <w:lang w:val="en-US" w:eastAsia="zh-CN"/>
              </w:rPr>
              <w:t>+3.15t/a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91" w:type="dxa"/>
            <w:vMerge w:val="restart"/>
            <w:noWrap/>
            <w:vAlign w:val="center"/>
          </w:tcPr>
          <w:p>
            <w:pPr>
              <w:pStyle w:val="30"/>
              <w:bidi w:val="0"/>
              <w:rPr>
                <w:rFonts w:hint="eastAsia"/>
                <w:highlight w:val="none"/>
                <w:lang w:val="en-US" w:eastAsia="zh-CN"/>
              </w:rPr>
            </w:pPr>
            <w:r>
              <w:rPr>
                <w:rFonts w:hint="eastAsia"/>
                <w:highlight w:val="none"/>
                <w:lang w:val="en-US" w:eastAsia="zh-CN"/>
              </w:rPr>
              <w:t>危险废物</w:t>
            </w:r>
          </w:p>
        </w:tc>
        <w:tc>
          <w:tcPr>
            <w:tcW w:w="2033" w:type="dxa"/>
            <w:noWrap/>
            <w:vAlign w:val="center"/>
          </w:tcPr>
          <w:p>
            <w:pPr>
              <w:pStyle w:val="30"/>
              <w:bidi w:val="0"/>
              <w:rPr>
                <w:rFonts w:hint="default"/>
                <w:highlight w:val="none"/>
                <w:lang w:val="en-US" w:eastAsia="zh-CN"/>
              </w:rPr>
            </w:pPr>
            <w:r>
              <w:rPr>
                <w:rFonts w:hint="eastAsia"/>
                <w:highlight w:val="none"/>
                <w:lang w:val="en-US" w:eastAsia="zh-CN"/>
              </w:rPr>
              <w:t>废液压油</w:t>
            </w:r>
          </w:p>
        </w:tc>
        <w:tc>
          <w:tcPr>
            <w:tcW w:w="1534"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559" w:type="dxa"/>
            <w:noWrap/>
            <w:vAlign w:val="center"/>
          </w:tcPr>
          <w:p>
            <w:pPr>
              <w:pStyle w:val="30"/>
              <w:bidi w:val="0"/>
              <w:rPr>
                <w:rFonts w:hint="default"/>
                <w:highlight w:val="none"/>
                <w:lang w:val="en-US" w:eastAsia="zh-CN"/>
              </w:rPr>
            </w:pPr>
            <w:r>
              <w:rPr>
                <w:rFonts w:hint="eastAsia"/>
                <w:highlight w:val="none"/>
                <w:lang w:val="en-US" w:eastAsia="zh-CN"/>
              </w:rPr>
              <w:t>0.5t/3a</w:t>
            </w:r>
          </w:p>
        </w:tc>
        <w:tc>
          <w:tcPr>
            <w:tcW w:w="1761"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21" w:type="dxa"/>
            <w:noWrap/>
            <w:vAlign w:val="center"/>
          </w:tcPr>
          <w:p>
            <w:pPr>
              <w:pStyle w:val="30"/>
              <w:bidi w:val="0"/>
              <w:rPr>
                <w:rFonts w:hint="default"/>
                <w:highlight w:val="none"/>
                <w:lang w:val="en-US" w:eastAsia="zh-CN"/>
              </w:rPr>
            </w:pPr>
            <w:r>
              <w:rPr>
                <w:rFonts w:hint="eastAsia"/>
                <w:highlight w:val="none"/>
                <w:lang w:val="en-US" w:eastAsia="zh-CN"/>
              </w:rPr>
              <w:t>0.5t/3a</w:t>
            </w:r>
          </w:p>
        </w:tc>
        <w:tc>
          <w:tcPr>
            <w:tcW w:w="1464" w:type="dxa"/>
            <w:noWrap/>
            <w:vAlign w:val="center"/>
          </w:tcPr>
          <w:p>
            <w:pPr>
              <w:pStyle w:val="30"/>
              <w:bidi w:val="0"/>
              <w:rPr>
                <w:rFonts w:hint="default"/>
                <w:highlight w:val="none"/>
                <w:lang w:val="en-US" w:eastAsia="zh-CN"/>
              </w:rPr>
            </w:pPr>
            <w:r>
              <w:rPr>
                <w:rFonts w:hint="eastAsia"/>
                <w:highlight w:val="none"/>
                <w:lang w:val="en-US" w:eastAsia="zh-CN"/>
              </w:rPr>
              <w:t>+0.5t/3a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91" w:type="dxa"/>
            <w:vMerge w:val="continue"/>
            <w:noWrap/>
            <w:vAlign w:val="center"/>
          </w:tcPr>
          <w:p>
            <w:pPr>
              <w:pStyle w:val="30"/>
              <w:bidi w:val="0"/>
              <w:rPr>
                <w:rFonts w:hint="eastAsia"/>
                <w:highlight w:val="none"/>
                <w:lang w:val="en-US" w:eastAsia="zh-CN"/>
              </w:rPr>
            </w:pPr>
          </w:p>
        </w:tc>
        <w:tc>
          <w:tcPr>
            <w:tcW w:w="2033" w:type="dxa"/>
            <w:noWrap/>
            <w:vAlign w:val="center"/>
          </w:tcPr>
          <w:p>
            <w:pPr>
              <w:pStyle w:val="30"/>
              <w:bidi w:val="0"/>
              <w:rPr>
                <w:rFonts w:hint="default"/>
                <w:highlight w:val="none"/>
                <w:lang w:val="en-US" w:eastAsia="zh-CN"/>
              </w:rPr>
            </w:pPr>
            <w:r>
              <w:rPr>
                <w:rFonts w:hint="default"/>
                <w:highlight w:val="none"/>
                <w:lang w:val="en-US" w:eastAsia="zh-CN"/>
              </w:rPr>
              <w:t>废含油抹布及手套</w:t>
            </w:r>
          </w:p>
        </w:tc>
        <w:tc>
          <w:tcPr>
            <w:tcW w:w="1534"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50"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475"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559" w:type="dxa"/>
            <w:noWrap/>
            <w:vAlign w:val="center"/>
          </w:tcPr>
          <w:p>
            <w:pPr>
              <w:pStyle w:val="30"/>
              <w:bidi w:val="0"/>
              <w:rPr>
                <w:rFonts w:hint="default"/>
                <w:highlight w:val="none"/>
                <w:lang w:val="en-US" w:eastAsia="zh-CN"/>
              </w:rPr>
            </w:pPr>
            <w:r>
              <w:rPr>
                <w:rFonts w:hint="eastAsia"/>
                <w:highlight w:val="none"/>
                <w:lang w:val="en-US" w:eastAsia="zh-CN"/>
              </w:rPr>
              <w:t>0.06t/a</w:t>
            </w:r>
          </w:p>
        </w:tc>
        <w:tc>
          <w:tcPr>
            <w:tcW w:w="1761" w:type="dxa"/>
            <w:noWrap/>
            <w:vAlign w:val="center"/>
          </w:tcPr>
          <w:p>
            <w:pPr>
              <w:pStyle w:val="30"/>
              <w:bidi w:val="0"/>
              <w:rPr>
                <w:rFonts w:hint="default"/>
                <w:highlight w:val="none"/>
                <w:lang w:val="en-US" w:eastAsia="zh-CN"/>
              </w:rPr>
            </w:pPr>
            <w:r>
              <w:rPr>
                <w:rFonts w:hint="eastAsia"/>
                <w:highlight w:val="none"/>
                <w:lang w:val="en-US" w:eastAsia="zh-CN"/>
              </w:rPr>
              <w:t>0</w:t>
            </w:r>
          </w:p>
        </w:tc>
        <w:tc>
          <w:tcPr>
            <w:tcW w:w="1321" w:type="dxa"/>
            <w:noWrap/>
            <w:vAlign w:val="center"/>
          </w:tcPr>
          <w:p>
            <w:pPr>
              <w:pStyle w:val="30"/>
              <w:bidi w:val="0"/>
              <w:rPr>
                <w:rFonts w:hint="default"/>
                <w:highlight w:val="none"/>
                <w:lang w:val="en-US" w:eastAsia="zh-CN"/>
              </w:rPr>
            </w:pPr>
            <w:r>
              <w:rPr>
                <w:rFonts w:hint="eastAsia"/>
                <w:highlight w:val="none"/>
                <w:lang w:val="en-US" w:eastAsia="zh-CN"/>
              </w:rPr>
              <w:t>0.06t/a</w:t>
            </w:r>
          </w:p>
        </w:tc>
        <w:tc>
          <w:tcPr>
            <w:tcW w:w="1464" w:type="dxa"/>
            <w:noWrap/>
            <w:vAlign w:val="center"/>
          </w:tcPr>
          <w:p>
            <w:pPr>
              <w:pStyle w:val="30"/>
              <w:bidi w:val="0"/>
              <w:rPr>
                <w:rFonts w:hint="default"/>
                <w:highlight w:val="none"/>
                <w:lang w:val="en-US" w:eastAsia="zh-CN"/>
              </w:rPr>
            </w:pPr>
            <w:r>
              <w:rPr>
                <w:rFonts w:hint="eastAsia"/>
                <w:highlight w:val="none"/>
                <w:lang w:val="en-US" w:eastAsia="zh-CN"/>
              </w:rPr>
              <w:t>+0.06t/a</w:t>
            </w:r>
          </w:p>
        </w:tc>
      </w:tr>
    </w:tbl>
    <w:p>
      <w:pPr>
        <w:pStyle w:val="43"/>
        <w:spacing w:beforeLines="80" w:after="24"/>
        <w:jc w:val="left"/>
        <w:rPr>
          <w:highlight w:val="none"/>
        </w:rPr>
      </w:pPr>
      <w:r>
        <w:rPr>
          <w:rFonts w:hint="eastAsia" w:ascii="宋体" w:hAnsi="宋体" w:eastAsia="宋体" w:cs="宋体"/>
          <w:snapToGrid w:val="0"/>
          <w:color w:val="auto"/>
          <w:kern w:val="21"/>
          <w:szCs w:val="21"/>
          <w:highlight w:val="none"/>
        </w:rPr>
        <w:t>注：</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6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⑥</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1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3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③</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4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④</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5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⑤</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7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⑦</w:t>
      </w:r>
      <w:r>
        <w:rPr>
          <w:rFonts w:hint="eastAsia" w:ascii="宋体" w:hAnsi="宋体" w:eastAsia="宋体" w:cs="宋体"/>
          <w:snapToGrid w:val="0"/>
          <w:color w:val="auto"/>
          <w:spacing w:val="-6"/>
          <w:kern w:val="21"/>
          <w:szCs w:val="21"/>
          <w:highlight w:val="none"/>
        </w:rPr>
        <w:fldChar w:fldCharType="end"/>
      </w:r>
      <w:r>
        <w:rPr>
          <w:rFonts w:hint="eastAsia" w:ascii="宋体" w:hAnsi="宋体" w:eastAsia="宋体" w:cs="宋体"/>
          <w:snapToGrid w:val="0"/>
          <w:color w:val="auto"/>
          <w:spacing w:val="-6"/>
          <w:kern w:val="21"/>
          <w:szCs w:val="21"/>
          <w:highlight w:val="none"/>
        </w:rPr>
        <w:t>=</w:t>
      </w:r>
      <w:r>
        <w:rPr>
          <w:rFonts w:hint="eastAsia" w:ascii="宋体" w:hAnsi="宋体" w:eastAsia="宋体" w:cs="宋体"/>
          <w:snapToGrid w:val="0"/>
          <w:color w:val="auto"/>
          <w:spacing w:val="-16"/>
          <w:kern w:val="21"/>
          <w:szCs w:val="21"/>
          <w:highlight w:val="none"/>
        </w:rPr>
        <w:fldChar w:fldCharType="begin"/>
      </w:r>
      <w:r>
        <w:rPr>
          <w:rFonts w:hint="eastAsia" w:ascii="宋体" w:hAnsi="宋体" w:eastAsia="宋体" w:cs="宋体"/>
          <w:snapToGrid w:val="0"/>
          <w:color w:val="auto"/>
          <w:spacing w:val="-16"/>
          <w:kern w:val="21"/>
          <w:szCs w:val="21"/>
          <w:highlight w:val="none"/>
        </w:rPr>
        <w:instrText xml:space="preserve"> = 6 \* GB3 \* MERGEFORMAT </w:instrText>
      </w:r>
      <w:r>
        <w:rPr>
          <w:rFonts w:hint="eastAsia" w:ascii="宋体" w:hAnsi="宋体" w:eastAsia="宋体" w:cs="宋体"/>
          <w:snapToGrid w:val="0"/>
          <w:color w:val="auto"/>
          <w:spacing w:val="-16"/>
          <w:kern w:val="21"/>
          <w:szCs w:val="21"/>
          <w:highlight w:val="none"/>
        </w:rPr>
        <w:fldChar w:fldCharType="separate"/>
      </w:r>
      <w:r>
        <w:rPr>
          <w:rFonts w:hint="eastAsia" w:ascii="宋体" w:hAnsi="宋体" w:eastAsia="宋体" w:cs="宋体"/>
          <w:color w:val="auto"/>
          <w:szCs w:val="21"/>
          <w:highlight w:val="none"/>
        </w:rPr>
        <w:t>⑥</w:t>
      </w:r>
      <w:r>
        <w:rPr>
          <w:rFonts w:hint="eastAsia" w:ascii="宋体" w:hAnsi="宋体" w:eastAsia="宋体" w:cs="宋体"/>
          <w:snapToGrid w:val="0"/>
          <w:color w:val="auto"/>
          <w:spacing w:val="-16"/>
          <w:kern w:val="21"/>
          <w:szCs w:val="21"/>
          <w:highlight w:val="none"/>
        </w:rPr>
        <w:fldChar w:fldCharType="end"/>
      </w:r>
      <w:r>
        <w:rPr>
          <w:rFonts w:hint="eastAsia" w:ascii="宋体" w:hAnsi="宋体" w:eastAsia="宋体" w:cs="宋体"/>
          <w:snapToGrid w:val="0"/>
          <w:color w:val="auto"/>
          <w:spacing w:val="-16"/>
          <w:kern w:val="21"/>
          <w:szCs w:val="21"/>
          <w:highlight w:val="none"/>
        </w:rPr>
        <w:t>-</w:t>
      </w:r>
      <w:r>
        <w:rPr>
          <w:rFonts w:hint="eastAsia" w:ascii="宋体" w:hAnsi="宋体" w:eastAsia="宋体" w:cs="宋体"/>
          <w:snapToGrid w:val="0"/>
          <w:color w:val="auto"/>
          <w:spacing w:val="-6"/>
          <w:kern w:val="21"/>
          <w:szCs w:val="21"/>
          <w:highlight w:val="none"/>
        </w:rPr>
        <w:fldChar w:fldCharType="begin"/>
      </w:r>
      <w:r>
        <w:rPr>
          <w:rFonts w:hint="eastAsia" w:ascii="宋体" w:hAnsi="宋体" w:eastAsia="宋体" w:cs="宋体"/>
          <w:snapToGrid w:val="0"/>
          <w:color w:val="auto"/>
          <w:spacing w:val="-6"/>
          <w:kern w:val="21"/>
          <w:szCs w:val="21"/>
          <w:highlight w:val="none"/>
        </w:rPr>
        <w:instrText xml:space="preserve"> = 1 \* GB3 \* MERGEFORMAT </w:instrText>
      </w:r>
      <w:r>
        <w:rPr>
          <w:rFonts w:hint="eastAsia" w:ascii="宋体" w:hAnsi="宋体" w:eastAsia="宋体" w:cs="宋体"/>
          <w:snapToGrid w:val="0"/>
          <w:color w:val="auto"/>
          <w:spacing w:val="-6"/>
          <w:kern w:val="21"/>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snapToGrid w:val="0"/>
          <w:color w:val="auto"/>
          <w:spacing w:val="-6"/>
          <w:kern w:val="21"/>
          <w:szCs w:val="21"/>
          <w:highlight w:val="none"/>
        </w:rPr>
        <w:fldChar w:fldCharType="end"/>
      </w:r>
    </w:p>
    <w:sectPr>
      <w:headerReference r:id="rId9" w:type="default"/>
      <w:footerReference r:id="rId10"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4FA955D-1F24-4B17-B869-53E20FAECE70}"/>
  </w:font>
  <w:font w:name="黑体">
    <w:panose1 w:val="02010609060101010101"/>
    <w:charset w:val="86"/>
    <w:family w:val="auto"/>
    <w:pitch w:val="default"/>
    <w:sig w:usb0="800002BF" w:usb1="38CF7CFA" w:usb2="00000016" w:usb3="00000000" w:csb0="00040001" w:csb1="00000000"/>
    <w:embedRegular r:id="rId2" w:fontKey="{37625497-4575-4329-A9C5-58D1C5E8CBB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3" w:fontKey="{4BCBADB1-7959-4844-9CBF-2F2304422BE2}"/>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26FAFB48-E48F-4647-838B-C74BB07C87BD}"/>
  </w:font>
  <w:font w:name="新宋体">
    <w:panose1 w:val="02010609030101010101"/>
    <w:charset w:val="86"/>
    <w:family w:val="auto"/>
    <w:pitch w:val="default"/>
    <w:sig w:usb0="00000003" w:usb1="288F0000" w:usb2="00000006" w:usb3="00000000" w:csb0="00040001" w:csb1="00000000"/>
    <w:embedRegular r:id="rId5" w:fontKey="{C8B6D3FB-5F49-46C6-AC93-F689DE15D6BF}"/>
  </w:font>
  <w:font w:name="仿宋_GB2312">
    <w:panose1 w:val="02010609030101010101"/>
    <w:charset w:val="86"/>
    <w:family w:val="modern"/>
    <w:pitch w:val="default"/>
    <w:sig w:usb0="00000001" w:usb1="080E0000" w:usb2="00000000" w:usb3="00000000" w:csb0="00040000" w:csb1="00000000"/>
    <w:embedRegular r:id="rId6" w:fontKey="{AE416CFE-8271-4E39-83E7-F17879E871F2}"/>
  </w:font>
  <w:font w:name="楷体_GB2312">
    <w:panose1 w:val="02010609030101010101"/>
    <w:charset w:val="86"/>
    <w:family w:val="modern"/>
    <w:pitch w:val="default"/>
    <w:sig w:usb0="00000001" w:usb1="080E0000" w:usb2="00000000" w:usb3="00000000" w:csb0="00040000" w:csb1="00000000"/>
    <w:embedRegular r:id="rId7" w:fontKey="{04828BD8-7054-4B86-8F87-A30B667B8D34}"/>
  </w:font>
  <w:font w:name="Wingdings 2">
    <w:panose1 w:val="05020102010507070707"/>
    <w:charset w:val="02"/>
    <w:family w:val="roman"/>
    <w:pitch w:val="default"/>
    <w:sig w:usb0="00000000" w:usb1="00000000" w:usb2="00000000" w:usb3="00000000" w:csb0="80000000" w:csb1="00000000"/>
    <w:embedRegular r:id="rId8" w:fontKey="{62286F65-FD78-4590-8435-5D30C0525105}"/>
  </w:font>
  <w:font w:name="TimesNewRomanPSMT">
    <w:altName w:val="Times New Roman"/>
    <w:panose1 w:val="00000000000000000000"/>
    <w:charset w:val="00"/>
    <w:family w:val="auto"/>
    <w:pitch w:val="default"/>
    <w:sig w:usb0="00000000" w:usb1="00000000" w:usb2="00000000" w:usb3="00000000" w:csb0="00040001" w:csb1="00000000"/>
    <w:embedRegular r:id="rId9" w:fontKey="{5482DEB6-F39C-435A-A3B7-7E66B6B5E3F4}"/>
  </w:font>
  <w:font w:name="PingFang-SC-Regular">
    <w:altName w:val="Segoe Print"/>
    <w:panose1 w:val="00000000000000000000"/>
    <w:charset w:val="00"/>
    <w:family w:val="auto"/>
    <w:pitch w:val="default"/>
    <w:sig w:usb0="00000000" w:usb1="00000000" w:usb2="00000000" w:usb3="00000000" w:csb0="00000000" w:csb1="00000000"/>
    <w:embedRegular r:id="rId10" w:fontKey="{0B8A8AC6-5EA9-4EC6-8DAF-F23D49906676}"/>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embedRegular r:id="rId11" w:fontKey="{C80F29F3-8D3D-4BD1-AAAC-8DF28995D6C3}"/>
  </w:font>
  <w:font w:name="Cambria Math">
    <w:panose1 w:val="02040503050406030204"/>
    <w:charset w:val="00"/>
    <w:family w:val="auto"/>
    <w:pitch w:val="default"/>
    <w:sig w:usb0="E00002FF" w:usb1="420024FF" w:usb2="00000000" w:usb3="00000000" w:csb0="2000019F" w:csb1="00000000"/>
    <w:embedRegular r:id="rId12" w:fontKey="{273030EC-09A8-43DA-83FE-707807033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9</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uL1T/OAQAAqQMAAA4AAAAAAAAAAQAgAAAAHgEAAGRycy9l&#10;Mm9Eb2MueG1sUEsFBgAAAAAGAAYAWQEAAF4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11</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A5A538"/>
    <w:multiLevelType w:val="singleLevel"/>
    <w:tmpl w:val="53A5A538"/>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760F"/>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0B57"/>
    <w:rsid w:val="00494670"/>
    <w:rsid w:val="004A3823"/>
    <w:rsid w:val="004D76F6"/>
    <w:rsid w:val="004E2611"/>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5667E"/>
    <w:rsid w:val="0056106A"/>
    <w:rsid w:val="005720AE"/>
    <w:rsid w:val="0058779C"/>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48B9"/>
    <w:rsid w:val="008E5D6B"/>
    <w:rsid w:val="008E76F0"/>
    <w:rsid w:val="008F15FE"/>
    <w:rsid w:val="008F2D29"/>
    <w:rsid w:val="008F5187"/>
    <w:rsid w:val="008F60D8"/>
    <w:rsid w:val="00902727"/>
    <w:rsid w:val="0090312B"/>
    <w:rsid w:val="0091736D"/>
    <w:rsid w:val="0093037A"/>
    <w:rsid w:val="0094154D"/>
    <w:rsid w:val="009444C8"/>
    <w:rsid w:val="0095155F"/>
    <w:rsid w:val="00954429"/>
    <w:rsid w:val="009563CE"/>
    <w:rsid w:val="00976328"/>
    <w:rsid w:val="0097680D"/>
    <w:rsid w:val="00982438"/>
    <w:rsid w:val="0098404C"/>
    <w:rsid w:val="00985283"/>
    <w:rsid w:val="00995992"/>
    <w:rsid w:val="00997D30"/>
    <w:rsid w:val="009A03E5"/>
    <w:rsid w:val="009A0F3B"/>
    <w:rsid w:val="009A1BB4"/>
    <w:rsid w:val="009A2628"/>
    <w:rsid w:val="009A3200"/>
    <w:rsid w:val="009A5742"/>
    <w:rsid w:val="009B0897"/>
    <w:rsid w:val="009B7BD9"/>
    <w:rsid w:val="009C337D"/>
    <w:rsid w:val="009C7DD5"/>
    <w:rsid w:val="009E227D"/>
    <w:rsid w:val="009E5019"/>
    <w:rsid w:val="00A04F1B"/>
    <w:rsid w:val="00A0501B"/>
    <w:rsid w:val="00A14947"/>
    <w:rsid w:val="00A32A83"/>
    <w:rsid w:val="00A368DB"/>
    <w:rsid w:val="00A423AA"/>
    <w:rsid w:val="00A53EC6"/>
    <w:rsid w:val="00A55C0F"/>
    <w:rsid w:val="00A65FA9"/>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405"/>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0770D"/>
    <w:rsid w:val="00E2656A"/>
    <w:rsid w:val="00E412D0"/>
    <w:rsid w:val="00E56322"/>
    <w:rsid w:val="00E60982"/>
    <w:rsid w:val="00E62C62"/>
    <w:rsid w:val="00E654C1"/>
    <w:rsid w:val="00E65D97"/>
    <w:rsid w:val="00E72A5A"/>
    <w:rsid w:val="00E73354"/>
    <w:rsid w:val="00E86C76"/>
    <w:rsid w:val="00E9242D"/>
    <w:rsid w:val="00EB5255"/>
    <w:rsid w:val="00EB5C47"/>
    <w:rsid w:val="00ED0639"/>
    <w:rsid w:val="00EF4755"/>
    <w:rsid w:val="00EF7135"/>
    <w:rsid w:val="00F027DB"/>
    <w:rsid w:val="00F13979"/>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70DD5"/>
    <w:rsid w:val="01157B67"/>
    <w:rsid w:val="01206FBD"/>
    <w:rsid w:val="0123584C"/>
    <w:rsid w:val="01290F7E"/>
    <w:rsid w:val="0136732D"/>
    <w:rsid w:val="013B4DE0"/>
    <w:rsid w:val="01536131"/>
    <w:rsid w:val="015D1E09"/>
    <w:rsid w:val="016D6AC7"/>
    <w:rsid w:val="016F45ED"/>
    <w:rsid w:val="019B3634"/>
    <w:rsid w:val="019F5DB8"/>
    <w:rsid w:val="01AD2772"/>
    <w:rsid w:val="01AF00C7"/>
    <w:rsid w:val="01C963F3"/>
    <w:rsid w:val="01D54BFB"/>
    <w:rsid w:val="01D66CD3"/>
    <w:rsid w:val="01E11058"/>
    <w:rsid w:val="01ED0F02"/>
    <w:rsid w:val="0201252C"/>
    <w:rsid w:val="0209479C"/>
    <w:rsid w:val="02225B04"/>
    <w:rsid w:val="023575E5"/>
    <w:rsid w:val="023649FC"/>
    <w:rsid w:val="0245619D"/>
    <w:rsid w:val="024B505A"/>
    <w:rsid w:val="02624152"/>
    <w:rsid w:val="02681684"/>
    <w:rsid w:val="02697903"/>
    <w:rsid w:val="027139B1"/>
    <w:rsid w:val="027619AC"/>
    <w:rsid w:val="02B726F0"/>
    <w:rsid w:val="02DA4674"/>
    <w:rsid w:val="02DA6AC8"/>
    <w:rsid w:val="02F66AEC"/>
    <w:rsid w:val="02F96569"/>
    <w:rsid w:val="03150DFB"/>
    <w:rsid w:val="03206A49"/>
    <w:rsid w:val="035656A6"/>
    <w:rsid w:val="035E716E"/>
    <w:rsid w:val="036D4CFA"/>
    <w:rsid w:val="03716D43"/>
    <w:rsid w:val="037359DB"/>
    <w:rsid w:val="038E6A2A"/>
    <w:rsid w:val="0394749D"/>
    <w:rsid w:val="03D33559"/>
    <w:rsid w:val="03D51396"/>
    <w:rsid w:val="03DB1FE0"/>
    <w:rsid w:val="03DD1CE2"/>
    <w:rsid w:val="03EA7B21"/>
    <w:rsid w:val="03F92846"/>
    <w:rsid w:val="04000FD8"/>
    <w:rsid w:val="04025811"/>
    <w:rsid w:val="041237B1"/>
    <w:rsid w:val="04123AD1"/>
    <w:rsid w:val="041760A1"/>
    <w:rsid w:val="04225A1F"/>
    <w:rsid w:val="04335DA6"/>
    <w:rsid w:val="04673CA2"/>
    <w:rsid w:val="046B771A"/>
    <w:rsid w:val="046E6DDE"/>
    <w:rsid w:val="04965C97"/>
    <w:rsid w:val="04C86784"/>
    <w:rsid w:val="04CB2483"/>
    <w:rsid w:val="04DE2019"/>
    <w:rsid w:val="04E27045"/>
    <w:rsid w:val="04E71358"/>
    <w:rsid w:val="04E723E0"/>
    <w:rsid w:val="050F4AA0"/>
    <w:rsid w:val="053757DB"/>
    <w:rsid w:val="05453FE3"/>
    <w:rsid w:val="054D142B"/>
    <w:rsid w:val="055548F4"/>
    <w:rsid w:val="056A7B0A"/>
    <w:rsid w:val="056F67DE"/>
    <w:rsid w:val="05891074"/>
    <w:rsid w:val="058954CE"/>
    <w:rsid w:val="05B41169"/>
    <w:rsid w:val="05BA4024"/>
    <w:rsid w:val="05C0515E"/>
    <w:rsid w:val="05DE7F94"/>
    <w:rsid w:val="05E7509A"/>
    <w:rsid w:val="05F83EAE"/>
    <w:rsid w:val="060A6FDB"/>
    <w:rsid w:val="063B2B4D"/>
    <w:rsid w:val="063E7D85"/>
    <w:rsid w:val="06420522"/>
    <w:rsid w:val="06501742"/>
    <w:rsid w:val="06581AF2"/>
    <w:rsid w:val="065B5A88"/>
    <w:rsid w:val="06783F44"/>
    <w:rsid w:val="068648B3"/>
    <w:rsid w:val="068D7149"/>
    <w:rsid w:val="06CA68F3"/>
    <w:rsid w:val="06DF5D71"/>
    <w:rsid w:val="06E31D05"/>
    <w:rsid w:val="07004434"/>
    <w:rsid w:val="07021B26"/>
    <w:rsid w:val="07237CC7"/>
    <w:rsid w:val="07293586"/>
    <w:rsid w:val="07295285"/>
    <w:rsid w:val="073562D9"/>
    <w:rsid w:val="074327A4"/>
    <w:rsid w:val="075D7207"/>
    <w:rsid w:val="075F6D46"/>
    <w:rsid w:val="07636392"/>
    <w:rsid w:val="076745CB"/>
    <w:rsid w:val="07770C56"/>
    <w:rsid w:val="07A13424"/>
    <w:rsid w:val="07AE70CF"/>
    <w:rsid w:val="07C64070"/>
    <w:rsid w:val="07CD4764"/>
    <w:rsid w:val="080A6125"/>
    <w:rsid w:val="081A4E90"/>
    <w:rsid w:val="08273351"/>
    <w:rsid w:val="08381BDD"/>
    <w:rsid w:val="08412974"/>
    <w:rsid w:val="08471B07"/>
    <w:rsid w:val="085911E0"/>
    <w:rsid w:val="08611434"/>
    <w:rsid w:val="086E2EEA"/>
    <w:rsid w:val="08912907"/>
    <w:rsid w:val="089B6610"/>
    <w:rsid w:val="089D3FDB"/>
    <w:rsid w:val="089E64CD"/>
    <w:rsid w:val="08A35757"/>
    <w:rsid w:val="08A43F52"/>
    <w:rsid w:val="08A708AD"/>
    <w:rsid w:val="08AE661B"/>
    <w:rsid w:val="08BD0334"/>
    <w:rsid w:val="08D41BFF"/>
    <w:rsid w:val="08D66DA8"/>
    <w:rsid w:val="08DB2A8B"/>
    <w:rsid w:val="08DD6016"/>
    <w:rsid w:val="08E23F15"/>
    <w:rsid w:val="08E458C1"/>
    <w:rsid w:val="09016C60"/>
    <w:rsid w:val="090B5543"/>
    <w:rsid w:val="092217DD"/>
    <w:rsid w:val="0927742E"/>
    <w:rsid w:val="093A7294"/>
    <w:rsid w:val="0947221C"/>
    <w:rsid w:val="09474203"/>
    <w:rsid w:val="09497E1A"/>
    <w:rsid w:val="094F42BD"/>
    <w:rsid w:val="095219B9"/>
    <w:rsid w:val="09573AC5"/>
    <w:rsid w:val="095D095C"/>
    <w:rsid w:val="09811362"/>
    <w:rsid w:val="09AD6AAE"/>
    <w:rsid w:val="09DF42DA"/>
    <w:rsid w:val="09E57ED5"/>
    <w:rsid w:val="09EA5652"/>
    <w:rsid w:val="09EE72A4"/>
    <w:rsid w:val="09F1559C"/>
    <w:rsid w:val="09F4422A"/>
    <w:rsid w:val="0A053D41"/>
    <w:rsid w:val="0A181600"/>
    <w:rsid w:val="0A263993"/>
    <w:rsid w:val="0A2D3AC2"/>
    <w:rsid w:val="0A3E373D"/>
    <w:rsid w:val="0A3F4A26"/>
    <w:rsid w:val="0A417CBF"/>
    <w:rsid w:val="0A426D43"/>
    <w:rsid w:val="0A430D19"/>
    <w:rsid w:val="0A5B2DD0"/>
    <w:rsid w:val="0A786C09"/>
    <w:rsid w:val="0A7B694E"/>
    <w:rsid w:val="0A7B70E2"/>
    <w:rsid w:val="0A867D70"/>
    <w:rsid w:val="0A876B8A"/>
    <w:rsid w:val="0A894972"/>
    <w:rsid w:val="0A984BB5"/>
    <w:rsid w:val="0AA10AF7"/>
    <w:rsid w:val="0AA755DF"/>
    <w:rsid w:val="0AB26AC6"/>
    <w:rsid w:val="0AF50463"/>
    <w:rsid w:val="0B0E131B"/>
    <w:rsid w:val="0B120D44"/>
    <w:rsid w:val="0B154457"/>
    <w:rsid w:val="0B1A381C"/>
    <w:rsid w:val="0B1B4B9A"/>
    <w:rsid w:val="0B3A3EBE"/>
    <w:rsid w:val="0B3C6268"/>
    <w:rsid w:val="0B403C31"/>
    <w:rsid w:val="0B464611"/>
    <w:rsid w:val="0B4F3D8E"/>
    <w:rsid w:val="0B5030C8"/>
    <w:rsid w:val="0B744619"/>
    <w:rsid w:val="0B756CA4"/>
    <w:rsid w:val="0B852E44"/>
    <w:rsid w:val="0BA73BE9"/>
    <w:rsid w:val="0BB95E99"/>
    <w:rsid w:val="0BBE4AEF"/>
    <w:rsid w:val="0BD27BF6"/>
    <w:rsid w:val="0BD9060F"/>
    <w:rsid w:val="0BE40D58"/>
    <w:rsid w:val="0BF16C73"/>
    <w:rsid w:val="0BF26547"/>
    <w:rsid w:val="0BF40F20"/>
    <w:rsid w:val="0BFF7CE5"/>
    <w:rsid w:val="0C25691C"/>
    <w:rsid w:val="0C2B7704"/>
    <w:rsid w:val="0C3B3C7D"/>
    <w:rsid w:val="0C3B6F01"/>
    <w:rsid w:val="0C48260B"/>
    <w:rsid w:val="0C5B1E44"/>
    <w:rsid w:val="0C5E598A"/>
    <w:rsid w:val="0C79253B"/>
    <w:rsid w:val="0C8517E0"/>
    <w:rsid w:val="0C8F2C33"/>
    <w:rsid w:val="0C9A3D3C"/>
    <w:rsid w:val="0CAB2EAE"/>
    <w:rsid w:val="0CAC4948"/>
    <w:rsid w:val="0CB56910"/>
    <w:rsid w:val="0CBF0517"/>
    <w:rsid w:val="0CC4270B"/>
    <w:rsid w:val="0CD6206D"/>
    <w:rsid w:val="0CE007C7"/>
    <w:rsid w:val="0CE077BB"/>
    <w:rsid w:val="0CE92DF4"/>
    <w:rsid w:val="0CFF0F1B"/>
    <w:rsid w:val="0D0F5CBF"/>
    <w:rsid w:val="0D103128"/>
    <w:rsid w:val="0D1D2B78"/>
    <w:rsid w:val="0D4F3654"/>
    <w:rsid w:val="0D5D20E6"/>
    <w:rsid w:val="0D621C7D"/>
    <w:rsid w:val="0D887163"/>
    <w:rsid w:val="0DBC26D5"/>
    <w:rsid w:val="0DD979BE"/>
    <w:rsid w:val="0DF40F78"/>
    <w:rsid w:val="0E124C7E"/>
    <w:rsid w:val="0E541B40"/>
    <w:rsid w:val="0E5C05EF"/>
    <w:rsid w:val="0E70216F"/>
    <w:rsid w:val="0E707544"/>
    <w:rsid w:val="0E73034D"/>
    <w:rsid w:val="0E7B2823"/>
    <w:rsid w:val="0EB70D5C"/>
    <w:rsid w:val="0EE53056"/>
    <w:rsid w:val="0EF9275B"/>
    <w:rsid w:val="0EFB5712"/>
    <w:rsid w:val="0EFE7614"/>
    <w:rsid w:val="0F056591"/>
    <w:rsid w:val="0F13775A"/>
    <w:rsid w:val="0F5F45FE"/>
    <w:rsid w:val="0F7B2C92"/>
    <w:rsid w:val="0F8676D2"/>
    <w:rsid w:val="0F9345AA"/>
    <w:rsid w:val="0F9A112B"/>
    <w:rsid w:val="0FA4224E"/>
    <w:rsid w:val="0FBD4BA0"/>
    <w:rsid w:val="0FC35434"/>
    <w:rsid w:val="0FCF5678"/>
    <w:rsid w:val="0FE418AA"/>
    <w:rsid w:val="0FEF5382"/>
    <w:rsid w:val="0FFE4B77"/>
    <w:rsid w:val="10345671"/>
    <w:rsid w:val="103B4960"/>
    <w:rsid w:val="1043347E"/>
    <w:rsid w:val="105C015A"/>
    <w:rsid w:val="105D4C87"/>
    <w:rsid w:val="106D2F64"/>
    <w:rsid w:val="107049D6"/>
    <w:rsid w:val="10757746"/>
    <w:rsid w:val="107C2883"/>
    <w:rsid w:val="109B7BB5"/>
    <w:rsid w:val="10AC74DD"/>
    <w:rsid w:val="10B63710"/>
    <w:rsid w:val="10B97633"/>
    <w:rsid w:val="10BD1393"/>
    <w:rsid w:val="10C009C2"/>
    <w:rsid w:val="10C22467"/>
    <w:rsid w:val="10C918BB"/>
    <w:rsid w:val="10E11DAB"/>
    <w:rsid w:val="10F10820"/>
    <w:rsid w:val="1102547E"/>
    <w:rsid w:val="110E3B34"/>
    <w:rsid w:val="1113437A"/>
    <w:rsid w:val="111C2F7A"/>
    <w:rsid w:val="1131366D"/>
    <w:rsid w:val="11380EE7"/>
    <w:rsid w:val="115050FF"/>
    <w:rsid w:val="11531836"/>
    <w:rsid w:val="11546651"/>
    <w:rsid w:val="11665CA1"/>
    <w:rsid w:val="11965BC6"/>
    <w:rsid w:val="11AC7198"/>
    <w:rsid w:val="11CB7D3D"/>
    <w:rsid w:val="11DE18F6"/>
    <w:rsid w:val="11E30DBD"/>
    <w:rsid w:val="11F9512F"/>
    <w:rsid w:val="120633E6"/>
    <w:rsid w:val="12131DF4"/>
    <w:rsid w:val="12261ADC"/>
    <w:rsid w:val="12282F48"/>
    <w:rsid w:val="12636D65"/>
    <w:rsid w:val="1264760D"/>
    <w:rsid w:val="126614AA"/>
    <w:rsid w:val="12677142"/>
    <w:rsid w:val="12B66520"/>
    <w:rsid w:val="12BB5F2C"/>
    <w:rsid w:val="12CD1ABC"/>
    <w:rsid w:val="12DE5A77"/>
    <w:rsid w:val="12E56982"/>
    <w:rsid w:val="12E7492B"/>
    <w:rsid w:val="13210D3D"/>
    <w:rsid w:val="13665E1A"/>
    <w:rsid w:val="13696CAD"/>
    <w:rsid w:val="136A7AAF"/>
    <w:rsid w:val="13772782"/>
    <w:rsid w:val="13946135"/>
    <w:rsid w:val="13951726"/>
    <w:rsid w:val="1399374C"/>
    <w:rsid w:val="13C358D1"/>
    <w:rsid w:val="13FC4E78"/>
    <w:rsid w:val="14011A1D"/>
    <w:rsid w:val="141227EF"/>
    <w:rsid w:val="142733AE"/>
    <w:rsid w:val="14345E25"/>
    <w:rsid w:val="14396509"/>
    <w:rsid w:val="143D34A1"/>
    <w:rsid w:val="14553B17"/>
    <w:rsid w:val="14604602"/>
    <w:rsid w:val="14733F73"/>
    <w:rsid w:val="1476752B"/>
    <w:rsid w:val="14812331"/>
    <w:rsid w:val="148E3608"/>
    <w:rsid w:val="148F527B"/>
    <w:rsid w:val="14B0380B"/>
    <w:rsid w:val="14B12F00"/>
    <w:rsid w:val="14C227AD"/>
    <w:rsid w:val="14C8078D"/>
    <w:rsid w:val="14C86D41"/>
    <w:rsid w:val="14DD2C3C"/>
    <w:rsid w:val="14FC4308"/>
    <w:rsid w:val="14FF402E"/>
    <w:rsid w:val="15231AD6"/>
    <w:rsid w:val="15286307"/>
    <w:rsid w:val="15411BC4"/>
    <w:rsid w:val="154237BC"/>
    <w:rsid w:val="15436ADA"/>
    <w:rsid w:val="15470B4F"/>
    <w:rsid w:val="15646F08"/>
    <w:rsid w:val="15727625"/>
    <w:rsid w:val="15772134"/>
    <w:rsid w:val="15793835"/>
    <w:rsid w:val="157A5053"/>
    <w:rsid w:val="15885B06"/>
    <w:rsid w:val="15AF7257"/>
    <w:rsid w:val="15BE3826"/>
    <w:rsid w:val="15C55E94"/>
    <w:rsid w:val="15D41498"/>
    <w:rsid w:val="15E2587E"/>
    <w:rsid w:val="15F630D7"/>
    <w:rsid w:val="16087D92"/>
    <w:rsid w:val="16087E1D"/>
    <w:rsid w:val="160C1C12"/>
    <w:rsid w:val="161377E5"/>
    <w:rsid w:val="161713B7"/>
    <w:rsid w:val="161D20DA"/>
    <w:rsid w:val="165C118C"/>
    <w:rsid w:val="166E7690"/>
    <w:rsid w:val="16856C77"/>
    <w:rsid w:val="169B669B"/>
    <w:rsid w:val="16A36DBB"/>
    <w:rsid w:val="16AA61F6"/>
    <w:rsid w:val="16E26E25"/>
    <w:rsid w:val="16FA35FD"/>
    <w:rsid w:val="170177D2"/>
    <w:rsid w:val="17075B7B"/>
    <w:rsid w:val="17137836"/>
    <w:rsid w:val="17285FC0"/>
    <w:rsid w:val="172B41E9"/>
    <w:rsid w:val="172C5003"/>
    <w:rsid w:val="173F4400"/>
    <w:rsid w:val="174165D4"/>
    <w:rsid w:val="174C504E"/>
    <w:rsid w:val="17562080"/>
    <w:rsid w:val="175828CF"/>
    <w:rsid w:val="17701D14"/>
    <w:rsid w:val="17735226"/>
    <w:rsid w:val="17800EAB"/>
    <w:rsid w:val="17925EB3"/>
    <w:rsid w:val="17B048ED"/>
    <w:rsid w:val="17C84C12"/>
    <w:rsid w:val="17E256C1"/>
    <w:rsid w:val="17FB2C27"/>
    <w:rsid w:val="181B7800"/>
    <w:rsid w:val="18245888"/>
    <w:rsid w:val="1825166D"/>
    <w:rsid w:val="184D734F"/>
    <w:rsid w:val="18573127"/>
    <w:rsid w:val="18581E27"/>
    <w:rsid w:val="18700F1F"/>
    <w:rsid w:val="187160FA"/>
    <w:rsid w:val="18784275"/>
    <w:rsid w:val="1884083D"/>
    <w:rsid w:val="188E5FEF"/>
    <w:rsid w:val="189C1D14"/>
    <w:rsid w:val="189E3CDE"/>
    <w:rsid w:val="189F624C"/>
    <w:rsid w:val="18A14E3D"/>
    <w:rsid w:val="18AF38FD"/>
    <w:rsid w:val="18BA4890"/>
    <w:rsid w:val="18DA6CE0"/>
    <w:rsid w:val="18F02060"/>
    <w:rsid w:val="19466124"/>
    <w:rsid w:val="194F322A"/>
    <w:rsid w:val="196D1903"/>
    <w:rsid w:val="196F6B6E"/>
    <w:rsid w:val="197C1937"/>
    <w:rsid w:val="1990114D"/>
    <w:rsid w:val="19CF42BD"/>
    <w:rsid w:val="19D379B8"/>
    <w:rsid w:val="19D82769"/>
    <w:rsid w:val="1A0A0EFF"/>
    <w:rsid w:val="1A19347E"/>
    <w:rsid w:val="1A1C66C0"/>
    <w:rsid w:val="1A402B73"/>
    <w:rsid w:val="1A42393B"/>
    <w:rsid w:val="1A442580"/>
    <w:rsid w:val="1A5F56EF"/>
    <w:rsid w:val="1A706507"/>
    <w:rsid w:val="1A840CB2"/>
    <w:rsid w:val="1A845156"/>
    <w:rsid w:val="1A932CB0"/>
    <w:rsid w:val="1A9A6727"/>
    <w:rsid w:val="1AAD45DE"/>
    <w:rsid w:val="1ACD08AB"/>
    <w:rsid w:val="1ADE4496"/>
    <w:rsid w:val="1AE856E5"/>
    <w:rsid w:val="1B046F80"/>
    <w:rsid w:val="1B0855B9"/>
    <w:rsid w:val="1B2D40CD"/>
    <w:rsid w:val="1B3267B5"/>
    <w:rsid w:val="1B3F02AC"/>
    <w:rsid w:val="1B40161D"/>
    <w:rsid w:val="1B441859"/>
    <w:rsid w:val="1B4D379A"/>
    <w:rsid w:val="1B4F092B"/>
    <w:rsid w:val="1B567752"/>
    <w:rsid w:val="1B6606B1"/>
    <w:rsid w:val="1B7755CC"/>
    <w:rsid w:val="1B8E66DA"/>
    <w:rsid w:val="1B9969DF"/>
    <w:rsid w:val="1BA64C58"/>
    <w:rsid w:val="1BA731AC"/>
    <w:rsid w:val="1BA972F6"/>
    <w:rsid w:val="1BAA7AAC"/>
    <w:rsid w:val="1BCB56EC"/>
    <w:rsid w:val="1BE76D7D"/>
    <w:rsid w:val="1BF039B8"/>
    <w:rsid w:val="1BF70E86"/>
    <w:rsid w:val="1C075FB4"/>
    <w:rsid w:val="1C2A5D6C"/>
    <w:rsid w:val="1C3861F8"/>
    <w:rsid w:val="1C454471"/>
    <w:rsid w:val="1C485D0F"/>
    <w:rsid w:val="1C5E7925"/>
    <w:rsid w:val="1C634D98"/>
    <w:rsid w:val="1C707E1F"/>
    <w:rsid w:val="1C7157D0"/>
    <w:rsid w:val="1C7D4A29"/>
    <w:rsid w:val="1C8570AB"/>
    <w:rsid w:val="1C874741"/>
    <w:rsid w:val="1C993739"/>
    <w:rsid w:val="1C9D24FF"/>
    <w:rsid w:val="1C9E061A"/>
    <w:rsid w:val="1C9F0025"/>
    <w:rsid w:val="1CC97FD3"/>
    <w:rsid w:val="1CDC2461"/>
    <w:rsid w:val="1CDD25B2"/>
    <w:rsid w:val="1CEB5018"/>
    <w:rsid w:val="1CF2284B"/>
    <w:rsid w:val="1CFD070F"/>
    <w:rsid w:val="1D0151B5"/>
    <w:rsid w:val="1D0B193E"/>
    <w:rsid w:val="1D1C3424"/>
    <w:rsid w:val="1D214EDE"/>
    <w:rsid w:val="1D3A1AFC"/>
    <w:rsid w:val="1D57445C"/>
    <w:rsid w:val="1D5F6196"/>
    <w:rsid w:val="1D6132A5"/>
    <w:rsid w:val="1D682B0D"/>
    <w:rsid w:val="1D6848BB"/>
    <w:rsid w:val="1D6928C0"/>
    <w:rsid w:val="1D727401"/>
    <w:rsid w:val="1D796AC8"/>
    <w:rsid w:val="1D814ED0"/>
    <w:rsid w:val="1D8E56D5"/>
    <w:rsid w:val="1D9E3226"/>
    <w:rsid w:val="1DA11B7B"/>
    <w:rsid w:val="1DA578BD"/>
    <w:rsid w:val="1DC4186A"/>
    <w:rsid w:val="1DD1568E"/>
    <w:rsid w:val="1DDA6E3B"/>
    <w:rsid w:val="1DDD4282"/>
    <w:rsid w:val="1DE26ADA"/>
    <w:rsid w:val="1DF2346F"/>
    <w:rsid w:val="1DF95513"/>
    <w:rsid w:val="1DFF0CBA"/>
    <w:rsid w:val="1E085DDD"/>
    <w:rsid w:val="1E396257"/>
    <w:rsid w:val="1E5A6CDF"/>
    <w:rsid w:val="1E5F6FDE"/>
    <w:rsid w:val="1E6741BB"/>
    <w:rsid w:val="1E696B3C"/>
    <w:rsid w:val="1E6C2189"/>
    <w:rsid w:val="1E7A43DA"/>
    <w:rsid w:val="1E8B628E"/>
    <w:rsid w:val="1E8E65A3"/>
    <w:rsid w:val="1E9E545E"/>
    <w:rsid w:val="1ED11F31"/>
    <w:rsid w:val="1EDD44AC"/>
    <w:rsid w:val="1EE2069D"/>
    <w:rsid w:val="1EE76406"/>
    <w:rsid w:val="1EEE3723"/>
    <w:rsid w:val="1EF87EC0"/>
    <w:rsid w:val="1F1545CE"/>
    <w:rsid w:val="1F1D3483"/>
    <w:rsid w:val="1F443106"/>
    <w:rsid w:val="1F56268F"/>
    <w:rsid w:val="1F5E41C7"/>
    <w:rsid w:val="1F711EA6"/>
    <w:rsid w:val="1F7A63CB"/>
    <w:rsid w:val="1F8779F1"/>
    <w:rsid w:val="1F8E4C56"/>
    <w:rsid w:val="1F9A4E2D"/>
    <w:rsid w:val="1FB96E43"/>
    <w:rsid w:val="1FD77AD6"/>
    <w:rsid w:val="1FD80333"/>
    <w:rsid w:val="1FDD17D1"/>
    <w:rsid w:val="1FDD7DC9"/>
    <w:rsid w:val="1FE7539E"/>
    <w:rsid w:val="1FEB1FA4"/>
    <w:rsid w:val="1FF82DDD"/>
    <w:rsid w:val="200831DC"/>
    <w:rsid w:val="203800A2"/>
    <w:rsid w:val="204D1B46"/>
    <w:rsid w:val="20531852"/>
    <w:rsid w:val="20587E97"/>
    <w:rsid w:val="20671BE0"/>
    <w:rsid w:val="20742144"/>
    <w:rsid w:val="207672EF"/>
    <w:rsid w:val="207812B9"/>
    <w:rsid w:val="20821C90"/>
    <w:rsid w:val="208E5898"/>
    <w:rsid w:val="20963CB8"/>
    <w:rsid w:val="2099122F"/>
    <w:rsid w:val="20A81A1B"/>
    <w:rsid w:val="20B07FB6"/>
    <w:rsid w:val="20B23AA5"/>
    <w:rsid w:val="20B646FB"/>
    <w:rsid w:val="20D4744E"/>
    <w:rsid w:val="20E424AA"/>
    <w:rsid w:val="20EB0AFE"/>
    <w:rsid w:val="20F16975"/>
    <w:rsid w:val="20F6042F"/>
    <w:rsid w:val="213B74B1"/>
    <w:rsid w:val="213E1688"/>
    <w:rsid w:val="214B55E9"/>
    <w:rsid w:val="215A2310"/>
    <w:rsid w:val="215C3DB6"/>
    <w:rsid w:val="216230EA"/>
    <w:rsid w:val="21725D08"/>
    <w:rsid w:val="21927171"/>
    <w:rsid w:val="21B639A8"/>
    <w:rsid w:val="21CE3E73"/>
    <w:rsid w:val="21D02A2F"/>
    <w:rsid w:val="21D73DBD"/>
    <w:rsid w:val="21DE318A"/>
    <w:rsid w:val="21E604A4"/>
    <w:rsid w:val="21EE528D"/>
    <w:rsid w:val="21EF5B80"/>
    <w:rsid w:val="21F379F6"/>
    <w:rsid w:val="21FC3914"/>
    <w:rsid w:val="22061870"/>
    <w:rsid w:val="223C1E72"/>
    <w:rsid w:val="22433B81"/>
    <w:rsid w:val="224637F5"/>
    <w:rsid w:val="22576990"/>
    <w:rsid w:val="225D61BE"/>
    <w:rsid w:val="2298203B"/>
    <w:rsid w:val="229920C2"/>
    <w:rsid w:val="229D0380"/>
    <w:rsid w:val="22A720E8"/>
    <w:rsid w:val="22CD0277"/>
    <w:rsid w:val="22E537EB"/>
    <w:rsid w:val="22E91FFA"/>
    <w:rsid w:val="22F47480"/>
    <w:rsid w:val="23005595"/>
    <w:rsid w:val="230706D2"/>
    <w:rsid w:val="232272BA"/>
    <w:rsid w:val="233D5EA2"/>
    <w:rsid w:val="23424B4E"/>
    <w:rsid w:val="234B2B60"/>
    <w:rsid w:val="23706277"/>
    <w:rsid w:val="238E0DF3"/>
    <w:rsid w:val="23906919"/>
    <w:rsid w:val="239F4DAE"/>
    <w:rsid w:val="23B412AD"/>
    <w:rsid w:val="23BC0C45"/>
    <w:rsid w:val="23DE1C48"/>
    <w:rsid w:val="23EC5366"/>
    <w:rsid w:val="23F7340C"/>
    <w:rsid w:val="240210CD"/>
    <w:rsid w:val="240C0F44"/>
    <w:rsid w:val="241237D2"/>
    <w:rsid w:val="24413153"/>
    <w:rsid w:val="24827E88"/>
    <w:rsid w:val="249935AC"/>
    <w:rsid w:val="24B228BF"/>
    <w:rsid w:val="24B46637"/>
    <w:rsid w:val="24BA6E27"/>
    <w:rsid w:val="24BF09F7"/>
    <w:rsid w:val="24C27361"/>
    <w:rsid w:val="24D018DA"/>
    <w:rsid w:val="24F133E8"/>
    <w:rsid w:val="24FB4266"/>
    <w:rsid w:val="251315B0"/>
    <w:rsid w:val="252C2926"/>
    <w:rsid w:val="252D53FE"/>
    <w:rsid w:val="25301601"/>
    <w:rsid w:val="254C3541"/>
    <w:rsid w:val="25626093"/>
    <w:rsid w:val="256526B9"/>
    <w:rsid w:val="25672F7A"/>
    <w:rsid w:val="2572277A"/>
    <w:rsid w:val="2598517D"/>
    <w:rsid w:val="259B4F4E"/>
    <w:rsid w:val="25A1133F"/>
    <w:rsid w:val="25A42208"/>
    <w:rsid w:val="25BB6C67"/>
    <w:rsid w:val="25C5352F"/>
    <w:rsid w:val="25C87521"/>
    <w:rsid w:val="25DF5936"/>
    <w:rsid w:val="25E66D28"/>
    <w:rsid w:val="25E92311"/>
    <w:rsid w:val="25EC2D81"/>
    <w:rsid w:val="25EF5485"/>
    <w:rsid w:val="25F64656"/>
    <w:rsid w:val="25F918CA"/>
    <w:rsid w:val="25FB0004"/>
    <w:rsid w:val="260A4488"/>
    <w:rsid w:val="260C722F"/>
    <w:rsid w:val="26177B50"/>
    <w:rsid w:val="264B3F5F"/>
    <w:rsid w:val="265359DC"/>
    <w:rsid w:val="26591245"/>
    <w:rsid w:val="265E0957"/>
    <w:rsid w:val="266B23FB"/>
    <w:rsid w:val="266D56B5"/>
    <w:rsid w:val="26804A23"/>
    <w:rsid w:val="26A875D0"/>
    <w:rsid w:val="26B16D79"/>
    <w:rsid w:val="26DA3DC6"/>
    <w:rsid w:val="26E01CD2"/>
    <w:rsid w:val="26F10941"/>
    <w:rsid w:val="26FD2518"/>
    <w:rsid w:val="271D25D1"/>
    <w:rsid w:val="272F397A"/>
    <w:rsid w:val="274470D4"/>
    <w:rsid w:val="27653C19"/>
    <w:rsid w:val="277057A2"/>
    <w:rsid w:val="277F2F2D"/>
    <w:rsid w:val="27934742"/>
    <w:rsid w:val="27B150B0"/>
    <w:rsid w:val="27DA0A0E"/>
    <w:rsid w:val="27EE4BBD"/>
    <w:rsid w:val="280447CA"/>
    <w:rsid w:val="28213FE4"/>
    <w:rsid w:val="28237D5C"/>
    <w:rsid w:val="2826784C"/>
    <w:rsid w:val="2845738A"/>
    <w:rsid w:val="28497097"/>
    <w:rsid w:val="284F6DA3"/>
    <w:rsid w:val="28560CD9"/>
    <w:rsid w:val="286A1C3C"/>
    <w:rsid w:val="2873599C"/>
    <w:rsid w:val="28771E56"/>
    <w:rsid w:val="287E7EE5"/>
    <w:rsid w:val="28802178"/>
    <w:rsid w:val="28836A4D"/>
    <w:rsid w:val="288559A8"/>
    <w:rsid w:val="28896941"/>
    <w:rsid w:val="289522DC"/>
    <w:rsid w:val="2899417D"/>
    <w:rsid w:val="289E182D"/>
    <w:rsid w:val="289F315B"/>
    <w:rsid w:val="289F7312"/>
    <w:rsid w:val="28B112DC"/>
    <w:rsid w:val="28BB32E6"/>
    <w:rsid w:val="28C64C12"/>
    <w:rsid w:val="28CF1C92"/>
    <w:rsid w:val="28E15521"/>
    <w:rsid w:val="28E36FAE"/>
    <w:rsid w:val="28EA2628"/>
    <w:rsid w:val="28F90ABD"/>
    <w:rsid w:val="29054A1D"/>
    <w:rsid w:val="2916066A"/>
    <w:rsid w:val="291A08A2"/>
    <w:rsid w:val="29206EB8"/>
    <w:rsid w:val="292F44DF"/>
    <w:rsid w:val="29556BD2"/>
    <w:rsid w:val="29595666"/>
    <w:rsid w:val="2972391B"/>
    <w:rsid w:val="297D5F8A"/>
    <w:rsid w:val="298736A5"/>
    <w:rsid w:val="29874881"/>
    <w:rsid w:val="298E35E5"/>
    <w:rsid w:val="29AC42AB"/>
    <w:rsid w:val="29C42A2C"/>
    <w:rsid w:val="29D47CDA"/>
    <w:rsid w:val="29D564EC"/>
    <w:rsid w:val="29E16E5C"/>
    <w:rsid w:val="29E325E0"/>
    <w:rsid w:val="29E76B67"/>
    <w:rsid w:val="29EE50A9"/>
    <w:rsid w:val="2A050A91"/>
    <w:rsid w:val="2A123E41"/>
    <w:rsid w:val="2A141C7C"/>
    <w:rsid w:val="2A187ED5"/>
    <w:rsid w:val="2A327707"/>
    <w:rsid w:val="2A3F0751"/>
    <w:rsid w:val="2A452503"/>
    <w:rsid w:val="2A48576A"/>
    <w:rsid w:val="2A497119"/>
    <w:rsid w:val="2A4C1B65"/>
    <w:rsid w:val="2A4E6962"/>
    <w:rsid w:val="2A5A1B26"/>
    <w:rsid w:val="2A6176E8"/>
    <w:rsid w:val="2A6B7798"/>
    <w:rsid w:val="2A8244FE"/>
    <w:rsid w:val="2A846AAC"/>
    <w:rsid w:val="2A9203F3"/>
    <w:rsid w:val="2A942D06"/>
    <w:rsid w:val="2AAD6003"/>
    <w:rsid w:val="2AEE5FE0"/>
    <w:rsid w:val="2AF578DD"/>
    <w:rsid w:val="2AFA6815"/>
    <w:rsid w:val="2B011EAB"/>
    <w:rsid w:val="2B257921"/>
    <w:rsid w:val="2B32108F"/>
    <w:rsid w:val="2B4E567B"/>
    <w:rsid w:val="2B7408CF"/>
    <w:rsid w:val="2B7D3C27"/>
    <w:rsid w:val="2B801021"/>
    <w:rsid w:val="2B91275D"/>
    <w:rsid w:val="2B980644"/>
    <w:rsid w:val="2BA936A8"/>
    <w:rsid w:val="2BB95896"/>
    <w:rsid w:val="2BDB13AB"/>
    <w:rsid w:val="2C097269"/>
    <w:rsid w:val="2C1C3440"/>
    <w:rsid w:val="2C315A5A"/>
    <w:rsid w:val="2C4B1C25"/>
    <w:rsid w:val="2C61773E"/>
    <w:rsid w:val="2C6C4BD5"/>
    <w:rsid w:val="2C9F3FD8"/>
    <w:rsid w:val="2CA01F5F"/>
    <w:rsid w:val="2CA30711"/>
    <w:rsid w:val="2CA35FEC"/>
    <w:rsid w:val="2CA376BD"/>
    <w:rsid w:val="2CA53661"/>
    <w:rsid w:val="2CAC76BE"/>
    <w:rsid w:val="2CCE400E"/>
    <w:rsid w:val="2CD755B9"/>
    <w:rsid w:val="2CDA5AF8"/>
    <w:rsid w:val="2CDF446E"/>
    <w:rsid w:val="2CE66931"/>
    <w:rsid w:val="2CE7666A"/>
    <w:rsid w:val="2CE83DB0"/>
    <w:rsid w:val="2D1341BC"/>
    <w:rsid w:val="2D1802B5"/>
    <w:rsid w:val="2D1F109F"/>
    <w:rsid w:val="2D332C86"/>
    <w:rsid w:val="2D340315"/>
    <w:rsid w:val="2D3B5BE3"/>
    <w:rsid w:val="2D60110A"/>
    <w:rsid w:val="2D9E56F5"/>
    <w:rsid w:val="2DCC2C44"/>
    <w:rsid w:val="2DCC49F2"/>
    <w:rsid w:val="2DD83397"/>
    <w:rsid w:val="2DEF3A5B"/>
    <w:rsid w:val="2DF84046"/>
    <w:rsid w:val="2DFF3241"/>
    <w:rsid w:val="2E1A1DF7"/>
    <w:rsid w:val="2E21434E"/>
    <w:rsid w:val="2E244789"/>
    <w:rsid w:val="2E3E7677"/>
    <w:rsid w:val="2E403BDB"/>
    <w:rsid w:val="2E4122EC"/>
    <w:rsid w:val="2E461D92"/>
    <w:rsid w:val="2E5C2C7D"/>
    <w:rsid w:val="2E667F96"/>
    <w:rsid w:val="2E8226AB"/>
    <w:rsid w:val="2E8A2D9B"/>
    <w:rsid w:val="2E8C5CEE"/>
    <w:rsid w:val="2E9279E9"/>
    <w:rsid w:val="2E953036"/>
    <w:rsid w:val="2EA511A1"/>
    <w:rsid w:val="2EA65243"/>
    <w:rsid w:val="2EB55486"/>
    <w:rsid w:val="2EC13E2B"/>
    <w:rsid w:val="2EC2467C"/>
    <w:rsid w:val="2ECA18A5"/>
    <w:rsid w:val="2EE95130"/>
    <w:rsid w:val="2F171C9D"/>
    <w:rsid w:val="2F397E65"/>
    <w:rsid w:val="2F3E7229"/>
    <w:rsid w:val="2F460627"/>
    <w:rsid w:val="2F5179A1"/>
    <w:rsid w:val="2F86538B"/>
    <w:rsid w:val="2F996B56"/>
    <w:rsid w:val="2F9C3B44"/>
    <w:rsid w:val="2FC35F7C"/>
    <w:rsid w:val="2FC45ECF"/>
    <w:rsid w:val="2FCC2A87"/>
    <w:rsid w:val="2FD065E6"/>
    <w:rsid w:val="2FD7142C"/>
    <w:rsid w:val="2FD96870"/>
    <w:rsid w:val="2FE029D7"/>
    <w:rsid w:val="2FE2558D"/>
    <w:rsid w:val="2FEA4610"/>
    <w:rsid w:val="30143F92"/>
    <w:rsid w:val="30330D58"/>
    <w:rsid w:val="30457186"/>
    <w:rsid w:val="304C3BC8"/>
    <w:rsid w:val="30580BC9"/>
    <w:rsid w:val="30711881"/>
    <w:rsid w:val="309F019C"/>
    <w:rsid w:val="30A9101A"/>
    <w:rsid w:val="30A97594"/>
    <w:rsid w:val="30B62CA0"/>
    <w:rsid w:val="30B97271"/>
    <w:rsid w:val="30BD4AC6"/>
    <w:rsid w:val="30C3032E"/>
    <w:rsid w:val="30CE5A28"/>
    <w:rsid w:val="30FF0EE0"/>
    <w:rsid w:val="31015D61"/>
    <w:rsid w:val="310426F5"/>
    <w:rsid w:val="3115220C"/>
    <w:rsid w:val="311741D6"/>
    <w:rsid w:val="311E2ED7"/>
    <w:rsid w:val="31393432"/>
    <w:rsid w:val="31430CB1"/>
    <w:rsid w:val="31491286"/>
    <w:rsid w:val="315619EE"/>
    <w:rsid w:val="315C449C"/>
    <w:rsid w:val="3168639F"/>
    <w:rsid w:val="31757D2D"/>
    <w:rsid w:val="318C5799"/>
    <w:rsid w:val="31A041CB"/>
    <w:rsid w:val="31A737AC"/>
    <w:rsid w:val="31AC3518"/>
    <w:rsid w:val="31B82709"/>
    <w:rsid w:val="31D05482"/>
    <w:rsid w:val="31D65E3F"/>
    <w:rsid w:val="31DB4EB1"/>
    <w:rsid w:val="320504D2"/>
    <w:rsid w:val="32075FF9"/>
    <w:rsid w:val="32085AE3"/>
    <w:rsid w:val="320E1FB3"/>
    <w:rsid w:val="32170BAC"/>
    <w:rsid w:val="32222E32"/>
    <w:rsid w:val="32400B34"/>
    <w:rsid w:val="324E1E79"/>
    <w:rsid w:val="327A2C6E"/>
    <w:rsid w:val="329E6876"/>
    <w:rsid w:val="32A55811"/>
    <w:rsid w:val="32A70761"/>
    <w:rsid w:val="32B17950"/>
    <w:rsid w:val="32BA306B"/>
    <w:rsid w:val="32BC3287"/>
    <w:rsid w:val="32D502ED"/>
    <w:rsid w:val="32E45D2B"/>
    <w:rsid w:val="33000503"/>
    <w:rsid w:val="330F1B29"/>
    <w:rsid w:val="331108DD"/>
    <w:rsid w:val="331E5FDE"/>
    <w:rsid w:val="33240E2C"/>
    <w:rsid w:val="333015F2"/>
    <w:rsid w:val="33436869"/>
    <w:rsid w:val="334B6320"/>
    <w:rsid w:val="335705CD"/>
    <w:rsid w:val="33685A3A"/>
    <w:rsid w:val="3371744F"/>
    <w:rsid w:val="337D1DE2"/>
    <w:rsid w:val="33902F0D"/>
    <w:rsid w:val="339064C2"/>
    <w:rsid w:val="339E0904"/>
    <w:rsid w:val="33AC6A64"/>
    <w:rsid w:val="33C57A3E"/>
    <w:rsid w:val="33D04B10"/>
    <w:rsid w:val="33D934D4"/>
    <w:rsid w:val="33DB773D"/>
    <w:rsid w:val="33DE0FDB"/>
    <w:rsid w:val="33FB393B"/>
    <w:rsid w:val="33FE2F6A"/>
    <w:rsid w:val="34027F39"/>
    <w:rsid w:val="340E07E5"/>
    <w:rsid w:val="34223277"/>
    <w:rsid w:val="34235BF7"/>
    <w:rsid w:val="34333D66"/>
    <w:rsid w:val="343B7289"/>
    <w:rsid w:val="344A35D0"/>
    <w:rsid w:val="345E4CE1"/>
    <w:rsid w:val="347C2968"/>
    <w:rsid w:val="347C662E"/>
    <w:rsid w:val="347D2504"/>
    <w:rsid w:val="3480544F"/>
    <w:rsid w:val="349074EA"/>
    <w:rsid w:val="34BC4238"/>
    <w:rsid w:val="34DE7D30"/>
    <w:rsid w:val="34E02B31"/>
    <w:rsid w:val="350902DA"/>
    <w:rsid w:val="35125815"/>
    <w:rsid w:val="351F389D"/>
    <w:rsid w:val="352E5399"/>
    <w:rsid w:val="35452190"/>
    <w:rsid w:val="35643762"/>
    <w:rsid w:val="3588204A"/>
    <w:rsid w:val="358931C8"/>
    <w:rsid w:val="358C5FA8"/>
    <w:rsid w:val="35A57943"/>
    <w:rsid w:val="35BB7D5B"/>
    <w:rsid w:val="35C15DF1"/>
    <w:rsid w:val="35C16E06"/>
    <w:rsid w:val="35CF48F6"/>
    <w:rsid w:val="35DE52C2"/>
    <w:rsid w:val="35E5121D"/>
    <w:rsid w:val="35E623C9"/>
    <w:rsid w:val="35EF56A7"/>
    <w:rsid w:val="3600792F"/>
    <w:rsid w:val="36074A7F"/>
    <w:rsid w:val="360D6F99"/>
    <w:rsid w:val="36105C0D"/>
    <w:rsid w:val="3613710F"/>
    <w:rsid w:val="36207984"/>
    <w:rsid w:val="36232BFD"/>
    <w:rsid w:val="36317AE8"/>
    <w:rsid w:val="363D46DF"/>
    <w:rsid w:val="3646517F"/>
    <w:rsid w:val="366D6646"/>
    <w:rsid w:val="36873BAC"/>
    <w:rsid w:val="36923549"/>
    <w:rsid w:val="36B10A81"/>
    <w:rsid w:val="36B75FBF"/>
    <w:rsid w:val="36BD0C45"/>
    <w:rsid w:val="36C43EAE"/>
    <w:rsid w:val="36CD2233"/>
    <w:rsid w:val="3705006F"/>
    <w:rsid w:val="371C29F2"/>
    <w:rsid w:val="371C5729"/>
    <w:rsid w:val="372C02AF"/>
    <w:rsid w:val="373158C6"/>
    <w:rsid w:val="3742274E"/>
    <w:rsid w:val="37476E97"/>
    <w:rsid w:val="37503F9E"/>
    <w:rsid w:val="37732EE0"/>
    <w:rsid w:val="37955FE9"/>
    <w:rsid w:val="37A75B88"/>
    <w:rsid w:val="37AC22DA"/>
    <w:rsid w:val="37D02C75"/>
    <w:rsid w:val="37E00298"/>
    <w:rsid w:val="37EC6F1A"/>
    <w:rsid w:val="37F46CBC"/>
    <w:rsid w:val="37F67DAD"/>
    <w:rsid w:val="37F97E78"/>
    <w:rsid w:val="38021454"/>
    <w:rsid w:val="380D5CB5"/>
    <w:rsid w:val="38100CA5"/>
    <w:rsid w:val="381C6576"/>
    <w:rsid w:val="38211E89"/>
    <w:rsid w:val="382E532C"/>
    <w:rsid w:val="38314519"/>
    <w:rsid w:val="3834065D"/>
    <w:rsid w:val="383438BF"/>
    <w:rsid w:val="383E025E"/>
    <w:rsid w:val="385C549D"/>
    <w:rsid w:val="386234DB"/>
    <w:rsid w:val="387B5B40"/>
    <w:rsid w:val="387C64B5"/>
    <w:rsid w:val="38844383"/>
    <w:rsid w:val="388A19D1"/>
    <w:rsid w:val="38A30A45"/>
    <w:rsid w:val="38B302F9"/>
    <w:rsid w:val="38BE3EB6"/>
    <w:rsid w:val="38C55DB3"/>
    <w:rsid w:val="38F12CD3"/>
    <w:rsid w:val="38F94775"/>
    <w:rsid w:val="38FB2A48"/>
    <w:rsid w:val="39225E0E"/>
    <w:rsid w:val="392971ED"/>
    <w:rsid w:val="39304DF5"/>
    <w:rsid w:val="393253AF"/>
    <w:rsid w:val="39325651"/>
    <w:rsid w:val="393B2A2C"/>
    <w:rsid w:val="39512ADF"/>
    <w:rsid w:val="39513FFD"/>
    <w:rsid w:val="396F26D5"/>
    <w:rsid w:val="39882CA5"/>
    <w:rsid w:val="399046AB"/>
    <w:rsid w:val="39AC0218"/>
    <w:rsid w:val="39B06F76"/>
    <w:rsid w:val="39BA70D7"/>
    <w:rsid w:val="39BF540B"/>
    <w:rsid w:val="39E3734B"/>
    <w:rsid w:val="39FD0BBC"/>
    <w:rsid w:val="39FF3A59"/>
    <w:rsid w:val="3A0B0650"/>
    <w:rsid w:val="3A1C71C2"/>
    <w:rsid w:val="3A25040D"/>
    <w:rsid w:val="3A3527BA"/>
    <w:rsid w:val="3A375DFB"/>
    <w:rsid w:val="3A3962D4"/>
    <w:rsid w:val="3A406459"/>
    <w:rsid w:val="3A5967A0"/>
    <w:rsid w:val="3A673119"/>
    <w:rsid w:val="3A7527C3"/>
    <w:rsid w:val="3A812B42"/>
    <w:rsid w:val="3A872856"/>
    <w:rsid w:val="3AAB1C5E"/>
    <w:rsid w:val="3AF630AE"/>
    <w:rsid w:val="3AF80286"/>
    <w:rsid w:val="3B0532F1"/>
    <w:rsid w:val="3B1D3EE2"/>
    <w:rsid w:val="3B201ED9"/>
    <w:rsid w:val="3B3763D1"/>
    <w:rsid w:val="3B4A2627"/>
    <w:rsid w:val="3B4E0BD4"/>
    <w:rsid w:val="3B7C7A57"/>
    <w:rsid w:val="3BA23236"/>
    <w:rsid w:val="3BA707EB"/>
    <w:rsid w:val="3BD333EF"/>
    <w:rsid w:val="3BEC7A39"/>
    <w:rsid w:val="3BFA6BCE"/>
    <w:rsid w:val="3C025A83"/>
    <w:rsid w:val="3C041324"/>
    <w:rsid w:val="3C1147AD"/>
    <w:rsid w:val="3C1A644D"/>
    <w:rsid w:val="3C291D07"/>
    <w:rsid w:val="3C2F6E1E"/>
    <w:rsid w:val="3C4F64BA"/>
    <w:rsid w:val="3C601C11"/>
    <w:rsid w:val="3C972E5F"/>
    <w:rsid w:val="3CCD4775"/>
    <w:rsid w:val="3CDA245A"/>
    <w:rsid w:val="3CDB255C"/>
    <w:rsid w:val="3CF4361D"/>
    <w:rsid w:val="3D05582A"/>
    <w:rsid w:val="3D112421"/>
    <w:rsid w:val="3D172E05"/>
    <w:rsid w:val="3D1E06B7"/>
    <w:rsid w:val="3D210606"/>
    <w:rsid w:val="3D4E724C"/>
    <w:rsid w:val="3D6A1B31"/>
    <w:rsid w:val="3D7B31DA"/>
    <w:rsid w:val="3D915310"/>
    <w:rsid w:val="3D9414B6"/>
    <w:rsid w:val="3D9B306F"/>
    <w:rsid w:val="3DCD6298"/>
    <w:rsid w:val="3DD06A79"/>
    <w:rsid w:val="3DD76E93"/>
    <w:rsid w:val="3DE93C60"/>
    <w:rsid w:val="3DEF4CDA"/>
    <w:rsid w:val="3DF05F54"/>
    <w:rsid w:val="3DFA4C63"/>
    <w:rsid w:val="3E0D4ACF"/>
    <w:rsid w:val="3E175815"/>
    <w:rsid w:val="3E32341D"/>
    <w:rsid w:val="3E472014"/>
    <w:rsid w:val="3E4B1963"/>
    <w:rsid w:val="3E6432A1"/>
    <w:rsid w:val="3E677860"/>
    <w:rsid w:val="3E860BED"/>
    <w:rsid w:val="3E9C24BE"/>
    <w:rsid w:val="3E9D54C2"/>
    <w:rsid w:val="3EBC7034"/>
    <w:rsid w:val="3EBE3EE3"/>
    <w:rsid w:val="3EC02D98"/>
    <w:rsid w:val="3EC6526C"/>
    <w:rsid w:val="3ECB7FC8"/>
    <w:rsid w:val="3ED039E6"/>
    <w:rsid w:val="3ED14528"/>
    <w:rsid w:val="3EDA0523"/>
    <w:rsid w:val="3F207612"/>
    <w:rsid w:val="3F367F1D"/>
    <w:rsid w:val="3F4B6AEF"/>
    <w:rsid w:val="3F630FF1"/>
    <w:rsid w:val="3F6E3B5B"/>
    <w:rsid w:val="3F9C1F01"/>
    <w:rsid w:val="3FC1012F"/>
    <w:rsid w:val="3FDF05B5"/>
    <w:rsid w:val="3FEC2CD2"/>
    <w:rsid w:val="3FFD4840"/>
    <w:rsid w:val="40157651"/>
    <w:rsid w:val="403760AE"/>
    <w:rsid w:val="403F72A5"/>
    <w:rsid w:val="404303D8"/>
    <w:rsid w:val="40464190"/>
    <w:rsid w:val="40536E9A"/>
    <w:rsid w:val="405E3BCF"/>
    <w:rsid w:val="406311E6"/>
    <w:rsid w:val="406D1341"/>
    <w:rsid w:val="407A6407"/>
    <w:rsid w:val="407C4056"/>
    <w:rsid w:val="40854ED9"/>
    <w:rsid w:val="40A869C3"/>
    <w:rsid w:val="40A96C03"/>
    <w:rsid w:val="40B97645"/>
    <w:rsid w:val="40B97D06"/>
    <w:rsid w:val="40BC0FCB"/>
    <w:rsid w:val="40C71F4C"/>
    <w:rsid w:val="40C8422E"/>
    <w:rsid w:val="40CF5B6F"/>
    <w:rsid w:val="40F864EA"/>
    <w:rsid w:val="41057D66"/>
    <w:rsid w:val="41456B3D"/>
    <w:rsid w:val="41605725"/>
    <w:rsid w:val="41994971"/>
    <w:rsid w:val="419C5498"/>
    <w:rsid w:val="41C72DF8"/>
    <w:rsid w:val="41C957B5"/>
    <w:rsid w:val="41DB48F5"/>
    <w:rsid w:val="41E16F9B"/>
    <w:rsid w:val="41F81CC0"/>
    <w:rsid w:val="4200449D"/>
    <w:rsid w:val="42100EF9"/>
    <w:rsid w:val="422A188F"/>
    <w:rsid w:val="42333799"/>
    <w:rsid w:val="423A3BCC"/>
    <w:rsid w:val="42424E2B"/>
    <w:rsid w:val="424E57D2"/>
    <w:rsid w:val="425132C0"/>
    <w:rsid w:val="4252760F"/>
    <w:rsid w:val="425863FC"/>
    <w:rsid w:val="425B67F2"/>
    <w:rsid w:val="42723962"/>
    <w:rsid w:val="427B7848"/>
    <w:rsid w:val="42903F1E"/>
    <w:rsid w:val="429C1756"/>
    <w:rsid w:val="429C6185"/>
    <w:rsid w:val="429D4FC3"/>
    <w:rsid w:val="42AE784B"/>
    <w:rsid w:val="42B26C49"/>
    <w:rsid w:val="42B57BEB"/>
    <w:rsid w:val="42C2250D"/>
    <w:rsid w:val="42CA554C"/>
    <w:rsid w:val="42EA0AAA"/>
    <w:rsid w:val="43115D2A"/>
    <w:rsid w:val="43291B1C"/>
    <w:rsid w:val="43394697"/>
    <w:rsid w:val="433A6FE6"/>
    <w:rsid w:val="433D69A0"/>
    <w:rsid w:val="434714CE"/>
    <w:rsid w:val="43480868"/>
    <w:rsid w:val="434A2C73"/>
    <w:rsid w:val="4350713C"/>
    <w:rsid w:val="43543068"/>
    <w:rsid w:val="435B77E3"/>
    <w:rsid w:val="435D451A"/>
    <w:rsid w:val="436653E0"/>
    <w:rsid w:val="437C2D76"/>
    <w:rsid w:val="43830114"/>
    <w:rsid w:val="438F6794"/>
    <w:rsid w:val="43925D28"/>
    <w:rsid w:val="439536B1"/>
    <w:rsid w:val="43AA712C"/>
    <w:rsid w:val="43C26D42"/>
    <w:rsid w:val="43C4431A"/>
    <w:rsid w:val="43CC0E50"/>
    <w:rsid w:val="43CC11BF"/>
    <w:rsid w:val="43D85D3B"/>
    <w:rsid w:val="43E50028"/>
    <w:rsid w:val="43FB3171"/>
    <w:rsid w:val="440C50CA"/>
    <w:rsid w:val="44202F4A"/>
    <w:rsid w:val="447B63D2"/>
    <w:rsid w:val="448C4EE6"/>
    <w:rsid w:val="448E23D7"/>
    <w:rsid w:val="44A41DCD"/>
    <w:rsid w:val="44AD45C0"/>
    <w:rsid w:val="44B951CC"/>
    <w:rsid w:val="44CD14E0"/>
    <w:rsid w:val="44D12F72"/>
    <w:rsid w:val="44D2693A"/>
    <w:rsid w:val="44F20B0B"/>
    <w:rsid w:val="44FF300D"/>
    <w:rsid w:val="450665E4"/>
    <w:rsid w:val="45162A9A"/>
    <w:rsid w:val="452E5F4C"/>
    <w:rsid w:val="45423923"/>
    <w:rsid w:val="454422DB"/>
    <w:rsid w:val="45612018"/>
    <w:rsid w:val="456125E6"/>
    <w:rsid w:val="456478BF"/>
    <w:rsid w:val="45675CA0"/>
    <w:rsid w:val="456E7206"/>
    <w:rsid w:val="4577303D"/>
    <w:rsid w:val="458946E9"/>
    <w:rsid w:val="459E681C"/>
    <w:rsid w:val="45A47C0E"/>
    <w:rsid w:val="45AA6F6F"/>
    <w:rsid w:val="45D51691"/>
    <w:rsid w:val="45E700E8"/>
    <w:rsid w:val="45F93C0E"/>
    <w:rsid w:val="45FD1795"/>
    <w:rsid w:val="46045C96"/>
    <w:rsid w:val="460A1279"/>
    <w:rsid w:val="46124E67"/>
    <w:rsid w:val="462F3918"/>
    <w:rsid w:val="464A3A0C"/>
    <w:rsid w:val="46577FD6"/>
    <w:rsid w:val="467E7053"/>
    <w:rsid w:val="46942700"/>
    <w:rsid w:val="46B012F6"/>
    <w:rsid w:val="46BB0CEB"/>
    <w:rsid w:val="46C32054"/>
    <w:rsid w:val="46CD560B"/>
    <w:rsid w:val="46D22D47"/>
    <w:rsid w:val="46D955A7"/>
    <w:rsid w:val="47013AF4"/>
    <w:rsid w:val="47111758"/>
    <w:rsid w:val="47133957"/>
    <w:rsid w:val="471C777B"/>
    <w:rsid w:val="47213261"/>
    <w:rsid w:val="47264BB4"/>
    <w:rsid w:val="473A3C34"/>
    <w:rsid w:val="475143C3"/>
    <w:rsid w:val="476E1686"/>
    <w:rsid w:val="4793371C"/>
    <w:rsid w:val="479E6266"/>
    <w:rsid w:val="47A07E0C"/>
    <w:rsid w:val="47A26987"/>
    <w:rsid w:val="47E87AD7"/>
    <w:rsid w:val="47E97330"/>
    <w:rsid w:val="47ED665D"/>
    <w:rsid w:val="47F46BC7"/>
    <w:rsid w:val="481827E8"/>
    <w:rsid w:val="48504EB7"/>
    <w:rsid w:val="48567212"/>
    <w:rsid w:val="4870272E"/>
    <w:rsid w:val="48762B8F"/>
    <w:rsid w:val="48773972"/>
    <w:rsid w:val="487E190D"/>
    <w:rsid w:val="4884619D"/>
    <w:rsid w:val="488C44CD"/>
    <w:rsid w:val="488C6DEE"/>
    <w:rsid w:val="48A15849"/>
    <w:rsid w:val="48C42A3E"/>
    <w:rsid w:val="48D53046"/>
    <w:rsid w:val="48E409EA"/>
    <w:rsid w:val="48EB76A1"/>
    <w:rsid w:val="48F632F7"/>
    <w:rsid w:val="48F87DBC"/>
    <w:rsid w:val="49072873"/>
    <w:rsid w:val="490C66E5"/>
    <w:rsid w:val="4928157F"/>
    <w:rsid w:val="494225AB"/>
    <w:rsid w:val="495024F9"/>
    <w:rsid w:val="495602C6"/>
    <w:rsid w:val="49666EE0"/>
    <w:rsid w:val="497418F4"/>
    <w:rsid w:val="497A3F35"/>
    <w:rsid w:val="497F4EEA"/>
    <w:rsid w:val="49876276"/>
    <w:rsid w:val="499342D5"/>
    <w:rsid w:val="49A64604"/>
    <w:rsid w:val="49AA56FB"/>
    <w:rsid w:val="49B506FB"/>
    <w:rsid w:val="49B9232A"/>
    <w:rsid w:val="49B968DC"/>
    <w:rsid w:val="49DC7715"/>
    <w:rsid w:val="49E25B73"/>
    <w:rsid w:val="49EF5898"/>
    <w:rsid w:val="4A023139"/>
    <w:rsid w:val="4A031344"/>
    <w:rsid w:val="4A1E7F2C"/>
    <w:rsid w:val="4A2121CA"/>
    <w:rsid w:val="4A227A1C"/>
    <w:rsid w:val="4A2C57A8"/>
    <w:rsid w:val="4A51132A"/>
    <w:rsid w:val="4A51382B"/>
    <w:rsid w:val="4A5C0692"/>
    <w:rsid w:val="4A63709E"/>
    <w:rsid w:val="4A7B576F"/>
    <w:rsid w:val="4A9226D2"/>
    <w:rsid w:val="4A9647C8"/>
    <w:rsid w:val="4AC07E41"/>
    <w:rsid w:val="4AC565F9"/>
    <w:rsid w:val="4AC7711A"/>
    <w:rsid w:val="4AD64F49"/>
    <w:rsid w:val="4AE61C97"/>
    <w:rsid w:val="4AF3159E"/>
    <w:rsid w:val="4AF561A9"/>
    <w:rsid w:val="4B340D33"/>
    <w:rsid w:val="4B384AFB"/>
    <w:rsid w:val="4B3D45DA"/>
    <w:rsid w:val="4B40491C"/>
    <w:rsid w:val="4B4B17C5"/>
    <w:rsid w:val="4B4C4C6F"/>
    <w:rsid w:val="4B5812E2"/>
    <w:rsid w:val="4B741A9B"/>
    <w:rsid w:val="4B7645F1"/>
    <w:rsid w:val="4B90738D"/>
    <w:rsid w:val="4B9761E7"/>
    <w:rsid w:val="4B9E7576"/>
    <w:rsid w:val="4BBA0128"/>
    <w:rsid w:val="4BBF74EC"/>
    <w:rsid w:val="4BC14786"/>
    <w:rsid w:val="4BD50ABE"/>
    <w:rsid w:val="4BEE4A93"/>
    <w:rsid w:val="4BF826DD"/>
    <w:rsid w:val="4C0C0983"/>
    <w:rsid w:val="4C1811C4"/>
    <w:rsid w:val="4C1A2EC5"/>
    <w:rsid w:val="4C390AD2"/>
    <w:rsid w:val="4C445F49"/>
    <w:rsid w:val="4C456BA4"/>
    <w:rsid w:val="4C4A0649"/>
    <w:rsid w:val="4C7E5ECA"/>
    <w:rsid w:val="4C8229F4"/>
    <w:rsid w:val="4C876AA5"/>
    <w:rsid w:val="4C903230"/>
    <w:rsid w:val="4CC454EA"/>
    <w:rsid w:val="4CC62B8A"/>
    <w:rsid w:val="4CC850B6"/>
    <w:rsid w:val="4CD351A7"/>
    <w:rsid w:val="4CD90FCB"/>
    <w:rsid w:val="4CE04669"/>
    <w:rsid w:val="4CE5335C"/>
    <w:rsid w:val="4CE81134"/>
    <w:rsid w:val="4CEF4C08"/>
    <w:rsid w:val="4CF65190"/>
    <w:rsid w:val="4D0E00FB"/>
    <w:rsid w:val="4D0E652F"/>
    <w:rsid w:val="4D176606"/>
    <w:rsid w:val="4D280D19"/>
    <w:rsid w:val="4D4128AF"/>
    <w:rsid w:val="4D65200F"/>
    <w:rsid w:val="4D707DE0"/>
    <w:rsid w:val="4D7250F4"/>
    <w:rsid w:val="4D7742F9"/>
    <w:rsid w:val="4D7D31BB"/>
    <w:rsid w:val="4D8C1C1A"/>
    <w:rsid w:val="4D8E5739"/>
    <w:rsid w:val="4D9A47EA"/>
    <w:rsid w:val="4DC80690"/>
    <w:rsid w:val="4DD056E6"/>
    <w:rsid w:val="4DD51249"/>
    <w:rsid w:val="4DDA4436"/>
    <w:rsid w:val="4DEC4FB0"/>
    <w:rsid w:val="4E075D8A"/>
    <w:rsid w:val="4E10402F"/>
    <w:rsid w:val="4E1276D3"/>
    <w:rsid w:val="4E2222FD"/>
    <w:rsid w:val="4E222FDC"/>
    <w:rsid w:val="4E3715BC"/>
    <w:rsid w:val="4E4C150B"/>
    <w:rsid w:val="4E720278"/>
    <w:rsid w:val="4E8B7C40"/>
    <w:rsid w:val="4EA10EDC"/>
    <w:rsid w:val="4EB1136E"/>
    <w:rsid w:val="4EB5353B"/>
    <w:rsid w:val="4EC00FAD"/>
    <w:rsid w:val="4ECA68D4"/>
    <w:rsid w:val="4ED64F6F"/>
    <w:rsid w:val="4ED84B4D"/>
    <w:rsid w:val="4EDB63EB"/>
    <w:rsid w:val="4EE47996"/>
    <w:rsid w:val="4EE51D29"/>
    <w:rsid w:val="4F0771E0"/>
    <w:rsid w:val="4F512B51"/>
    <w:rsid w:val="4F5E4F17"/>
    <w:rsid w:val="4F846A83"/>
    <w:rsid w:val="4F967F53"/>
    <w:rsid w:val="4F9843DC"/>
    <w:rsid w:val="4FB31E3F"/>
    <w:rsid w:val="4FC62A8C"/>
    <w:rsid w:val="4FD75668"/>
    <w:rsid w:val="4FE20F0D"/>
    <w:rsid w:val="4FE51552"/>
    <w:rsid w:val="500B1387"/>
    <w:rsid w:val="50504C4B"/>
    <w:rsid w:val="50641D9C"/>
    <w:rsid w:val="50840490"/>
    <w:rsid w:val="508E3FA9"/>
    <w:rsid w:val="5090545C"/>
    <w:rsid w:val="509C6E7C"/>
    <w:rsid w:val="50AC140F"/>
    <w:rsid w:val="50AD3DB7"/>
    <w:rsid w:val="50B909AE"/>
    <w:rsid w:val="50B96FD0"/>
    <w:rsid w:val="50CE26AB"/>
    <w:rsid w:val="50D25FD0"/>
    <w:rsid w:val="50D51CA7"/>
    <w:rsid w:val="511D5C1C"/>
    <w:rsid w:val="512E1286"/>
    <w:rsid w:val="51510BE7"/>
    <w:rsid w:val="51530A66"/>
    <w:rsid w:val="515E50B1"/>
    <w:rsid w:val="5162104E"/>
    <w:rsid w:val="517448D5"/>
    <w:rsid w:val="51775625"/>
    <w:rsid w:val="51782538"/>
    <w:rsid w:val="517F7502"/>
    <w:rsid w:val="518F170F"/>
    <w:rsid w:val="51954F77"/>
    <w:rsid w:val="519A258E"/>
    <w:rsid w:val="51AC406F"/>
    <w:rsid w:val="51B15A08"/>
    <w:rsid w:val="51B51175"/>
    <w:rsid w:val="51BF1FF4"/>
    <w:rsid w:val="51D22089"/>
    <w:rsid w:val="51F30387"/>
    <w:rsid w:val="51FE03F1"/>
    <w:rsid w:val="51FE7CC1"/>
    <w:rsid w:val="52466CFB"/>
    <w:rsid w:val="52595FA5"/>
    <w:rsid w:val="525E2BBC"/>
    <w:rsid w:val="52632E6E"/>
    <w:rsid w:val="526B5CD8"/>
    <w:rsid w:val="52994D0A"/>
    <w:rsid w:val="52B07D6C"/>
    <w:rsid w:val="52C70C71"/>
    <w:rsid w:val="52DC47A1"/>
    <w:rsid w:val="52E4406F"/>
    <w:rsid w:val="530F4F67"/>
    <w:rsid w:val="531E2D4A"/>
    <w:rsid w:val="53516BF1"/>
    <w:rsid w:val="53852DC9"/>
    <w:rsid w:val="5390407C"/>
    <w:rsid w:val="53937294"/>
    <w:rsid w:val="53A039CC"/>
    <w:rsid w:val="53A1505A"/>
    <w:rsid w:val="53BC07BC"/>
    <w:rsid w:val="53C04B08"/>
    <w:rsid w:val="53C57773"/>
    <w:rsid w:val="53D27F2B"/>
    <w:rsid w:val="53E904F9"/>
    <w:rsid w:val="53ED2320"/>
    <w:rsid w:val="53F32429"/>
    <w:rsid w:val="53F3403A"/>
    <w:rsid w:val="53FE280A"/>
    <w:rsid w:val="54063E08"/>
    <w:rsid w:val="5407753F"/>
    <w:rsid w:val="541C1D46"/>
    <w:rsid w:val="543437E8"/>
    <w:rsid w:val="543D5D65"/>
    <w:rsid w:val="54425BCD"/>
    <w:rsid w:val="5447287D"/>
    <w:rsid w:val="54831A0B"/>
    <w:rsid w:val="548D63DA"/>
    <w:rsid w:val="54993FD0"/>
    <w:rsid w:val="54997B61"/>
    <w:rsid w:val="54AA6F8B"/>
    <w:rsid w:val="54AD7D92"/>
    <w:rsid w:val="54C13EA5"/>
    <w:rsid w:val="54EF0E42"/>
    <w:rsid w:val="54F47928"/>
    <w:rsid w:val="54F73313"/>
    <w:rsid w:val="54F80955"/>
    <w:rsid w:val="55142D4A"/>
    <w:rsid w:val="552402A2"/>
    <w:rsid w:val="55273C0B"/>
    <w:rsid w:val="554F3DA2"/>
    <w:rsid w:val="555170A7"/>
    <w:rsid w:val="55586E29"/>
    <w:rsid w:val="555A3AE7"/>
    <w:rsid w:val="555E64B9"/>
    <w:rsid w:val="556E033B"/>
    <w:rsid w:val="5580701C"/>
    <w:rsid w:val="5587536D"/>
    <w:rsid w:val="559B174B"/>
    <w:rsid w:val="55C754D1"/>
    <w:rsid w:val="55CE0CF4"/>
    <w:rsid w:val="55D02C8E"/>
    <w:rsid w:val="55E0078B"/>
    <w:rsid w:val="56075D18"/>
    <w:rsid w:val="56260894"/>
    <w:rsid w:val="562F34BA"/>
    <w:rsid w:val="56523597"/>
    <w:rsid w:val="565D002E"/>
    <w:rsid w:val="567710EF"/>
    <w:rsid w:val="567E12EF"/>
    <w:rsid w:val="56921A85"/>
    <w:rsid w:val="569A2C2D"/>
    <w:rsid w:val="569A5D38"/>
    <w:rsid w:val="569D1FA4"/>
    <w:rsid w:val="56A112FC"/>
    <w:rsid w:val="56A63734"/>
    <w:rsid w:val="56AB2B47"/>
    <w:rsid w:val="56B0752C"/>
    <w:rsid w:val="56B22A9C"/>
    <w:rsid w:val="56F42740"/>
    <w:rsid w:val="570D14E8"/>
    <w:rsid w:val="57190ECC"/>
    <w:rsid w:val="571D14B6"/>
    <w:rsid w:val="57234DD3"/>
    <w:rsid w:val="5726041F"/>
    <w:rsid w:val="57270276"/>
    <w:rsid w:val="572B1EDA"/>
    <w:rsid w:val="573214BA"/>
    <w:rsid w:val="574D0C94"/>
    <w:rsid w:val="574F2108"/>
    <w:rsid w:val="575612E0"/>
    <w:rsid w:val="576873EF"/>
    <w:rsid w:val="576A0F51"/>
    <w:rsid w:val="577206BC"/>
    <w:rsid w:val="57827D4C"/>
    <w:rsid w:val="579D6E86"/>
    <w:rsid w:val="57AD28EF"/>
    <w:rsid w:val="57B72A76"/>
    <w:rsid w:val="57C230F2"/>
    <w:rsid w:val="57C3426C"/>
    <w:rsid w:val="57CE1F93"/>
    <w:rsid w:val="57D41458"/>
    <w:rsid w:val="57DA770B"/>
    <w:rsid w:val="57E220AF"/>
    <w:rsid w:val="57F96AE0"/>
    <w:rsid w:val="582B2191"/>
    <w:rsid w:val="58372679"/>
    <w:rsid w:val="5842572D"/>
    <w:rsid w:val="587817A0"/>
    <w:rsid w:val="588743D1"/>
    <w:rsid w:val="5887701A"/>
    <w:rsid w:val="588C1257"/>
    <w:rsid w:val="58B1790C"/>
    <w:rsid w:val="58C168E0"/>
    <w:rsid w:val="58D97E3F"/>
    <w:rsid w:val="58E01999"/>
    <w:rsid w:val="58E80082"/>
    <w:rsid w:val="591F781C"/>
    <w:rsid w:val="593037D7"/>
    <w:rsid w:val="594C7EF4"/>
    <w:rsid w:val="59604AB5"/>
    <w:rsid w:val="59A321FB"/>
    <w:rsid w:val="59AA17DC"/>
    <w:rsid w:val="59C0439F"/>
    <w:rsid w:val="59C26B25"/>
    <w:rsid w:val="59D423B5"/>
    <w:rsid w:val="59DB0E33"/>
    <w:rsid w:val="59E52814"/>
    <w:rsid w:val="59F510CD"/>
    <w:rsid w:val="5A105AE3"/>
    <w:rsid w:val="5A144CFE"/>
    <w:rsid w:val="5A2F3A8F"/>
    <w:rsid w:val="5A47527D"/>
    <w:rsid w:val="5A4937ED"/>
    <w:rsid w:val="5A511C57"/>
    <w:rsid w:val="5A522F08"/>
    <w:rsid w:val="5A575248"/>
    <w:rsid w:val="5A587D48"/>
    <w:rsid w:val="5A640094"/>
    <w:rsid w:val="5A715E56"/>
    <w:rsid w:val="5A7A55FE"/>
    <w:rsid w:val="5A850AC5"/>
    <w:rsid w:val="5A8B53D3"/>
    <w:rsid w:val="5AAC57B3"/>
    <w:rsid w:val="5ABE2233"/>
    <w:rsid w:val="5AC97A40"/>
    <w:rsid w:val="5ADF3013"/>
    <w:rsid w:val="5AF64539"/>
    <w:rsid w:val="5AFC1134"/>
    <w:rsid w:val="5B126F42"/>
    <w:rsid w:val="5B1C4013"/>
    <w:rsid w:val="5B322881"/>
    <w:rsid w:val="5B3C46B5"/>
    <w:rsid w:val="5B742BB4"/>
    <w:rsid w:val="5B8D4F11"/>
    <w:rsid w:val="5B995664"/>
    <w:rsid w:val="5BA63F1F"/>
    <w:rsid w:val="5BC4185F"/>
    <w:rsid w:val="5BDF5D95"/>
    <w:rsid w:val="5BE80399"/>
    <w:rsid w:val="5BEB5DCD"/>
    <w:rsid w:val="5BF4415A"/>
    <w:rsid w:val="5BFB1E39"/>
    <w:rsid w:val="5BFE7528"/>
    <w:rsid w:val="5C0B4F37"/>
    <w:rsid w:val="5C193B62"/>
    <w:rsid w:val="5C2A59EE"/>
    <w:rsid w:val="5C4B3674"/>
    <w:rsid w:val="5C5123E2"/>
    <w:rsid w:val="5C6914DA"/>
    <w:rsid w:val="5C764A62"/>
    <w:rsid w:val="5C78796F"/>
    <w:rsid w:val="5C7B276E"/>
    <w:rsid w:val="5C8D358B"/>
    <w:rsid w:val="5C91458D"/>
    <w:rsid w:val="5C9D30FF"/>
    <w:rsid w:val="5CA26954"/>
    <w:rsid w:val="5CDD3C76"/>
    <w:rsid w:val="5CE055C6"/>
    <w:rsid w:val="5CED25DB"/>
    <w:rsid w:val="5CFC142F"/>
    <w:rsid w:val="5D042FB1"/>
    <w:rsid w:val="5D0905C7"/>
    <w:rsid w:val="5D121B72"/>
    <w:rsid w:val="5D1C02FB"/>
    <w:rsid w:val="5D2D075A"/>
    <w:rsid w:val="5D3E57E7"/>
    <w:rsid w:val="5D5B09FB"/>
    <w:rsid w:val="5D5E6B65"/>
    <w:rsid w:val="5D7512B0"/>
    <w:rsid w:val="5D795E79"/>
    <w:rsid w:val="5D7C33B3"/>
    <w:rsid w:val="5D7F697E"/>
    <w:rsid w:val="5D9B1C83"/>
    <w:rsid w:val="5DAA0F2B"/>
    <w:rsid w:val="5DB81DEE"/>
    <w:rsid w:val="5DBD7E87"/>
    <w:rsid w:val="5DBF512A"/>
    <w:rsid w:val="5DD22021"/>
    <w:rsid w:val="5DE9310D"/>
    <w:rsid w:val="5DE95D54"/>
    <w:rsid w:val="5DF11787"/>
    <w:rsid w:val="5E023994"/>
    <w:rsid w:val="5E08087F"/>
    <w:rsid w:val="5E087FD7"/>
    <w:rsid w:val="5E225DE5"/>
    <w:rsid w:val="5E2467F1"/>
    <w:rsid w:val="5E280B31"/>
    <w:rsid w:val="5E3A0E09"/>
    <w:rsid w:val="5E413D91"/>
    <w:rsid w:val="5E6301AB"/>
    <w:rsid w:val="5E744166"/>
    <w:rsid w:val="5E7A7A72"/>
    <w:rsid w:val="5E834604"/>
    <w:rsid w:val="5E9171D9"/>
    <w:rsid w:val="5EAC1B52"/>
    <w:rsid w:val="5EB652E1"/>
    <w:rsid w:val="5EBD10E5"/>
    <w:rsid w:val="5EC867F1"/>
    <w:rsid w:val="5ED42A73"/>
    <w:rsid w:val="5EF07C91"/>
    <w:rsid w:val="5EF5218B"/>
    <w:rsid w:val="5F090D52"/>
    <w:rsid w:val="5F0C4911"/>
    <w:rsid w:val="5F1A2B43"/>
    <w:rsid w:val="5F1E27A5"/>
    <w:rsid w:val="5F200A95"/>
    <w:rsid w:val="5F337B7D"/>
    <w:rsid w:val="5F450865"/>
    <w:rsid w:val="5F4A6C55"/>
    <w:rsid w:val="5F550B2E"/>
    <w:rsid w:val="5F6749DD"/>
    <w:rsid w:val="5F742670"/>
    <w:rsid w:val="5F7C7A26"/>
    <w:rsid w:val="5F7F0DAA"/>
    <w:rsid w:val="5F84662B"/>
    <w:rsid w:val="5F9D057C"/>
    <w:rsid w:val="5FB608E2"/>
    <w:rsid w:val="5FB837BB"/>
    <w:rsid w:val="5FC0745B"/>
    <w:rsid w:val="5FC47F5B"/>
    <w:rsid w:val="5FD25537"/>
    <w:rsid w:val="5FE0642B"/>
    <w:rsid w:val="5FE656F8"/>
    <w:rsid w:val="5FE72775"/>
    <w:rsid w:val="5FF17B2D"/>
    <w:rsid w:val="600F0BDE"/>
    <w:rsid w:val="60132ABD"/>
    <w:rsid w:val="60237F70"/>
    <w:rsid w:val="60395667"/>
    <w:rsid w:val="604858AA"/>
    <w:rsid w:val="60664487"/>
    <w:rsid w:val="606D70BF"/>
    <w:rsid w:val="607940A4"/>
    <w:rsid w:val="60901369"/>
    <w:rsid w:val="60A116B9"/>
    <w:rsid w:val="60BC0B5D"/>
    <w:rsid w:val="60CC405A"/>
    <w:rsid w:val="60D1421F"/>
    <w:rsid w:val="60DF2C0E"/>
    <w:rsid w:val="60E91E34"/>
    <w:rsid w:val="60FD0A49"/>
    <w:rsid w:val="61030EA5"/>
    <w:rsid w:val="6106379C"/>
    <w:rsid w:val="61077514"/>
    <w:rsid w:val="610B0DB2"/>
    <w:rsid w:val="610C3DDD"/>
    <w:rsid w:val="610F1A53"/>
    <w:rsid w:val="61156DDE"/>
    <w:rsid w:val="61204131"/>
    <w:rsid w:val="61281F8B"/>
    <w:rsid w:val="613D1187"/>
    <w:rsid w:val="61691F7C"/>
    <w:rsid w:val="618B1EF3"/>
    <w:rsid w:val="61A66D2D"/>
    <w:rsid w:val="61AB5FEF"/>
    <w:rsid w:val="61B62EE8"/>
    <w:rsid w:val="61C22F65"/>
    <w:rsid w:val="61C85F1D"/>
    <w:rsid w:val="61D64503"/>
    <w:rsid w:val="61E17D65"/>
    <w:rsid w:val="61E215D8"/>
    <w:rsid w:val="61E433B1"/>
    <w:rsid w:val="61F1480D"/>
    <w:rsid w:val="620B2905"/>
    <w:rsid w:val="62100408"/>
    <w:rsid w:val="621B3775"/>
    <w:rsid w:val="62206ADF"/>
    <w:rsid w:val="6232236E"/>
    <w:rsid w:val="62364782"/>
    <w:rsid w:val="623C25C1"/>
    <w:rsid w:val="627E55B4"/>
    <w:rsid w:val="62817F80"/>
    <w:rsid w:val="629660FA"/>
    <w:rsid w:val="62AF1C11"/>
    <w:rsid w:val="62B40FD5"/>
    <w:rsid w:val="62B92A90"/>
    <w:rsid w:val="62D96C8E"/>
    <w:rsid w:val="62DC2641"/>
    <w:rsid w:val="62E30C28"/>
    <w:rsid w:val="62E844C4"/>
    <w:rsid w:val="62EC256E"/>
    <w:rsid w:val="62F14A3A"/>
    <w:rsid w:val="63041BFB"/>
    <w:rsid w:val="63141A74"/>
    <w:rsid w:val="6339655B"/>
    <w:rsid w:val="63400ABB"/>
    <w:rsid w:val="63520F1A"/>
    <w:rsid w:val="63533494"/>
    <w:rsid w:val="63687C33"/>
    <w:rsid w:val="63696264"/>
    <w:rsid w:val="6394356A"/>
    <w:rsid w:val="63A23524"/>
    <w:rsid w:val="63B35731"/>
    <w:rsid w:val="63C61B2C"/>
    <w:rsid w:val="63C67212"/>
    <w:rsid w:val="63D40BE9"/>
    <w:rsid w:val="63D67A55"/>
    <w:rsid w:val="63DA3640"/>
    <w:rsid w:val="63DC07E4"/>
    <w:rsid w:val="63E87188"/>
    <w:rsid w:val="63ED29F1"/>
    <w:rsid w:val="63F41FD1"/>
    <w:rsid w:val="640F1DD7"/>
    <w:rsid w:val="64102431"/>
    <w:rsid w:val="64195729"/>
    <w:rsid w:val="641F50C3"/>
    <w:rsid w:val="642167B4"/>
    <w:rsid w:val="642A59F3"/>
    <w:rsid w:val="64454AE9"/>
    <w:rsid w:val="64590086"/>
    <w:rsid w:val="64721148"/>
    <w:rsid w:val="649006C4"/>
    <w:rsid w:val="649C7879"/>
    <w:rsid w:val="64A121F4"/>
    <w:rsid w:val="64A5243A"/>
    <w:rsid w:val="64AC17B9"/>
    <w:rsid w:val="64B0044C"/>
    <w:rsid w:val="64B21C38"/>
    <w:rsid w:val="64B70040"/>
    <w:rsid w:val="64B70261"/>
    <w:rsid w:val="64CE5514"/>
    <w:rsid w:val="64F531DE"/>
    <w:rsid w:val="6504627F"/>
    <w:rsid w:val="6507080D"/>
    <w:rsid w:val="650914AF"/>
    <w:rsid w:val="65137687"/>
    <w:rsid w:val="65143FAD"/>
    <w:rsid w:val="65180DC6"/>
    <w:rsid w:val="652A244F"/>
    <w:rsid w:val="65311456"/>
    <w:rsid w:val="65373578"/>
    <w:rsid w:val="654C6CE4"/>
    <w:rsid w:val="65556A51"/>
    <w:rsid w:val="65573688"/>
    <w:rsid w:val="65861A1B"/>
    <w:rsid w:val="65A73073"/>
    <w:rsid w:val="65C15EE3"/>
    <w:rsid w:val="65E3160A"/>
    <w:rsid w:val="65EC0A86"/>
    <w:rsid w:val="65ED5D84"/>
    <w:rsid w:val="6609255E"/>
    <w:rsid w:val="664254EC"/>
    <w:rsid w:val="666B59B4"/>
    <w:rsid w:val="667623FF"/>
    <w:rsid w:val="667E00CB"/>
    <w:rsid w:val="66844F91"/>
    <w:rsid w:val="668533B4"/>
    <w:rsid w:val="66873AA4"/>
    <w:rsid w:val="669B5175"/>
    <w:rsid w:val="66B33A51"/>
    <w:rsid w:val="66C832A1"/>
    <w:rsid w:val="66D94A3B"/>
    <w:rsid w:val="66DB4D83"/>
    <w:rsid w:val="66F00D62"/>
    <w:rsid w:val="66F04EA9"/>
    <w:rsid w:val="66FF0F75"/>
    <w:rsid w:val="67145257"/>
    <w:rsid w:val="671E7365"/>
    <w:rsid w:val="671F124A"/>
    <w:rsid w:val="672E08E5"/>
    <w:rsid w:val="673A5239"/>
    <w:rsid w:val="67574CB4"/>
    <w:rsid w:val="675F6CEE"/>
    <w:rsid w:val="6763189A"/>
    <w:rsid w:val="6763572D"/>
    <w:rsid w:val="677A33C6"/>
    <w:rsid w:val="67996AC0"/>
    <w:rsid w:val="679C6C08"/>
    <w:rsid w:val="67B6203F"/>
    <w:rsid w:val="67BF4C48"/>
    <w:rsid w:val="67D46EF3"/>
    <w:rsid w:val="67E20393"/>
    <w:rsid w:val="67FA392E"/>
    <w:rsid w:val="680464FE"/>
    <w:rsid w:val="6805718A"/>
    <w:rsid w:val="681F6961"/>
    <w:rsid w:val="682E4D34"/>
    <w:rsid w:val="683440C7"/>
    <w:rsid w:val="6841330B"/>
    <w:rsid w:val="68610A2F"/>
    <w:rsid w:val="687C4343"/>
    <w:rsid w:val="68805514"/>
    <w:rsid w:val="688B43E4"/>
    <w:rsid w:val="68907628"/>
    <w:rsid w:val="68A5389A"/>
    <w:rsid w:val="68BC67E4"/>
    <w:rsid w:val="68BF2482"/>
    <w:rsid w:val="68C760A4"/>
    <w:rsid w:val="68D331C7"/>
    <w:rsid w:val="69313380"/>
    <w:rsid w:val="69316E2F"/>
    <w:rsid w:val="693C767E"/>
    <w:rsid w:val="693E2CED"/>
    <w:rsid w:val="694E2071"/>
    <w:rsid w:val="696574CD"/>
    <w:rsid w:val="69660E36"/>
    <w:rsid w:val="696D1EDE"/>
    <w:rsid w:val="696D5104"/>
    <w:rsid w:val="6974326C"/>
    <w:rsid w:val="69766163"/>
    <w:rsid w:val="697A3B33"/>
    <w:rsid w:val="697B0A9F"/>
    <w:rsid w:val="69943CA5"/>
    <w:rsid w:val="69A71894"/>
    <w:rsid w:val="69AD44CA"/>
    <w:rsid w:val="69B54EF7"/>
    <w:rsid w:val="69B8584F"/>
    <w:rsid w:val="69C010D2"/>
    <w:rsid w:val="69D1246D"/>
    <w:rsid w:val="69D44760"/>
    <w:rsid w:val="69EC374B"/>
    <w:rsid w:val="69FE0DD4"/>
    <w:rsid w:val="6A07339A"/>
    <w:rsid w:val="6A275A32"/>
    <w:rsid w:val="6A2D7FEB"/>
    <w:rsid w:val="6A41029A"/>
    <w:rsid w:val="6A4E464A"/>
    <w:rsid w:val="6A520EC7"/>
    <w:rsid w:val="6A6D5938"/>
    <w:rsid w:val="6A8A41D9"/>
    <w:rsid w:val="6A8B4D12"/>
    <w:rsid w:val="6A9A3873"/>
    <w:rsid w:val="6AAF6C52"/>
    <w:rsid w:val="6ACC6695"/>
    <w:rsid w:val="6AEC75BE"/>
    <w:rsid w:val="6AF40962"/>
    <w:rsid w:val="6AF87E20"/>
    <w:rsid w:val="6B0D3978"/>
    <w:rsid w:val="6B1940AC"/>
    <w:rsid w:val="6B293E85"/>
    <w:rsid w:val="6B295054"/>
    <w:rsid w:val="6B322639"/>
    <w:rsid w:val="6B3E7DF1"/>
    <w:rsid w:val="6B4C44A1"/>
    <w:rsid w:val="6B59096C"/>
    <w:rsid w:val="6B686E01"/>
    <w:rsid w:val="6B6A6E0E"/>
    <w:rsid w:val="6B7468D2"/>
    <w:rsid w:val="6BD46B1B"/>
    <w:rsid w:val="6C2B7952"/>
    <w:rsid w:val="6C4F797E"/>
    <w:rsid w:val="6C636C38"/>
    <w:rsid w:val="6C7A7069"/>
    <w:rsid w:val="6C7D4538"/>
    <w:rsid w:val="6C8068FE"/>
    <w:rsid w:val="6C931E58"/>
    <w:rsid w:val="6CAF3D99"/>
    <w:rsid w:val="6CB00A5F"/>
    <w:rsid w:val="6CB56076"/>
    <w:rsid w:val="6CC62031"/>
    <w:rsid w:val="6CDC21E8"/>
    <w:rsid w:val="6CDC7AA6"/>
    <w:rsid w:val="6CDF186C"/>
    <w:rsid w:val="6CE032A2"/>
    <w:rsid w:val="6CED3A62"/>
    <w:rsid w:val="6D1A237D"/>
    <w:rsid w:val="6D1C7EA3"/>
    <w:rsid w:val="6D254C02"/>
    <w:rsid w:val="6D301BA0"/>
    <w:rsid w:val="6D582C78"/>
    <w:rsid w:val="6D860AC1"/>
    <w:rsid w:val="6D9B526C"/>
    <w:rsid w:val="6DB34098"/>
    <w:rsid w:val="6DB545B6"/>
    <w:rsid w:val="6DBA0DB8"/>
    <w:rsid w:val="6DBD1686"/>
    <w:rsid w:val="6DC44684"/>
    <w:rsid w:val="6DD54C21"/>
    <w:rsid w:val="6DDA2C45"/>
    <w:rsid w:val="6DE02FB4"/>
    <w:rsid w:val="6DE74C1F"/>
    <w:rsid w:val="6DEA61F3"/>
    <w:rsid w:val="6DF365C9"/>
    <w:rsid w:val="6E11732A"/>
    <w:rsid w:val="6E2C399E"/>
    <w:rsid w:val="6E3F6DB3"/>
    <w:rsid w:val="6E514CED"/>
    <w:rsid w:val="6E557B10"/>
    <w:rsid w:val="6E751F61"/>
    <w:rsid w:val="6E900EC6"/>
    <w:rsid w:val="6EB563D5"/>
    <w:rsid w:val="6EB81E4D"/>
    <w:rsid w:val="6EBD1212"/>
    <w:rsid w:val="6ED00F45"/>
    <w:rsid w:val="6ED92677"/>
    <w:rsid w:val="6EEA6245"/>
    <w:rsid w:val="6F104B62"/>
    <w:rsid w:val="6F1138E7"/>
    <w:rsid w:val="6F225983"/>
    <w:rsid w:val="6F4F00B9"/>
    <w:rsid w:val="6F654325"/>
    <w:rsid w:val="6F6742A4"/>
    <w:rsid w:val="6F956912"/>
    <w:rsid w:val="6F9666F7"/>
    <w:rsid w:val="6F996E0B"/>
    <w:rsid w:val="6FB41EC9"/>
    <w:rsid w:val="6FB73764"/>
    <w:rsid w:val="6FC22F83"/>
    <w:rsid w:val="6FD827A7"/>
    <w:rsid w:val="6FDB399B"/>
    <w:rsid w:val="6FEA32B1"/>
    <w:rsid w:val="6FFC5590"/>
    <w:rsid w:val="70076BE8"/>
    <w:rsid w:val="70147557"/>
    <w:rsid w:val="701778DC"/>
    <w:rsid w:val="703E715B"/>
    <w:rsid w:val="7040034C"/>
    <w:rsid w:val="705160B5"/>
    <w:rsid w:val="70566167"/>
    <w:rsid w:val="706D1DD0"/>
    <w:rsid w:val="706F0977"/>
    <w:rsid w:val="707E7E28"/>
    <w:rsid w:val="707F0304"/>
    <w:rsid w:val="70856B87"/>
    <w:rsid w:val="70890549"/>
    <w:rsid w:val="7096798B"/>
    <w:rsid w:val="709B0D8D"/>
    <w:rsid w:val="70AE0489"/>
    <w:rsid w:val="70B32B23"/>
    <w:rsid w:val="70C525FF"/>
    <w:rsid w:val="70D527EE"/>
    <w:rsid w:val="70ED2282"/>
    <w:rsid w:val="71063344"/>
    <w:rsid w:val="71094866"/>
    <w:rsid w:val="71263532"/>
    <w:rsid w:val="71291C67"/>
    <w:rsid w:val="713C4FB8"/>
    <w:rsid w:val="713F3474"/>
    <w:rsid w:val="714802B0"/>
    <w:rsid w:val="714D4ACF"/>
    <w:rsid w:val="715B5300"/>
    <w:rsid w:val="71762EE2"/>
    <w:rsid w:val="717835AD"/>
    <w:rsid w:val="719C5E75"/>
    <w:rsid w:val="71C34D91"/>
    <w:rsid w:val="71C57215"/>
    <w:rsid w:val="71C762AF"/>
    <w:rsid w:val="71D27F8A"/>
    <w:rsid w:val="71D92806"/>
    <w:rsid w:val="71D96CDC"/>
    <w:rsid w:val="71FF7CE7"/>
    <w:rsid w:val="72031631"/>
    <w:rsid w:val="72181581"/>
    <w:rsid w:val="72233A82"/>
    <w:rsid w:val="7244764E"/>
    <w:rsid w:val="72480BA0"/>
    <w:rsid w:val="72553024"/>
    <w:rsid w:val="7258197D"/>
    <w:rsid w:val="7272364E"/>
    <w:rsid w:val="727D13E4"/>
    <w:rsid w:val="727E6F0A"/>
    <w:rsid w:val="729C1AB3"/>
    <w:rsid w:val="72C75D24"/>
    <w:rsid w:val="72D66D46"/>
    <w:rsid w:val="72DB610A"/>
    <w:rsid w:val="72EF7B46"/>
    <w:rsid w:val="73122968"/>
    <w:rsid w:val="731F5D5E"/>
    <w:rsid w:val="73344677"/>
    <w:rsid w:val="733A72D5"/>
    <w:rsid w:val="73546015"/>
    <w:rsid w:val="735760D9"/>
    <w:rsid w:val="735841A0"/>
    <w:rsid w:val="735A1725"/>
    <w:rsid w:val="73724CA5"/>
    <w:rsid w:val="737909D9"/>
    <w:rsid w:val="73905E71"/>
    <w:rsid w:val="739C1547"/>
    <w:rsid w:val="73B76B77"/>
    <w:rsid w:val="73C3551C"/>
    <w:rsid w:val="73C51AD5"/>
    <w:rsid w:val="73C704FD"/>
    <w:rsid w:val="73F756AE"/>
    <w:rsid w:val="741C6A37"/>
    <w:rsid w:val="741E793C"/>
    <w:rsid w:val="743D09C8"/>
    <w:rsid w:val="743E4A1E"/>
    <w:rsid w:val="74441C25"/>
    <w:rsid w:val="745368A0"/>
    <w:rsid w:val="74593A8B"/>
    <w:rsid w:val="745A776B"/>
    <w:rsid w:val="745B7503"/>
    <w:rsid w:val="745E3944"/>
    <w:rsid w:val="74695954"/>
    <w:rsid w:val="748F0FED"/>
    <w:rsid w:val="749D5D6D"/>
    <w:rsid w:val="74AE7F7A"/>
    <w:rsid w:val="74B41381"/>
    <w:rsid w:val="74D464D8"/>
    <w:rsid w:val="74DB4EF0"/>
    <w:rsid w:val="74E77C8D"/>
    <w:rsid w:val="74E92D60"/>
    <w:rsid w:val="74EB6AD9"/>
    <w:rsid w:val="74FD4A5E"/>
    <w:rsid w:val="751B0BE8"/>
    <w:rsid w:val="752000B7"/>
    <w:rsid w:val="75280003"/>
    <w:rsid w:val="75304C61"/>
    <w:rsid w:val="75373201"/>
    <w:rsid w:val="753C5586"/>
    <w:rsid w:val="7545348D"/>
    <w:rsid w:val="754B4F26"/>
    <w:rsid w:val="75540EC4"/>
    <w:rsid w:val="75587EE6"/>
    <w:rsid w:val="755F2CCE"/>
    <w:rsid w:val="7564688B"/>
    <w:rsid w:val="75667FDD"/>
    <w:rsid w:val="758E0F28"/>
    <w:rsid w:val="75A1188D"/>
    <w:rsid w:val="75A2344F"/>
    <w:rsid w:val="75A86E9E"/>
    <w:rsid w:val="75AA7330"/>
    <w:rsid w:val="75AB270C"/>
    <w:rsid w:val="75B8324A"/>
    <w:rsid w:val="75B90231"/>
    <w:rsid w:val="75CD61DE"/>
    <w:rsid w:val="75D752AF"/>
    <w:rsid w:val="75F42689"/>
    <w:rsid w:val="75FA2D4B"/>
    <w:rsid w:val="76285B0A"/>
    <w:rsid w:val="7635099D"/>
    <w:rsid w:val="764B4958"/>
    <w:rsid w:val="764D5571"/>
    <w:rsid w:val="76566ACF"/>
    <w:rsid w:val="76617977"/>
    <w:rsid w:val="76731DF6"/>
    <w:rsid w:val="76742AFE"/>
    <w:rsid w:val="76862F20"/>
    <w:rsid w:val="76BB2F62"/>
    <w:rsid w:val="76C26EE1"/>
    <w:rsid w:val="76DF08BF"/>
    <w:rsid w:val="76E557A9"/>
    <w:rsid w:val="76F925E9"/>
    <w:rsid w:val="76F949A2"/>
    <w:rsid w:val="77061CF1"/>
    <w:rsid w:val="7724016D"/>
    <w:rsid w:val="77251ED9"/>
    <w:rsid w:val="77445D04"/>
    <w:rsid w:val="774C75D7"/>
    <w:rsid w:val="77500D33"/>
    <w:rsid w:val="775549AA"/>
    <w:rsid w:val="7757274E"/>
    <w:rsid w:val="775D6A7E"/>
    <w:rsid w:val="776552C1"/>
    <w:rsid w:val="77762421"/>
    <w:rsid w:val="777F37C0"/>
    <w:rsid w:val="77A64252"/>
    <w:rsid w:val="77AC4246"/>
    <w:rsid w:val="77B56B1F"/>
    <w:rsid w:val="77BA6C36"/>
    <w:rsid w:val="77CC23A1"/>
    <w:rsid w:val="77E745B6"/>
    <w:rsid w:val="77F02638"/>
    <w:rsid w:val="780F09F4"/>
    <w:rsid w:val="781B2246"/>
    <w:rsid w:val="78222927"/>
    <w:rsid w:val="78261A24"/>
    <w:rsid w:val="78395DAD"/>
    <w:rsid w:val="783E2D3C"/>
    <w:rsid w:val="783E49D2"/>
    <w:rsid w:val="784309DA"/>
    <w:rsid w:val="7851639A"/>
    <w:rsid w:val="786D5A56"/>
    <w:rsid w:val="78764A16"/>
    <w:rsid w:val="787E14B3"/>
    <w:rsid w:val="788B1D9B"/>
    <w:rsid w:val="788B412F"/>
    <w:rsid w:val="789C080A"/>
    <w:rsid w:val="78A90480"/>
    <w:rsid w:val="78AE679B"/>
    <w:rsid w:val="78C25DA2"/>
    <w:rsid w:val="78C64974"/>
    <w:rsid w:val="79055C6B"/>
    <w:rsid w:val="79073671"/>
    <w:rsid w:val="790D6CAB"/>
    <w:rsid w:val="790F4D60"/>
    <w:rsid w:val="79231130"/>
    <w:rsid w:val="79311699"/>
    <w:rsid w:val="79336CA0"/>
    <w:rsid w:val="79490CB3"/>
    <w:rsid w:val="796C59F8"/>
    <w:rsid w:val="79842082"/>
    <w:rsid w:val="79870D9A"/>
    <w:rsid w:val="79955265"/>
    <w:rsid w:val="799C2A97"/>
    <w:rsid w:val="79A669E4"/>
    <w:rsid w:val="79A92B2C"/>
    <w:rsid w:val="79D833A4"/>
    <w:rsid w:val="79E00282"/>
    <w:rsid w:val="79EE5751"/>
    <w:rsid w:val="7A0B7864"/>
    <w:rsid w:val="7A126B1B"/>
    <w:rsid w:val="7A135FBA"/>
    <w:rsid w:val="7A2B3E1B"/>
    <w:rsid w:val="7A364017"/>
    <w:rsid w:val="7A457AA1"/>
    <w:rsid w:val="7A4A24F3"/>
    <w:rsid w:val="7A7E7F2D"/>
    <w:rsid w:val="7A7F68BC"/>
    <w:rsid w:val="7A8265E1"/>
    <w:rsid w:val="7AAC5314"/>
    <w:rsid w:val="7AAD2A82"/>
    <w:rsid w:val="7AC5601E"/>
    <w:rsid w:val="7AC71384"/>
    <w:rsid w:val="7ACD6C80"/>
    <w:rsid w:val="7AD65B35"/>
    <w:rsid w:val="7ADB0053"/>
    <w:rsid w:val="7AE244DA"/>
    <w:rsid w:val="7AE25958"/>
    <w:rsid w:val="7AE83268"/>
    <w:rsid w:val="7B05466C"/>
    <w:rsid w:val="7B104814"/>
    <w:rsid w:val="7B11693C"/>
    <w:rsid w:val="7B1C2A01"/>
    <w:rsid w:val="7B212CD8"/>
    <w:rsid w:val="7B2E771F"/>
    <w:rsid w:val="7B2F16E9"/>
    <w:rsid w:val="7B364826"/>
    <w:rsid w:val="7B686D42"/>
    <w:rsid w:val="7B6F53DC"/>
    <w:rsid w:val="7B7A3ACB"/>
    <w:rsid w:val="7B7D2454"/>
    <w:rsid w:val="7B812D2B"/>
    <w:rsid w:val="7B841746"/>
    <w:rsid w:val="7B8D1F50"/>
    <w:rsid w:val="7B8F3F36"/>
    <w:rsid w:val="7BA9149B"/>
    <w:rsid w:val="7BD61B65"/>
    <w:rsid w:val="7BEC4BA1"/>
    <w:rsid w:val="7BF85F7F"/>
    <w:rsid w:val="7BF87D2D"/>
    <w:rsid w:val="7C1767B7"/>
    <w:rsid w:val="7C270B77"/>
    <w:rsid w:val="7C5807CC"/>
    <w:rsid w:val="7C5C6D6F"/>
    <w:rsid w:val="7C6C5AC7"/>
    <w:rsid w:val="7C800E24"/>
    <w:rsid w:val="7C961629"/>
    <w:rsid w:val="7C964510"/>
    <w:rsid w:val="7CA27902"/>
    <w:rsid w:val="7CA3413D"/>
    <w:rsid w:val="7CA45F2E"/>
    <w:rsid w:val="7CB14030"/>
    <w:rsid w:val="7CBA2CE5"/>
    <w:rsid w:val="7CBF4F18"/>
    <w:rsid w:val="7CC6544B"/>
    <w:rsid w:val="7CDB7433"/>
    <w:rsid w:val="7D0239FF"/>
    <w:rsid w:val="7D0821F2"/>
    <w:rsid w:val="7D254B52"/>
    <w:rsid w:val="7D2B02D8"/>
    <w:rsid w:val="7D2D2F9E"/>
    <w:rsid w:val="7D5E40CD"/>
    <w:rsid w:val="7D671DF4"/>
    <w:rsid w:val="7D6C125E"/>
    <w:rsid w:val="7D717876"/>
    <w:rsid w:val="7D80447E"/>
    <w:rsid w:val="7D934992"/>
    <w:rsid w:val="7D944B67"/>
    <w:rsid w:val="7DAE159E"/>
    <w:rsid w:val="7DAE2D99"/>
    <w:rsid w:val="7DC10D1E"/>
    <w:rsid w:val="7DCC1471"/>
    <w:rsid w:val="7DCD56F2"/>
    <w:rsid w:val="7DD97A56"/>
    <w:rsid w:val="7DEC6084"/>
    <w:rsid w:val="7DFF65A6"/>
    <w:rsid w:val="7E244E09"/>
    <w:rsid w:val="7E245C28"/>
    <w:rsid w:val="7E573431"/>
    <w:rsid w:val="7E6C48CB"/>
    <w:rsid w:val="7E6E2528"/>
    <w:rsid w:val="7E7767F1"/>
    <w:rsid w:val="7E7F2707"/>
    <w:rsid w:val="7EB02B41"/>
    <w:rsid w:val="7EBB39C0"/>
    <w:rsid w:val="7ED5755E"/>
    <w:rsid w:val="7EF667A6"/>
    <w:rsid w:val="7F001CE7"/>
    <w:rsid w:val="7F037115"/>
    <w:rsid w:val="7F1430D0"/>
    <w:rsid w:val="7F160CF6"/>
    <w:rsid w:val="7F203401"/>
    <w:rsid w:val="7F204A01"/>
    <w:rsid w:val="7F34081E"/>
    <w:rsid w:val="7F435763"/>
    <w:rsid w:val="7F691207"/>
    <w:rsid w:val="7F7231F0"/>
    <w:rsid w:val="7F7D0255"/>
    <w:rsid w:val="7FAE52D2"/>
    <w:rsid w:val="7FB421BD"/>
    <w:rsid w:val="7FC93EBA"/>
    <w:rsid w:val="7FD840FD"/>
    <w:rsid w:val="7FDA4A92"/>
    <w:rsid w:val="7FE47E50"/>
    <w:rsid w:val="7FE707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qFormat/>
    <w:locked/>
    <w:uiPriority w:val="0"/>
    <w:pPr>
      <w:widowControl/>
      <w:spacing w:line="240" w:lineRule="exact"/>
      <w:ind w:firstLine="420" w:firstLineChars="200"/>
      <w:jc w:val="left"/>
    </w:pPr>
    <w:rPr>
      <w:rFonts w:ascii="Times New Roman" w:hAnsi="Times New Roman"/>
      <w:kern w:val="0"/>
      <w:sz w:val="20"/>
      <w:szCs w:val="20"/>
    </w:rPr>
  </w:style>
  <w:style w:type="paragraph" w:styleId="6">
    <w:name w:val="annotation text"/>
    <w:basedOn w:val="1"/>
    <w:link w:val="32"/>
    <w:semiHidden/>
    <w:qFormat/>
    <w:uiPriority w:val="0"/>
    <w:pPr>
      <w:jc w:val="left"/>
    </w:pPr>
    <w:rPr>
      <w:kern w:val="0"/>
      <w:sz w:val="24"/>
      <w:szCs w:val="20"/>
    </w:rPr>
  </w:style>
  <w:style w:type="paragraph" w:styleId="7">
    <w:name w:val="Body Text"/>
    <w:basedOn w:val="1"/>
    <w:link w:val="31"/>
    <w:qFormat/>
    <w:uiPriority w:val="0"/>
    <w:pPr>
      <w:widowControl/>
      <w:snapToGrid w:val="0"/>
      <w:spacing w:line="360" w:lineRule="auto"/>
      <w:ind w:right="0" w:firstLine="720" w:firstLineChars="200"/>
    </w:pPr>
    <w:rPr>
      <w:rFonts w:ascii="Times New Roman" w:hAnsi="Times New Roman" w:eastAsia="宋体"/>
      <w:kern w:val="0"/>
      <w:sz w:val="24"/>
      <w:szCs w:val="20"/>
    </w:rPr>
  </w:style>
  <w:style w:type="paragraph" w:styleId="8">
    <w:name w:val="Body Text Indent"/>
    <w:basedOn w:val="1"/>
    <w:next w:val="1"/>
    <w:link w:val="33"/>
    <w:qFormat/>
    <w:uiPriority w:val="0"/>
    <w:pPr>
      <w:spacing w:after="120"/>
      <w:ind w:left="420" w:leftChars="200"/>
    </w:pPr>
    <w:rPr>
      <w:kern w:val="0"/>
      <w:sz w:val="24"/>
      <w:szCs w:val="20"/>
    </w:rPr>
  </w:style>
  <w:style w:type="paragraph" w:styleId="9">
    <w:name w:val="List 2"/>
    <w:basedOn w:val="1"/>
    <w:unhideWhenUsed/>
    <w:qFormat/>
    <w:locked/>
    <w:uiPriority w:val="0"/>
    <w:pPr>
      <w:spacing w:line="360" w:lineRule="auto"/>
      <w:ind w:left="100" w:leftChars="200" w:hanging="200" w:hangingChars="200"/>
      <w:contextualSpacing/>
    </w:pPr>
    <w:rPr>
      <w:rFonts w:ascii="Times New Roman" w:hAnsi="Times New Roman" w:eastAsia="仿宋" w:cs="Times New Roman"/>
      <w:sz w:val="28"/>
      <w:szCs w:val="30"/>
    </w:rPr>
  </w:style>
  <w:style w:type="paragraph" w:styleId="10">
    <w:name w:val="Block Text"/>
    <w:basedOn w:val="1"/>
    <w:qFormat/>
    <w:locked/>
    <w:uiPriority w:val="0"/>
    <w:pPr>
      <w:snapToGrid w:val="0"/>
      <w:spacing w:line="408" w:lineRule="auto"/>
      <w:ind w:left="-113" w:right="-510" w:firstLine="510"/>
    </w:pPr>
    <w:rPr>
      <w:sz w:val="24"/>
      <w:szCs w:val="20"/>
    </w:rPr>
  </w:style>
  <w:style w:type="paragraph" w:styleId="11">
    <w:name w:val="Plain Text"/>
    <w:basedOn w:val="1"/>
    <w:qFormat/>
    <w:locked/>
    <w:uiPriority w:val="0"/>
    <w:rPr>
      <w:rFonts w:ascii="宋体" w:hAnsi="Courier New" w:cs="Courier New"/>
      <w:szCs w:val="21"/>
    </w:rPr>
  </w:style>
  <w:style w:type="paragraph" w:styleId="12">
    <w:name w:val="Date"/>
    <w:basedOn w:val="1"/>
    <w:next w:val="1"/>
    <w:link w:val="34"/>
    <w:qFormat/>
    <w:uiPriority w:val="0"/>
    <w:pPr>
      <w:ind w:left="100" w:leftChars="2500"/>
    </w:pPr>
    <w:rPr>
      <w:kern w:val="0"/>
      <w:sz w:val="24"/>
      <w:szCs w:val="20"/>
    </w:rPr>
  </w:style>
  <w:style w:type="paragraph" w:styleId="13">
    <w:name w:val="Body Text Indent 2"/>
    <w:basedOn w:val="1"/>
    <w:next w:val="1"/>
    <w:qFormat/>
    <w:locked/>
    <w:uiPriority w:val="0"/>
    <w:pPr>
      <w:tabs>
        <w:tab w:val="left" w:pos="0"/>
      </w:tabs>
      <w:ind w:firstLine="480"/>
    </w:pPr>
    <w:rPr>
      <w:sz w:val="24"/>
      <w:szCs w:val="20"/>
    </w:rPr>
  </w:style>
  <w:style w:type="paragraph" w:styleId="14">
    <w:name w:val="Balloon Text"/>
    <w:basedOn w:val="1"/>
    <w:link w:val="35"/>
    <w:semiHidden/>
    <w:qFormat/>
    <w:uiPriority w:val="0"/>
    <w:rPr>
      <w:kern w:val="0"/>
      <w:sz w:val="18"/>
      <w:szCs w:val="20"/>
    </w:rPr>
  </w:style>
  <w:style w:type="paragraph" w:styleId="15">
    <w:name w:val="footer"/>
    <w:basedOn w:val="1"/>
    <w:link w:val="36"/>
    <w:qFormat/>
    <w:uiPriority w:val="99"/>
    <w:pPr>
      <w:tabs>
        <w:tab w:val="center" w:pos="4153"/>
        <w:tab w:val="right" w:pos="8306"/>
      </w:tabs>
      <w:snapToGrid w:val="0"/>
      <w:jc w:val="left"/>
    </w:pPr>
    <w:rPr>
      <w:kern w:val="0"/>
      <w:sz w:val="18"/>
      <w:szCs w:val="20"/>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next w:val="1"/>
    <w:qFormat/>
    <w:locked/>
    <w:uiPriority w:val="0"/>
    <w:pPr>
      <w:ind w:left="200" w:hanging="200" w:hangingChars="200"/>
      <w:contextualSpacing/>
    </w:pPr>
  </w:style>
  <w:style w:type="paragraph" w:styleId="18">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6"/>
    <w:next w:val="6"/>
    <w:link w:val="39"/>
    <w:semiHidden/>
    <w:qFormat/>
    <w:uiPriority w:val="0"/>
    <w:rPr>
      <w:b/>
      <w:sz w:val="24"/>
      <w:szCs w:val="20"/>
    </w:rPr>
  </w:style>
  <w:style w:type="paragraph" w:styleId="20">
    <w:name w:val="Body Text First Indent 2"/>
    <w:basedOn w:val="8"/>
    <w:next w:val="1"/>
    <w:qFormat/>
    <w:locked/>
    <w:uiPriority w:val="0"/>
    <w:pPr>
      <w:ind w:firstLine="420"/>
    </w:pPr>
    <w:rPr>
      <w:rFonts w:ascii="Calibri" w:hAnsi="Calibri"/>
      <w:szCs w:val="22"/>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locked/>
    <w:uiPriority w:val="0"/>
    <w:rPr>
      <w:b/>
    </w:rPr>
  </w:style>
  <w:style w:type="character" w:styleId="25">
    <w:name w:val="page number"/>
    <w:basedOn w:val="23"/>
    <w:qFormat/>
    <w:locked/>
    <w:uiPriority w:val="0"/>
  </w:style>
  <w:style w:type="character" w:styleId="26">
    <w:name w:val="Hyperlink"/>
    <w:basedOn w:val="23"/>
    <w:qFormat/>
    <w:locked/>
    <w:uiPriority w:val="0"/>
    <w:rPr>
      <w:color w:val="0000FF"/>
      <w:u w:val="single"/>
    </w:rPr>
  </w:style>
  <w:style w:type="character" w:styleId="27">
    <w:name w:val="annotation reference"/>
    <w:semiHidden/>
    <w:qFormat/>
    <w:uiPriority w:val="0"/>
    <w:rPr>
      <w:sz w:val="21"/>
    </w:rPr>
  </w:style>
  <w:style w:type="paragraph" w:customStyle="1" w:styleId="28">
    <w:name w:val="表头"/>
    <w:basedOn w:val="5"/>
    <w:next w:val="1"/>
    <w:qFormat/>
    <w:uiPriority w:val="0"/>
    <w:pPr>
      <w:ind w:firstLine="0" w:firstLineChars="0"/>
      <w:jc w:val="center"/>
    </w:pPr>
    <w:rPr>
      <w:rFonts w:ascii="Times New Roman" w:hAnsi="Times New Roman" w:eastAsia="宋体"/>
      <w:sz w:val="21"/>
    </w:rPr>
  </w:style>
  <w:style w:type="paragraph" w:customStyle="1" w:styleId="29">
    <w:name w:val="Table Text"/>
    <w:basedOn w:val="1"/>
    <w:semiHidden/>
    <w:qFormat/>
    <w:uiPriority w:val="0"/>
    <w:rPr>
      <w:rFonts w:ascii="新宋体" w:hAnsi="新宋体" w:eastAsia="新宋体" w:cs="新宋体"/>
      <w:sz w:val="24"/>
      <w:szCs w:val="24"/>
      <w:lang w:val="en-US" w:eastAsia="en-US" w:bidi="ar-SA"/>
    </w:rPr>
  </w:style>
  <w:style w:type="paragraph" w:customStyle="1" w:styleId="30">
    <w:name w:val="表格内文字"/>
    <w:next w:val="7"/>
    <w:qFormat/>
    <w:uiPriority w:val="0"/>
    <w:pPr>
      <w:spacing w:line="320" w:lineRule="exact"/>
      <w:jc w:val="center"/>
    </w:pPr>
    <w:rPr>
      <w:rFonts w:ascii="Times New Roman" w:hAnsi="Times New Roman" w:eastAsia="宋体" w:cs="Times New Roman"/>
      <w:sz w:val="21"/>
      <w:szCs w:val="21"/>
      <w:lang w:val="zh-CN" w:eastAsia="zh-CN" w:bidi="ar-SA"/>
    </w:rPr>
  </w:style>
  <w:style w:type="character" w:customStyle="1" w:styleId="31">
    <w:name w:val="正文文本 Char"/>
    <w:link w:val="7"/>
    <w:qFormat/>
    <w:locked/>
    <w:uiPriority w:val="0"/>
    <w:rPr>
      <w:rFonts w:ascii="Times New Roman" w:hAnsi="Times New Roman" w:eastAsia="宋体"/>
      <w:sz w:val="24"/>
    </w:rPr>
  </w:style>
  <w:style w:type="character" w:customStyle="1" w:styleId="32">
    <w:name w:val="批注文字 Char"/>
    <w:link w:val="6"/>
    <w:qFormat/>
    <w:locked/>
    <w:uiPriority w:val="0"/>
    <w:rPr>
      <w:rFonts w:ascii="Times New Roman" w:hAnsi="Times New Roman" w:eastAsia="宋体"/>
      <w:sz w:val="24"/>
    </w:rPr>
  </w:style>
  <w:style w:type="character" w:customStyle="1" w:styleId="33">
    <w:name w:val="正文文本缩进 Char"/>
    <w:link w:val="8"/>
    <w:semiHidden/>
    <w:qFormat/>
    <w:locked/>
    <w:uiPriority w:val="0"/>
    <w:rPr>
      <w:rFonts w:ascii="Times New Roman" w:hAnsi="Times New Roman" w:eastAsia="宋体"/>
      <w:sz w:val="24"/>
    </w:rPr>
  </w:style>
  <w:style w:type="character" w:customStyle="1" w:styleId="34">
    <w:name w:val="日期 Char"/>
    <w:link w:val="12"/>
    <w:qFormat/>
    <w:locked/>
    <w:uiPriority w:val="0"/>
    <w:rPr>
      <w:rFonts w:ascii="Times New Roman" w:hAnsi="Times New Roman" w:eastAsia="宋体"/>
      <w:sz w:val="24"/>
    </w:rPr>
  </w:style>
  <w:style w:type="character" w:customStyle="1" w:styleId="35">
    <w:name w:val="批注框文本 Char"/>
    <w:link w:val="14"/>
    <w:semiHidden/>
    <w:qFormat/>
    <w:locked/>
    <w:uiPriority w:val="0"/>
    <w:rPr>
      <w:rFonts w:ascii="Times New Roman" w:hAnsi="Times New Roman" w:eastAsia="宋体"/>
      <w:sz w:val="18"/>
    </w:rPr>
  </w:style>
  <w:style w:type="character" w:customStyle="1" w:styleId="36">
    <w:name w:val="页脚 Char"/>
    <w:link w:val="15"/>
    <w:qFormat/>
    <w:locked/>
    <w:uiPriority w:val="99"/>
    <w:rPr>
      <w:sz w:val="18"/>
    </w:rPr>
  </w:style>
  <w:style w:type="character" w:customStyle="1" w:styleId="37">
    <w:name w:val="页眉 Char"/>
    <w:link w:val="16"/>
    <w:qFormat/>
    <w:locked/>
    <w:uiPriority w:val="0"/>
    <w:rPr>
      <w:sz w:val="18"/>
    </w:rPr>
  </w:style>
  <w:style w:type="character" w:customStyle="1" w:styleId="38">
    <w:name w:val="普通(网站) Char"/>
    <w:link w:val="18"/>
    <w:qFormat/>
    <w:locked/>
    <w:uiPriority w:val="0"/>
    <w:rPr>
      <w:rFonts w:ascii="宋体" w:hAnsi="宋体" w:eastAsia="宋体"/>
      <w:sz w:val="24"/>
    </w:rPr>
  </w:style>
  <w:style w:type="character" w:customStyle="1" w:styleId="39">
    <w:name w:val="批注主题 Char"/>
    <w:link w:val="19"/>
    <w:semiHidden/>
    <w:qFormat/>
    <w:locked/>
    <w:uiPriority w:val="0"/>
    <w:rPr>
      <w:rFonts w:ascii="Times New Roman" w:hAnsi="Times New Roman" w:eastAsia="宋体"/>
      <w:b/>
      <w:kern w:val="2"/>
      <w:sz w:val="24"/>
    </w:rPr>
  </w:style>
  <w:style w:type="paragraph" w:customStyle="1" w:styleId="40">
    <w:name w:val="Body Text 21"/>
    <w:basedOn w:val="1"/>
    <w:qFormat/>
    <w:uiPriority w:val="0"/>
    <w:pPr>
      <w:spacing w:after="120" w:line="480" w:lineRule="auto"/>
    </w:pPr>
  </w:style>
  <w:style w:type="paragraph" w:customStyle="1" w:styleId="41">
    <w:name w:val="正文首行缩进 21"/>
    <w:next w:val="7"/>
    <w:qFormat/>
    <w:uiPriority w:val="0"/>
    <w:pPr>
      <w:spacing w:after="120"/>
      <w:ind w:left="420" w:leftChars="200" w:firstLine="420" w:firstLineChars="200"/>
    </w:pPr>
    <w:rPr>
      <w:rFonts w:ascii="Times New Roman" w:hAnsi="Times New Roman" w:eastAsia="宋体" w:cs="Times New Roman"/>
      <w:sz w:val="21"/>
    </w:rPr>
  </w:style>
  <w:style w:type="character" w:customStyle="1" w:styleId="42">
    <w:name w:val="表格 Char"/>
    <w:link w:val="43"/>
    <w:qFormat/>
    <w:locked/>
    <w:uiPriority w:val="0"/>
    <w:rPr>
      <w:rFonts w:ascii="Times New Roman" w:hAnsi="Times New Roman" w:eastAsia="宋体"/>
      <w:sz w:val="21"/>
    </w:rPr>
  </w:style>
  <w:style w:type="paragraph" w:customStyle="1" w:styleId="43">
    <w:name w:val="表格"/>
    <w:basedOn w:val="1"/>
    <w:next w:val="1"/>
    <w:link w:val="42"/>
    <w:qFormat/>
    <w:uiPriority w:val="0"/>
    <w:pPr>
      <w:adjustRightInd w:val="0"/>
      <w:snapToGrid w:val="0"/>
      <w:spacing w:before="10" w:beforeLines="10" w:after="10" w:afterLines="10" w:line="259" w:lineRule="auto"/>
      <w:jc w:val="center"/>
    </w:pPr>
    <w:rPr>
      <w:rFonts w:ascii="Times New Roman" w:hAnsi="Times New Roman" w:eastAsia="宋体"/>
      <w:kern w:val="0"/>
      <w:szCs w:val="20"/>
    </w:rPr>
  </w:style>
  <w:style w:type="paragraph" w:customStyle="1" w:styleId="44">
    <w:name w:val="文字"/>
    <w:basedOn w:val="1"/>
    <w:link w:val="45"/>
    <w:qFormat/>
    <w:uiPriority w:val="0"/>
    <w:pPr>
      <w:spacing w:line="360" w:lineRule="auto"/>
      <w:ind w:firstLine="600" w:firstLineChars="200"/>
    </w:pPr>
    <w:rPr>
      <w:rFonts w:ascii="Times New Roman" w:hAnsi="Times New Roman" w:eastAsia="宋体" w:cs="Times New Roman"/>
      <w:sz w:val="24"/>
    </w:rPr>
  </w:style>
  <w:style w:type="character" w:customStyle="1" w:styleId="45">
    <w:name w:val="文字 Char"/>
    <w:link w:val="44"/>
    <w:qFormat/>
    <w:uiPriority w:val="0"/>
    <w:rPr>
      <w:rFonts w:ascii="Times New Roman" w:hAnsi="Times New Roman" w:eastAsia="宋体" w:cs="Times New Roman"/>
      <w:sz w:val="24"/>
    </w:rPr>
  </w:style>
  <w:style w:type="paragraph" w:customStyle="1" w:styleId="46">
    <w:name w:val="报告表正文"/>
    <w:basedOn w:val="1"/>
    <w:qFormat/>
    <w:uiPriority w:val="0"/>
    <w:pPr>
      <w:adjustRightInd w:val="0"/>
      <w:spacing w:line="360" w:lineRule="auto"/>
      <w:ind w:firstLine="640" w:firstLineChars="200"/>
      <w:textAlignment w:val="baseline"/>
    </w:pPr>
    <w:rPr>
      <w:rFonts w:ascii="Times New Roman" w:hAnsi="Times New Roman" w:eastAsia="宋体"/>
      <w:color w:val="000000"/>
      <w:kern w:val="0"/>
      <w:sz w:val="24"/>
    </w:rPr>
  </w:style>
  <w:style w:type="paragraph" w:customStyle="1" w:styleId="47">
    <w:name w:val="表中文字"/>
    <w:basedOn w:val="1"/>
    <w:qFormat/>
    <w:uiPriority w:val="0"/>
    <w:pPr>
      <w:tabs>
        <w:tab w:val="left" w:pos="2700"/>
      </w:tabs>
      <w:spacing w:line="240" w:lineRule="auto"/>
      <w:ind w:firstLine="0" w:firstLineChars="0"/>
      <w:jc w:val="center"/>
      <w:textAlignment w:val="center"/>
    </w:pPr>
    <w:rPr>
      <w:sz w:val="21"/>
      <w:szCs w:val="21"/>
    </w:rPr>
  </w:style>
  <w:style w:type="table" w:customStyle="1" w:styleId="48">
    <w:name w:val="Table Normal"/>
    <w:unhideWhenUsed/>
    <w:qFormat/>
    <w:uiPriority w:val="0"/>
    <w:tblPr>
      <w:tblCellMar>
        <w:top w:w="0" w:type="dxa"/>
        <w:left w:w="0" w:type="dxa"/>
        <w:bottom w:w="0" w:type="dxa"/>
        <w:right w:w="0" w:type="dxa"/>
      </w:tblCellMar>
    </w:tblPr>
  </w:style>
  <w:style w:type="character" w:customStyle="1" w:styleId="49">
    <w:name w:val="正文文本缩进 2 Char"/>
    <w:basedOn w:val="23"/>
    <w:qFormat/>
    <w:uiPriority w:val="0"/>
    <w:rPr>
      <w:rFonts w:eastAsia="宋体"/>
      <w:kern w:val="2"/>
      <w:sz w:val="28"/>
      <w:szCs w:val="24"/>
      <w:lang w:val="en-US" w:eastAsia="zh-CN" w:bidi="ar-SA"/>
    </w:rPr>
  </w:style>
  <w:style w:type="paragraph" w:customStyle="1" w:styleId="50">
    <w:name w:val="样式 正文缩进正文缩进2正文缩进 Char Char正文缩进 Char Char Char Char正文缩进 Char ..."/>
    <w:basedOn w:val="5"/>
    <w:qFormat/>
    <w:uiPriority w:val="0"/>
    <w:pPr>
      <w:ind w:firstLine="200"/>
    </w:pPr>
    <w:rPr>
      <w:rFonts w:cs="宋体"/>
    </w:rPr>
  </w:style>
  <w:style w:type="paragraph" w:customStyle="1" w:styleId="51">
    <w:name w:val="1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2">
    <w:name w:val="Body Text First Indent 21"/>
    <w:basedOn w:val="53"/>
    <w:qFormat/>
    <w:uiPriority w:val="0"/>
    <w:pPr>
      <w:ind w:left="0" w:leftChars="0" w:firstLine="420"/>
    </w:pPr>
    <w:rPr>
      <w:rFonts w:ascii="Times New Roman" w:hAnsi="Times New Roman"/>
      <w:szCs w:val="22"/>
    </w:rPr>
  </w:style>
  <w:style w:type="paragraph" w:customStyle="1" w:styleId="53">
    <w:name w:val="Body Text Indent1"/>
    <w:basedOn w:val="1"/>
    <w:qFormat/>
    <w:uiPriority w:val="0"/>
    <w:pPr>
      <w:ind w:left="420" w:leftChars="200"/>
    </w:pPr>
  </w:style>
  <w:style w:type="paragraph" w:customStyle="1" w:styleId="54">
    <w:name w:val="Default"/>
    <w:basedOn w:val="55"/>
    <w:next w:val="1"/>
    <w:qFormat/>
    <w:uiPriority w:val="0"/>
    <w:pPr>
      <w:tabs>
        <w:tab w:val="left" w:pos="2760"/>
      </w:tabs>
      <w:autoSpaceDE w:val="0"/>
      <w:autoSpaceDN w:val="0"/>
    </w:pPr>
    <w:rPr>
      <w:rFonts w:ascii="仿宋" w:eastAsia="仿宋" w:cs="仿宋"/>
      <w:color w:val="000000"/>
      <w:sz w:val="24"/>
      <w:szCs w:val="24"/>
    </w:rPr>
  </w:style>
  <w:style w:type="paragraph" w:customStyle="1" w:styleId="55">
    <w:name w:val="纯文本1"/>
    <w:basedOn w:val="1"/>
    <w:qFormat/>
    <w:uiPriority w:val="0"/>
    <w:pPr>
      <w:tabs>
        <w:tab w:val="left" w:pos="2760"/>
      </w:tabs>
      <w:adjustRightInd w:val="0"/>
    </w:pPr>
    <w:rPr>
      <w:rFonts w:ascii="宋体" w:hAnsi="Courier New"/>
      <w:szCs w:val="20"/>
    </w:rPr>
  </w:style>
  <w:style w:type="paragraph" w:customStyle="1" w:styleId="56">
    <w:name w:val="Table Paragraph"/>
    <w:basedOn w:val="1"/>
    <w:qFormat/>
    <w:uiPriority w:val="1"/>
    <w:pPr>
      <w:jc w:val="center"/>
    </w:pPr>
    <w:rPr>
      <w:rFonts w:ascii="宋体" w:hAnsi="宋体" w:cs="宋体"/>
      <w:lang w:val="zh-CN" w:bidi="zh-CN"/>
    </w:rPr>
  </w:style>
  <w:style w:type="table" w:customStyle="1" w:styleId="57">
    <w:name w:val="样式61"/>
    <w:basedOn w:val="21"/>
    <w:qFormat/>
    <w:uiPriority w:val="99"/>
    <w:pPr>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8">
    <w:name w:val="表内文字"/>
    <w:basedOn w:val="1"/>
    <w:qFormat/>
    <w:uiPriority w:val="0"/>
    <w:pPr>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1ODgzNjY1ODE2IiwKCSJHcm91cElkIiA6ICI1OTc3OTA5MjUiLAoJIkltYWdlIiA6ICJpVkJPUncwS0dnb0FBQUFOU1VoRVVnQUFCUDRBQUFIZENBWUFBQUNOQUxmL0FBQUFBWE5TUjBJQXJzNGM2UUFBSUFCSlJFRlVlSnpzM1h0OG5HV2QvLy8zNTc1bkpvZW02WUZTVGtXS0Zvc0YwNW5Kc3BXdmdDektvcmlzaUtJc2lsOVFSRmxCd09OeUV2REF1ckpkd0I4TGdxc2dIZ0NCWFZ6UUg3SjBWYUFvaDJTU1VDS0ZBcVZBb1ZCNlRIT1ltZnYrZlA5b1dwTTBoWmEydVpPN3IrZmowUWN6MTMzZjEzeXVFb2JNZTY3N3Vp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92L3dDaFRCWkd6djBSWHdBQUFBQkpSVTVFcmtKZ2dnPT0iLAoJIlRoZW1lIiA6ICIiLAoJIlR5cGUiIDogImZsb3ciLAoJIlVzZXJJZCIgOiAiNTE1Mjg5MTkyIiwKCSJWZXJzaW9uIiA6ICI1N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76</Pages>
  <Words>129</Words>
  <Characters>152</Characters>
  <Lines>13</Lines>
  <Paragraphs>3</Paragraphs>
  <TotalTime>14</TotalTime>
  <ScaleCrop>false</ScaleCrop>
  <LinksUpToDate>false</LinksUpToDate>
  <CharactersWithSpaces>207</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2025-10-07T17:40:15Z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375C331CDE174C9FA757C18E73ECE34C_13</vt:lpwstr>
  </property>
  <property fmtid="{D5CDD505-2E9C-101B-9397-08002B2CF9AE}" pid="4" name="KSOTemplateDocerSaveRecord">
    <vt:lpwstr>eyJoZGlkIjoiZWRkYTEyNWVmNDE5OTZiMjg3MjRhYWMzMTRhZjI5YTUiLCJ1c2VySWQiOiIzMjQ3NzAwMjUifQ==</vt:lpwstr>
  </property>
</Properties>
</file>